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-453390</wp:posOffset>
                </wp:positionH>
                <wp:positionV relativeFrom="page">
                  <wp:posOffset>3394710</wp:posOffset>
                </wp:positionV>
                <wp:extent cx="6863080" cy="123952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863040" cy="123948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35.7pt;margin-top:267.3pt;width:540.35pt;height:97.5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ZÉRÉ DÉLICE D’ISSA</w:t>
                      </w:r>
                      <w:r>
                        <w:rPr>
                          <w:rFonts w:cs="Cambria" w:ascii="Cambria" w:hAnsi="Cambria"/>
                          <w:b/>
                          <w:bCs/>
                          <w:color w:val="156082"/>
                          <w:sz w:val="36"/>
                          <w:szCs w:val="36"/>
                          <w:lang w:val="fr-FR"/>
                        </w:rPr>
                        <w:t xml:space="preserve"> </w:t>
                      </w:r>
                    </w:p>
                    <w:p>
                      <w:pPr>
                        <w:pStyle w:val="Sansinterligne"/>
                        <w:spacing w:lineRule="auto" w:line="216" w:before="40" w:after="560"/>
                        <w:jc w:val="center"/>
                        <w:rPr>
                          <w:rFonts w:ascii="Times New Roman" w:hAnsi="Times New Roman" w:cs="Times New Roman"/>
                          <w:b/>
                          <w:bCs/>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et commercialisation de pastèque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10056" w:type="dxa"/>
        <w:jc w:val="left"/>
        <w:tblInd w:w="0" w:type="dxa"/>
        <w:tblLayout w:type="fixed"/>
        <w:tblCellMar>
          <w:top w:w="0" w:type="dxa"/>
          <w:left w:w="108" w:type="dxa"/>
          <w:bottom w:w="0" w:type="dxa"/>
          <w:right w:w="108" w:type="dxa"/>
        </w:tblCellMar>
      </w:tblPr>
      <w:tblGrid>
        <w:gridCol w:w="5140"/>
        <w:gridCol w:w="1690"/>
        <w:gridCol w:w="3226"/>
      </w:tblGrid>
      <w:tr>
        <w:trPr>
          <w:trHeight w:val="432" w:hRule="atLeast"/>
        </w:trPr>
        <w:tc>
          <w:tcPr>
            <w:tcW w:w="5140"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916"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xml:space="preserve"> </w:t>
            </w:r>
            <w:r>
              <w:rPr/>
              <w:t>Issa TRAORÉ</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79 02 10 65</w:t>
            </w:r>
          </w:p>
        </w:tc>
      </w:tr>
      <w:tr>
        <w:trPr>
          <w:trHeight w:val="432"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Bamako-Chôdo, commune de Safo – Koulikoro</w:t>
            </w:r>
          </w:p>
        </w:tc>
      </w:tr>
      <w:tr>
        <w:trPr>
          <w:trHeight w:val="375" w:hRule="atLeast"/>
        </w:trPr>
        <w:tc>
          <w:tcPr>
            <w:tcW w:w="514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916"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 – pastèque</w:t>
            </w:r>
          </w:p>
        </w:tc>
      </w:tr>
      <w:tr>
        <w:trPr>
          <w:trHeight w:val="182" w:hRule="atLeast"/>
        </w:trPr>
        <w:tc>
          <w:tcPr>
            <w:tcW w:w="5140"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9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226"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82" w:hRule="atLeast"/>
        </w:trPr>
        <w:tc>
          <w:tcPr>
            <w:tcW w:w="5140"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9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22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 FICHE SIGNALÉTIQUE</w:t>
              <w:tab/>
              <w:t>3</w:t>
            </w:r>
          </w:hyperlink>
        </w:p>
        <w:p>
          <w:pPr>
            <w:pStyle w:val="TOC1"/>
            <w:tabs>
              <w:tab w:val="clear" w:pos="708"/>
              <w:tab w:val="right" w:pos="9639" w:leader="dot"/>
            </w:tabs>
            <w:rPr/>
          </w:pPr>
          <w:hyperlink w:anchor="__RefHeading___Toc18134_1321275203">
            <w:r>
              <w:rPr>
                <w:webHidden/>
                <w:rStyle w:val="IndexLink"/>
              </w:rPr>
              <w:t>II. APERÇU GÉNÉRAL</w:t>
              <w:tab/>
              <w:t>4</w:t>
            </w:r>
          </w:hyperlink>
        </w:p>
        <w:p>
          <w:pPr>
            <w:pStyle w:val="TOC2"/>
            <w:tabs>
              <w:tab w:val="clear" w:pos="708"/>
              <w:tab w:val="right" w:pos="9639" w:leader="dot"/>
            </w:tabs>
            <w:rPr/>
          </w:pPr>
          <w:hyperlink w:anchor="__RefHeading___Toc234831692">
            <w:r>
              <w:rPr>
                <w:webHidden/>
                <w:rStyle w:val="IndexLink"/>
              </w:rPr>
              <w:t xml:space="preserve">1. </w:t>
            </w:r>
            <w:r>
              <w:rPr>
                <w:rStyle w:val="IndexLink"/>
                <w:i w:val="false"/>
                <w:iCs w:val="false"/>
              </w:rPr>
              <w:t>Présentation du Promoteur :</w:t>
            </w:r>
            <w:r>
              <w:rPr>
                <w:rStyle w:val="IndexLink"/>
              </w:rPr>
              <w:tab/>
              <w:t>4</w:t>
            </w:r>
          </w:hyperlink>
        </w:p>
        <w:p>
          <w:pPr>
            <w:pStyle w:val="TOC2"/>
            <w:tabs>
              <w:tab w:val="clear" w:pos="708"/>
              <w:tab w:val="right" w:pos="9639" w:leader="dot"/>
            </w:tabs>
            <w:rPr/>
          </w:pPr>
          <w:hyperlink w:anchor="__RefHeading___Toc234831693">
            <w:r>
              <w:rPr>
                <w:webHidden/>
                <w:rStyle w:val="IndexLink"/>
              </w:rPr>
              <w:t xml:space="preserve">2. </w:t>
            </w:r>
            <w:r>
              <w:rPr>
                <w:rStyle w:val="IndexLink"/>
                <w:i w:val="false"/>
                <w:iCs w:val="false"/>
              </w:rPr>
              <w:t>Description du projet :</w:t>
            </w:r>
            <w:r>
              <w:rPr>
                <w:rStyle w:val="IndexLink"/>
              </w:rPr>
              <w:tab/>
              <w:t>5</w:t>
            </w:r>
          </w:hyperlink>
        </w:p>
        <w:p>
          <w:pPr>
            <w:pStyle w:val="TOC2"/>
            <w:tabs>
              <w:tab w:val="clear" w:pos="708"/>
              <w:tab w:val="right" w:pos="9639" w:leader="dot"/>
            </w:tabs>
            <w:rPr/>
          </w:pPr>
          <w:hyperlink w:anchor="__RefHeading___Toc234831694">
            <w:r>
              <w:rPr>
                <w:webHidden/>
                <w:rStyle w:val="IndexLink"/>
              </w:rPr>
              <w:t xml:space="preserve">3. </w:t>
            </w:r>
            <w:r>
              <w:rPr>
                <w:rStyle w:val="IndexLink"/>
                <w:i w:val="false"/>
                <w:iCs w:val="false"/>
              </w:rPr>
              <w:t>Objectifs du projet :</w:t>
            </w:r>
            <w:r>
              <w:rPr>
                <w:rStyle w:val="IndexLink"/>
              </w:rPr>
              <w:tab/>
              <w:t>6</w:t>
            </w:r>
          </w:hyperlink>
        </w:p>
        <w:p>
          <w:pPr>
            <w:pStyle w:val="TOC2"/>
            <w:tabs>
              <w:tab w:val="clear" w:pos="708"/>
              <w:tab w:val="right" w:pos="9639" w:leader="dot"/>
            </w:tabs>
            <w:rPr/>
          </w:pPr>
          <w:hyperlink w:anchor="__RefHeading___Toc234831695">
            <w:r>
              <w:rPr>
                <w:webHidden/>
                <w:rStyle w:val="IndexLink"/>
              </w:rPr>
              <w:t xml:space="preserve">4. </w:t>
            </w:r>
            <w:r>
              <w:rPr>
                <w:rStyle w:val="IndexLink"/>
                <w:i w:val="false"/>
                <w:iCs w:val="false"/>
              </w:rPr>
              <w:t>Localisation du projet</w:t>
            </w:r>
            <w:r>
              <w:rPr>
                <w:rStyle w:val="IndexLink"/>
              </w:rPr>
              <w:tab/>
              <w:t>6</w:t>
            </w:r>
          </w:hyperlink>
        </w:p>
        <w:p>
          <w:pPr>
            <w:pStyle w:val="TOC1"/>
            <w:tabs>
              <w:tab w:val="clear" w:pos="708"/>
              <w:tab w:val="right" w:pos="9639" w:leader="dot"/>
            </w:tabs>
            <w:rPr/>
          </w:pPr>
          <w:hyperlink w:anchor="__RefHeading___Toc234831696">
            <w:r>
              <w:rPr>
                <w:webHidden/>
                <w:rStyle w:val="IndexLink"/>
              </w:rPr>
              <w:t>III. ÉTUDE DE MARCHÉ</w:t>
              <w:tab/>
              <w:t>6</w:t>
            </w:r>
          </w:hyperlink>
        </w:p>
        <w:p>
          <w:pPr>
            <w:pStyle w:val="TOC1"/>
            <w:tabs>
              <w:tab w:val="clear" w:pos="708"/>
              <w:tab w:val="right" w:pos="9639" w:leader="dot"/>
            </w:tabs>
            <w:rPr/>
          </w:pPr>
          <w:hyperlink w:anchor="__RefHeading___Toc234831707">
            <w:r>
              <w:rPr>
                <w:webHidden/>
                <w:rStyle w:val="IndexLink"/>
              </w:rPr>
              <w:t>IV. ÉTUDE TECHNIQUE</w:t>
              <w:tab/>
              <w:t>9</w:t>
            </w:r>
          </w:hyperlink>
        </w:p>
        <w:p>
          <w:pPr>
            <w:pStyle w:val="TOC2"/>
            <w:tabs>
              <w:tab w:val="clear" w:pos="708"/>
              <w:tab w:val="right" w:pos="9639" w:leader="dot"/>
            </w:tabs>
            <w:rPr/>
          </w:pPr>
          <w:hyperlink w:anchor="__RefHeading___Toc234831708">
            <w:r>
              <w:rPr>
                <w:webHidden/>
                <w:rStyle w:val="IndexLink"/>
              </w:rPr>
              <w:t xml:space="preserve">1. </w:t>
            </w:r>
            <w:r>
              <w:rPr>
                <w:rStyle w:val="IndexLink"/>
                <w:i w:val="false"/>
                <w:iCs w:val="false"/>
              </w:rPr>
              <w:t>Site d’implantation :</w:t>
            </w:r>
            <w:r>
              <w:rPr>
                <w:rStyle w:val="IndexLink"/>
              </w:rPr>
              <w:tab/>
              <w:t>9</w:t>
            </w:r>
          </w:hyperlink>
        </w:p>
        <w:p>
          <w:pPr>
            <w:pStyle w:val="TOC2"/>
            <w:tabs>
              <w:tab w:val="clear" w:pos="708"/>
              <w:tab w:val="right" w:pos="9639" w:leader="dot"/>
            </w:tabs>
            <w:rPr/>
          </w:pPr>
          <w:hyperlink w:anchor="__RefHeading___Toc234831709">
            <w:r>
              <w:rPr>
                <w:webHidden/>
                <w:rStyle w:val="IndexLink"/>
              </w:rPr>
              <w:t xml:space="preserve">3. </w:t>
            </w:r>
            <w:r>
              <w:rPr>
                <w:rStyle w:val="IndexLink"/>
                <w:i w:val="false"/>
                <w:iCs w:val="false"/>
              </w:rPr>
              <w:t>Locaux, aménagements / installations et équipements</w:t>
            </w:r>
            <w:r>
              <w:rPr>
                <w:rStyle w:val="IndexLink"/>
              </w:rPr>
              <w:tab/>
              <w:t>9</w:t>
            </w:r>
          </w:hyperlink>
        </w:p>
        <w:p>
          <w:pPr>
            <w:pStyle w:val="TOC3"/>
            <w:tabs>
              <w:tab w:val="clear" w:pos="708"/>
              <w:tab w:val="right" w:pos="9639" w:leader="dot"/>
            </w:tabs>
            <w:rPr/>
          </w:pPr>
          <w:hyperlink w:anchor="__RefHeading___Toc234831710">
            <w:r>
              <w:rPr>
                <w:webHidden/>
                <w:rStyle w:val="IndexLink"/>
              </w:rPr>
              <w:t>2.1 Equipements de production :</w:t>
              <w:tab/>
              <w:t>10</w:t>
            </w:r>
          </w:hyperlink>
        </w:p>
        <w:p>
          <w:pPr>
            <w:pStyle w:val="TOC2"/>
            <w:tabs>
              <w:tab w:val="clear" w:pos="708"/>
              <w:tab w:val="right" w:pos="9639" w:leader="dot"/>
            </w:tabs>
            <w:rPr/>
          </w:pPr>
          <w:hyperlink w:anchor="__RefHeading___Toc234831711">
            <w:r>
              <w:rPr>
                <w:webHidden/>
                <w:rStyle w:val="IndexLink"/>
              </w:rPr>
              <w:t xml:space="preserve">4. </w:t>
            </w:r>
            <w:r>
              <w:rPr>
                <w:rStyle w:val="IndexLink"/>
                <w:i w:val="false"/>
                <w:iCs w:val="false"/>
              </w:rPr>
              <w:t>Le processus de production :</w:t>
            </w:r>
            <w:r>
              <w:rPr>
                <w:rStyle w:val="IndexLink"/>
              </w:rPr>
              <w:tab/>
              <w:t>10</w:t>
            </w:r>
          </w:hyperlink>
        </w:p>
        <w:p>
          <w:pPr>
            <w:pStyle w:val="TOC2"/>
            <w:tabs>
              <w:tab w:val="clear" w:pos="708"/>
              <w:tab w:val="right" w:pos="9639" w:leader="dot"/>
            </w:tabs>
            <w:rPr/>
          </w:pPr>
          <w:hyperlink w:anchor="__RefHeading___Toc234831712">
            <w:r>
              <w:rPr>
                <w:webHidden/>
                <w:rStyle w:val="IndexLink"/>
              </w:rPr>
              <w:t xml:space="preserve">5. </w:t>
            </w:r>
            <w:r>
              <w:rPr>
                <w:rStyle w:val="IndexLink"/>
                <w:i w:val="false"/>
                <w:iCs w:val="false"/>
              </w:rPr>
              <w:t xml:space="preserve">Le personnel : </w:t>
            </w:r>
            <w:r>
              <w:rPr>
                <w:rStyle w:val="IndexLink"/>
              </w:rPr>
              <w:t>(profil et compétences)</w:t>
              <w:tab/>
              <w:t>11</w:t>
            </w:r>
          </w:hyperlink>
        </w:p>
        <w:p>
          <w:pPr>
            <w:pStyle w:val="TOC1"/>
            <w:tabs>
              <w:tab w:val="clear" w:pos="708"/>
              <w:tab w:val="right" w:pos="9639" w:leader="dot"/>
            </w:tabs>
            <w:rPr/>
          </w:pPr>
          <w:hyperlink w:anchor="__RefHeading___Toc234831713">
            <w:r>
              <w:rPr>
                <w:webHidden/>
                <w:rStyle w:val="IndexLink"/>
              </w:rPr>
              <w:t>V. ÉTUDE ÉCONOMIQUE ET FINANCIÈRE</w:t>
              <w:tab/>
              <w:t>11</w:t>
            </w:r>
          </w:hyperlink>
        </w:p>
        <w:p>
          <w:pPr>
            <w:pStyle w:val="TOC2"/>
            <w:tabs>
              <w:tab w:val="clear" w:pos="708"/>
              <w:tab w:val="right" w:pos="9639" w:leader="dot"/>
            </w:tabs>
            <w:rPr/>
          </w:pPr>
          <w:hyperlink w:anchor="__RefHeading___Toc234831714">
            <w:r>
              <w:rPr>
                <w:webHidden/>
                <w:rStyle w:val="IndexLink"/>
              </w:rPr>
              <w:t xml:space="preserve">V.1 </w:t>
            </w:r>
            <w:r>
              <w:rPr>
                <w:rStyle w:val="IndexLink"/>
                <w:i w:val="false"/>
                <w:iCs w:val="false"/>
              </w:rPr>
              <w:t>Hypothèses de base</w:t>
            </w:r>
            <w:r>
              <w:rPr>
                <w:rStyle w:val="IndexLink"/>
              </w:rPr>
              <w:tab/>
              <w:t>11</w:t>
            </w:r>
          </w:hyperlink>
        </w:p>
        <w:p>
          <w:pPr>
            <w:pStyle w:val="TOC3"/>
            <w:tabs>
              <w:tab w:val="clear" w:pos="708"/>
              <w:tab w:val="right" w:pos="9639" w:leader="dot"/>
            </w:tabs>
            <w:rPr/>
          </w:pPr>
          <w:hyperlink w:anchor="__RefHeading___Toc234831715">
            <w:r>
              <w:rPr>
                <w:webHidden/>
                <w:rStyle w:val="IndexLink"/>
              </w:rPr>
              <w:t>V.1.1 Recettes prévisionnelles annuelles</w:t>
              <w:tab/>
              <w:t>11</w:t>
            </w:r>
          </w:hyperlink>
        </w:p>
        <w:p>
          <w:pPr>
            <w:pStyle w:val="TOC3"/>
            <w:tabs>
              <w:tab w:val="clear" w:pos="708"/>
              <w:tab w:val="right" w:pos="9639" w:leader="dot"/>
            </w:tabs>
            <w:rPr/>
          </w:pPr>
          <w:hyperlink w:anchor="__RefHeading___Toc234831716">
            <w:r>
              <w:rPr>
                <w:webHidden/>
                <w:rStyle w:val="IndexLink"/>
              </w:rPr>
              <w:t>V.1.2 Données prévisionnelles sur les achats</w:t>
              <w:tab/>
              <w:t>12</w:t>
            </w:r>
          </w:hyperlink>
        </w:p>
        <w:p>
          <w:pPr>
            <w:pStyle w:val="TOC3"/>
            <w:tabs>
              <w:tab w:val="clear" w:pos="708"/>
              <w:tab w:val="right" w:pos="9639" w:leader="dot"/>
            </w:tabs>
            <w:rPr/>
          </w:pPr>
          <w:hyperlink w:anchor="__RefHeading___Toc234831717">
            <w:r>
              <w:rPr>
                <w:webHidden/>
                <w:rStyle w:val="IndexLink"/>
              </w:rPr>
              <w:t>Achats de matières premières</w:t>
              <w:tab/>
              <w:t>12</w:t>
            </w:r>
          </w:hyperlink>
        </w:p>
        <w:p>
          <w:pPr>
            <w:pStyle w:val="TOC3"/>
            <w:tabs>
              <w:tab w:val="clear" w:pos="708"/>
              <w:tab w:val="right" w:pos="9639" w:leader="dot"/>
            </w:tabs>
            <w:rPr/>
          </w:pPr>
          <w:hyperlink w:anchor="__RefHeading___Toc234831718">
            <w:r>
              <w:rPr>
                <w:webHidden/>
                <w:rStyle w:val="IndexLink"/>
              </w:rPr>
              <w:t>V.1.3 Frais Généraux</w:t>
              <w:tab/>
              <w:t>12</w:t>
            </w:r>
          </w:hyperlink>
        </w:p>
        <w:p>
          <w:pPr>
            <w:pStyle w:val="TOC3"/>
            <w:tabs>
              <w:tab w:val="clear" w:pos="708"/>
              <w:tab w:val="right" w:pos="9639" w:leader="dot"/>
            </w:tabs>
            <w:rPr/>
          </w:pPr>
          <w:hyperlink w:anchor="__RefHeading___Toc234831719">
            <w:r>
              <w:rPr>
                <w:webHidden/>
                <w:rStyle w:val="IndexLink"/>
              </w:rPr>
              <w:t>V.1.4 Dotations aux amortissements</w:t>
              <w:tab/>
              <w:t>12</w:t>
            </w:r>
          </w:hyperlink>
        </w:p>
        <w:p>
          <w:pPr>
            <w:pStyle w:val="TOC3"/>
            <w:tabs>
              <w:tab w:val="clear" w:pos="708"/>
              <w:tab w:val="right" w:pos="9639" w:leader="dot"/>
            </w:tabs>
            <w:rPr/>
          </w:pPr>
          <w:hyperlink w:anchor="__RefHeading___Toc234831720">
            <w:r>
              <w:rPr>
                <w:webHidden/>
                <w:rStyle w:val="IndexLink"/>
              </w:rPr>
              <w:t>V.1.5 Echéancier de remboursement</w:t>
              <w:tab/>
              <w:t>13</w:t>
            </w:r>
          </w:hyperlink>
        </w:p>
        <w:p>
          <w:pPr>
            <w:pStyle w:val="TOC2"/>
            <w:tabs>
              <w:tab w:val="clear" w:pos="708"/>
              <w:tab w:val="right" w:pos="9639" w:leader="dot"/>
            </w:tabs>
            <w:rPr/>
          </w:pPr>
          <w:hyperlink w:anchor="__RefHeading___Toc234831721">
            <w:r>
              <w:rPr>
                <w:webHidden/>
                <w:rStyle w:val="IndexLink"/>
              </w:rPr>
              <w:t xml:space="preserve">V.2 </w:t>
            </w:r>
            <w:r>
              <w:rPr>
                <w:rStyle w:val="IndexLink"/>
                <w:i w:val="false"/>
                <w:iCs w:val="false"/>
              </w:rPr>
              <w:t>Coût total du projet</w:t>
            </w:r>
            <w:r>
              <w:rPr>
                <w:rStyle w:val="IndexLink"/>
              </w:rPr>
              <w:tab/>
              <w:t>14</w:t>
            </w:r>
          </w:hyperlink>
        </w:p>
        <w:p>
          <w:pPr>
            <w:pStyle w:val="TOC2"/>
            <w:tabs>
              <w:tab w:val="clear" w:pos="708"/>
              <w:tab w:val="right" w:pos="9639" w:leader="dot"/>
            </w:tabs>
            <w:rPr/>
          </w:pPr>
          <w:hyperlink w:anchor="__RefHeading___Toc234831722">
            <w:r>
              <w:rPr>
                <w:webHidden/>
                <w:rStyle w:val="IndexLink"/>
              </w:rPr>
              <w:t xml:space="preserve">V.3 </w:t>
            </w:r>
            <w:r>
              <w:rPr>
                <w:rStyle w:val="IndexLink"/>
                <w:i w:val="false"/>
                <w:iCs w:val="false"/>
              </w:rPr>
              <w:t>Plan de financement</w:t>
            </w:r>
            <w:r>
              <w:rPr>
                <w:rStyle w:val="IndexLink"/>
              </w:rPr>
              <w:tab/>
              <w:t>15</w:t>
            </w:r>
          </w:hyperlink>
        </w:p>
        <w:p>
          <w:pPr>
            <w:pStyle w:val="TOC2"/>
            <w:tabs>
              <w:tab w:val="clear" w:pos="708"/>
              <w:tab w:val="right" w:pos="9639" w:leader="dot"/>
            </w:tabs>
            <w:rPr/>
          </w:pPr>
          <w:hyperlink w:anchor="__RefHeading___Toc234831723">
            <w:r>
              <w:rPr>
                <w:webHidden/>
                <w:rStyle w:val="IndexLink"/>
              </w:rPr>
              <w:t xml:space="preserve">V.4 </w:t>
            </w:r>
            <w:r>
              <w:rPr>
                <w:rStyle w:val="IndexLink"/>
                <w:i w:val="false"/>
                <w:iCs w:val="false"/>
              </w:rPr>
              <w:t>Compte d'exploitation prévisionnel</w:t>
            </w:r>
            <w:r>
              <w:rPr>
                <w:rStyle w:val="IndexLink"/>
              </w:rPr>
              <w:tab/>
              <w:t>16</w:t>
            </w:r>
          </w:hyperlink>
        </w:p>
        <w:p>
          <w:pPr>
            <w:pStyle w:val="TOC2"/>
            <w:tabs>
              <w:tab w:val="clear" w:pos="708"/>
              <w:tab w:val="right" w:pos="9639" w:leader="dot"/>
            </w:tabs>
            <w:rPr/>
          </w:pPr>
          <w:hyperlink w:anchor="__RefHeading___Toc234831724">
            <w:r>
              <w:rPr>
                <w:webHidden/>
                <w:rStyle w:val="IndexLink"/>
              </w:rPr>
              <w:t xml:space="preserve">V.5 </w:t>
            </w:r>
            <w:r>
              <w:rPr>
                <w:rStyle w:val="IndexLink"/>
                <w:i w:val="false"/>
                <w:iCs w:val="false"/>
              </w:rPr>
              <w:t>Tableau de financement annuel</w:t>
            </w:r>
            <w:r>
              <w:rPr>
                <w:rStyle w:val="IndexLink"/>
              </w:rPr>
              <w:tab/>
              <w:t>17</w:t>
            </w:r>
          </w:hyperlink>
        </w:p>
        <w:p>
          <w:pPr>
            <w:pStyle w:val="TOC2"/>
            <w:tabs>
              <w:tab w:val="clear" w:pos="708"/>
              <w:tab w:val="right" w:pos="9639" w:leader="dot"/>
            </w:tabs>
            <w:rPr/>
          </w:pPr>
          <w:hyperlink w:anchor="__RefHeading___Toc234831725">
            <w:r>
              <w:rPr>
                <w:webHidden/>
                <w:rStyle w:val="IndexLink"/>
              </w:rPr>
              <w:t xml:space="preserve">V.6 </w:t>
            </w:r>
            <w:r>
              <w:rPr>
                <w:rStyle w:val="IndexLink"/>
                <w:i w:val="false"/>
                <w:iCs w:val="false"/>
              </w:rPr>
              <w:t>Bilan de départ</w:t>
            </w:r>
            <w:r>
              <w:rPr>
                <w:rStyle w:val="IndexLink"/>
              </w:rPr>
              <w:tab/>
              <w:t>18</w:t>
            </w:r>
          </w:hyperlink>
        </w:p>
        <w:p>
          <w:pPr>
            <w:pStyle w:val="TOC2"/>
            <w:tabs>
              <w:tab w:val="clear" w:pos="708"/>
              <w:tab w:val="right" w:pos="9639" w:leader="dot"/>
            </w:tabs>
            <w:rPr/>
          </w:pPr>
          <w:hyperlink w:anchor="__RefHeading___Toc234831726">
            <w:r>
              <w:rPr>
                <w:webHidden/>
                <w:rStyle w:val="IndexLink"/>
              </w:rPr>
              <w:t xml:space="preserve">V.7 </w:t>
            </w:r>
            <w:r>
              <w:rPr>
                <w:rStyle w:val="IndexLink"/>
                <w:i w:val="false"/>
                <w:iCs w:val="false"/>
              </w:rPr>
              <w:t>Calcul de rentabilité</w:t>
            </w:r>
            <w:r>
              <w:rPr>
                <w:rStyle w:val="IndexLink"/>
              </w:rPr>
              <w:tab/>
              <w:t>19</w:t>
            </w:r>
          </w:hyperlink>
        </w:p>
        <w:p>
          <w:pPr>
            <w:pStyle w:val="TOC1"/>
            <w:tabs>
              <w:tab w:val="clear" w:pos="708"/>
              <w:tab w:val="right" w:pos="9639" w:leader="dot"/>
            </w:tabs>
            <w:rPr/>
          </w:pPr>
          <w:hyperlink w:anchor="__RefHeading___Toc234831727">
            <w:r>
              <w:rPr>
                <w:webHidden/>
                <w:rStyle w:val="IndexLink"/>
              </w:rPr>
              <w:t>VI. ANALYSE DES FORCES, FAIBLESSES, OPPORTUNITÉS ET MENACES</w:t>
              <w:tab/>
              <w:t>20</w:t>
            </w:r>
          </w:hyperlink>
        </w:p>
        <w:p>
          <w:pPr>
            <w:pStyle w:val="TOC1"/>
            <w:tabs>
              <w:tab w:val="clear" w:pos="708"/>
              <w:tab w:val="right" w:pos="9639" w:leader="dot"/>
            </w:tabs>
            <w:rPr/>
          </w:pPr>
          <w:hyperlink w:anchor="__RefHeading___Toc234831728">
            <w:r>
              <w:rPr>
                <w:webHidden/>
                <w:rStyle w:val="IndexLink"/>
              </w:rPr>
              <w:t>VII. CONCLUSION</w:t>
              <w:tab/>
              <w:t>21</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Issa Traoré</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4 500 000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6 000 000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6 120 000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6 242 400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983 174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1 067 206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1 242 706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1 898 091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1 967 123</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2 142 622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73 (année 3) – 78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6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18134_1321275203"/>
      <w:bookmarkEnd w:id="1"/>
      <w:r>
        <w:rPr/>
        <w:t>APERÇU GÉNÉRAL</w:t>
      </w:r>
      <w:bookmarkStart w:id="2" w:name="__RefHeading___Toc234831691"/>
      <w:bookmarkEnd w:id="2"/>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rPr>
          <w:lang w:val="fr-CI"/>
        </w:rPr>
      </w:pPr>
      <w:r>
        <w:rPr/>
        <w:t xml:space="preserve">Issa Traoré est un jeune producteur résidant à Chôdo, dans la commune de Safo (Région de Koulikoro). Depuis plusieurs années, il pratique la culture de la pastèque en contre-saison et maîtrise les techniques de production maraîchère. Son expérience de terrain et sa connaissance du marché local lui permettent aujourd’hui d’envisager une production à plus grande échelle pour répondre à la demande croissante des marchés de Bamako et de ses environs. C’est dans cette dynamique qu’il crée l’entreprise </w:t>
      </w:r>
      <w:r>
        <w:rPr>
          <w:b/>
          <w:bCs/>
        </w:rPr>
        <w:t>ZÉRÉ DÉLICE D’ISSA</w:t>
      </w:r>
      <w:r>
        <w:rPr/>
        <w:t>, un nom qui exprime à la fois la qualité de ses produits (Zéré = pastèque en bambara), la nature de son produit (la pastèque) et la promesse de saveurs authentiques (Délice).</w:t>
      </w:r>
      <w:r>
        <w:rPr>
          <w:rFonts w:cs="Segoe UI" w:ascii="Segoe UI" w:hAnsi="Segoe UI"/>
          <w:color w:val="0F1115"/>
          <w:shd w:fill="FFFFFF" w:val="clear"/>
        </w:rPr>
        <w:t xml:space="preserve"> </w:t>
      </w:r>
      <w:r>
        <w:rPr/>
        <w:t>Pour renforcer ses compétences, il a suivi une formation technique en production horticole durable organisée par SIDIBE Agrotechniques, à Kati-Bougou, pendant 3 mois. Cette formation lui a permis d’acquérir des compétences pratiques en culture maraîchère durable, notamment sur la pastèque. Il a reçu une attestation de participation délivrée le 12 mars 2026 par le Directeur Général Amadou Dicko Sidibe.</w:t>
      </w:r>
      <w:r>
        <w:rPr>
          <w:rFonts w:cs="Segoe UI" w:ascii="Segoe UI" w:hAnsi="Segoe UI"/>
          <w:color w:val="0F1115"/>
          <w:shd w:fill="FFFFFF" w:val="clear"/>
        </w:rPr>
        <w:t xml:space="preserve"> </w:t>
      </w:r>
      <w:r>
        <w:rPr/>
        <w:t>Son ambition est de devenir un producteur de référence de pastèque dans la commune de Safo et de contribuer à réduire les importations de pastèque au Mali.</w:t>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shd w:val="clear" w:fill="FFFFFF"/>
        <w:suppressAutoHyphens w:val="false"/>
        <w:spacing w:before="240" w:after="240"/>
        <w:rPr/>
      </w:pPr>
      <w:r>
        <w:rPr/>
        <w:t>Le projet est basé sur la création d'une entreprise de production et de commercialisation de pastèque, sous la marque ZÉRÉ DÉLICE D'ISSA. Il s'agit d'aménager une parcelle d'1 hectare en location à Chôdo, commune de Safo (Région de Koulikoro),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 la commercialisation étant concentrée sur la période de récolte. Ce projet contribuera à l'approvisionnement des marchés de Safo, Bamako et environs en pastèques fraîches et juteuses, tout en créant des emplois pour les jeunes de la localité. Il vise un chiffre d'affaires annuel de 6 000 000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Chôdo. Le tableau ci-dessous présente les variétés recommandées pour la zone, sélectionnées pour leur rendement, leur taux de sucre élevé (degrés Brix), leur bonne capacité de conservation et leur adaptation aux climats chauds et secs du Sahel.</w:t>
      </w:r>
    </w:p>
    <w:tbl>
      <w:tblPr>
        <w:tblW w:w="9885" w:type="dxa"/>
        <w:jc w:val="left"/>
        <w:tblInd w:w="-5" w:type="dxa"/>
        <w:tblLayout w:type="fixed"/>
        <w:tblCellMar>
          <w:top w:w="150" w:type="dxa"/>
          <w:left w:w="5" w:type="dxa"/>
          <w:bottom w:w="150" w:type="dxa"/>
          <w:right w:w="235" w:type="dxa"/>
        </w:tblCellMar>
      </w:tblPr>
      <w:tblGrid>
        <w:gridCol w:w="1617"/>
        <w:gridCol w:w="1882"/>
        <w:gridCol w:w="1476"/>
        <w:gridCol w:w="4909"/>
      </w:tblGrid>
      <w:tr>
        <w:trPr>
          <w:tblHeader w:val="true"/>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90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production</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Sugar Baby</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populaire au Mali, résistante à la chaleur, fruits sucrés et juteux.</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Crimson Sweet</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Bien adaptée aux climats chauds et secs, chair rouge foncé très sucrée.</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Charleston Grey</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de grande taille, bonne conservation.</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Black Diamond</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Adaptée aux climats chauds et secs, fruits de grande taille, chair rouge foncé.</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Malali</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Très résistante à la sécheresse, fruits très sucrés.</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Kaolack</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Variété sahélienne reconnue pour sa douceur exceptionnelle (taux de sucre élevé).</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Kankani</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Type dessert cultivé localement au Mali, adapté aux conditions sahéliennes.</w:t>
            </w:r>
          </w:p>
        </w:tc>
      </w:tr>
      <w:tr>
        <w:trPr/>
        <w:tc>
          <w:tcPr>
            <w:tcW w:w="161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Koloss</w:t>
            </w:r>
          </w:p>
        </w:tc>
        <w:tc>
          <w:tcPr>
            <w:tcW w:w="188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Citrullus lanatus</w:t>
            </w:r>
          </w:p>
        </w:tc>
        <w:tc>
          <w:tcPr>
            <w:tcW w:w="14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Rouge</w:t>
            </w:r>
          </w:p>
        </w:tc>
        <w:tc>
          <w:tcPr>
            <w:tcW w:w="490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Variété prisée pour sa chair douce et fraîche, très appréciée des consommateurs.</w:t>
            </w:r>
          </w:p>
        </w:tc>
      </w:tr>
    </w:tbl>
    <w:p>
      <w:pPr>
        <w:pStyle w:val="Normal"/>
        <w:shd w:val="clear" w:fill="FFFFFF"/>
        <w:suppressAutoHyphens w:val="false"/>
        <w:spacing w:before="240" w:after="240"/>
        <w:rPr/>
      </w:pPr>
      <w:r>
        <w:rPr/>
        <w:t>Ces variétés sont soit des variétés locales (landraces) sélectionnées par les agriculteurs maliens pour leur robustesse, soit des variétés hybrides éprouvées dans les conditions sahéliennes. Leur culture sur 1 hectare à Chôdo, avec un système d'irrigation solaire maîtrisé, permettra d'obtenir des fruits de qualité supérieure, très appréciés des consommateurs de Bamako.</w:t>
      </w:r>
    </w:p>
    <w:p>
      <w:pPr>
        <w:pStyle w:val="Normal"/>
        <w:jc w:val="both"/>
        <w:rPr>
          <w:sz w:val="22"/>
          <w:szCs w:val="22"/>
        </w:rPr>
      </w:pPr>
      <w:r>
        <w:rPr>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Aménager et exploiter une parcelle maraîchère d’1 hectare en location à Chôdo, commune de Safo, pour la production et la commercialisation de pastèque fraîche, juteuse et de conservation facile, sous la marque ZÉRÉ DÉLICE D’ISSA.</w:t>
      </w:r>
    </w:p>
    <w:p>
      <w:pPr>
        <w:pStyle w:val="Normal"/>
        <w:rPr>
          <w:b/>
          <w:sz w:val="22"/>
          <w:szCs w:val="22"/>
          <w:lang w:val="fr-CI"/>
        </w:rPr>
      </w:pPr>
      <w:r>
        <w:rPr>
          <w:b/>
          <w:sz w:val="22"/>
          <w:szCs w:val="22"/>
          <w:lang w:val="fr-CI"/>
        </w:rPr>
        <w:t>Les objectifs spécifiques du projet sont :</w:t>
      </w:r>
    </w:p>
    <w:p>
      <w:pPr>
        <w:pStyle w:val="Normal"/>
        <w:numPr>
          <w:ilvl w:val="0"/>
          <w:numId w:val="3"/>
        </w:numPr>
        <w:rPr>
          <w:bCs/>
          <w:sz w:val="22"/>
          <w:szCs w:val="22"/>
        </w:rPr>
      </w:pPr>
      <w:r>
        <w:rPr>
          <w:bCs/>
          <w:sz w:val="22"/>
          <w:szCs w:val="22"/>
        </w:rPr>
        <w:t xml:space="preserve">Réaliser un chiffre d’affaires de </w:t>
      </w:r>
      <w:r>
        <w:rPr>
          <w:sz w:val="22"/>
          <w:szCs w:val="22"/>
        </w:rPr>
        <w:t>6 000 000 FCFA</w:t>
      </w:r>
      <w:r>
        <w:rPr>
          <w:bCs/>
          <w:sz w:val="22"/>
          <w:szCs w:val="22"/>
        </w:rPr>
        <w:t xml:space="preserve"> la première année d’exploitation de la parcelle maraîchère ;</w:t>
      </w:r>
    </w:p>
    <w:p>
      <w:pPr>
        <w:pStyle w:val="Normal"/>
        <w:numPr>
          <w:ilvl w:val="0"/>
          <w:numId w:val="3"/>
        </w:numPr>
        <w:rPr>
          <w:bCs/>
          <w:sz w:val="22"/>
          <w:szCs w:val="22"/>
        </w:rPr>
      </w:pPr>
      <w:r>
        <w:rPr>
          <w:bCs/>
          <w:sz w:val="22"/>
          <w:szCs w:val="22"/>
        </w:rPr>
        <w:t xml:space="preserve">Offrir sur le marché de </w:t>
      </w:r>
      <w:r>
        <w:rPr>
          <w:sz w:val="22"/>
          <w:szCs w:val="22"/>
        </w:rPr>
        <w:t>Bamako, Safo et environs des pastèques fraîches, juteuses et de conservation facile</w:t>
      </w:r>
      <w:r>
        <w:rPr>
          <w:bCs/>
          <w:sz w:val="22"/>
          <w:szCs w:val="22"/>
        </w:rPr>
        <w:t xml:space="preserve"> (gros, moyen et petit calibres) ;</w:t>
      </w:r>
    </w:p>
    <w:p>
      <w:pPr>
        <w:pStyle w:val="Normal"/>
        <w:numPr>
          <w:ilvl w:val="0"/>
          <w:numId w:val="3"/>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w:t>
      </w:r>
      <w:r>
        <w:rPr>
          <w:bCs/>
          <w:sz w:val="22"/>
          <w:szCs w:val="22"/>
        </w:rPr>
        <w:t xml:space="preserve"> et peu d’engrais chimiques ;</w:t>
      </w:r>
    </w:p>
    <w:p>
      <w:pPr>
        <w:pStyle w:val="Normal"/>
        <w:numPr>
          <w:ilvl w:val="0"/>
          <w:numId w:val="3"/>
        </w:numPr>
        <w:rPr>
          <w:bCs/>
          <w:sz w:val="22"/>
          <w:szCs w:val="22"/>
        </w:rPr>
      </w:pPr>
      <w:r>
        <w:rPr>
          <w:bCs/>
          <w:sz w:val="22"/>
          <w:szCs w:val="22"/>
        </w:rPr>
        <w:t xml:space="preserve">Créer </w:t>
      </w:r>
      <w:r>
        <w:rPr>
          <w:sz w:val="22"/>
          <w:szCs w:val="22"/>
        </w:rPr>
        <w:t>cinq (5) emplois directs</w:t>
      </w:r>
      <w:r>
        <w:rPr>
          <w:bCs/>
          <w:sz w:val="22"/>
          <w:szCs w:val="22"/>
        </w:rPr>
        <w:t xml:space="preserve"> (1 promoteur, 1 agronome, 3 saisonniers) pour les jeunes et les femmes de la localité ;</w:t>
      </w:r>
    </w:p>
    <w:p>
      <w:pPr>
        <w:pStyle w:val="Normal"/>
        <w:numPr>
          <w:ilvl w:val="0"/>
          <w:numId w:val="3"/>
        </w:numPr>
        <w:rPr>
          <w:bCs/>
          <w:sz w:val="22"/>
          <w:szCs w:val="22"/>
        </w:rPr>
      </w:pPr>
      <w:r>
        <w:rPr>
          <w:bCs/>
          <w:sz w:val="22"/>
          <w:szCs w:val="22"/>
        </w:rPr>
        <w:t xml:space="preserve">Positionner la marque </w:t>
      </w:r>
      <w:r>
        <w:rPr>
          <w:b/>
          <w:bCs/>
          <w:sz w:val="22"/>
          <w:szCs w:val="22"/>
        </w:rPr>
        <w:t>ZÉRÉ DÉLICE D’ISSA</w:t>
      </w:r>
      <w:r>
        <w:rPr>
          <w:bCs/>
          <w:sz w:val="22"/>
          <w:szCs w:val="22"/>
        </w:rPr>
        <w:t xml:space="preserve"> comme une référence de qualité sur le marché malien de la pastèque.</w:t>
      </w:r>
    </w:p>
    <w:p>
      <w:pPr>
        <w:pStyle w:val="Normal"/>
        <w:rPr>
          <w:bCs/>
          <w:sz w:val="22"/>
          <w:szCs w:val="22"/>
        </w:rPr>
      </w:pPr>
      <w:r>
        <w:rPr>
          <w:bCs/>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 xml:space="preserve">Le projet est réalisé à </w:t>
      </w:r>
      <w:r>
        <w:rPr>
          <w:b/>
          <w:bCs/>
        </w:rPr>
        <w:t>Chôdo</w:t>
      </w:r>
      <w:r>
        <w:rPr/>
        <w:t xml:space="preserve">, dans la commune de </w:t>
      </w:r>
      <w:r>
        <w:rPr>
          <w:b/>
          <w:bCs/>
        </w:rPr>
        <w:t>Safo</w:t>
      </w:r>
      <w:r>
        <w:rPr/>
        <w:t xml:space="preserve">, Région de </w:t>
      </w:r>
      <w:r>
        <w:rPr>
          <w:b/>
          <w:bCs/>
        </w:rPr>
        <w:t>Koulikoro.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ZÉRÉ DÉLICE D'ISSA</w:t>
      </w:r>
      <w:r>
        <w:rPr>
          <w:lang w:eastAsia="en-US"/>
        </w:rPr>
        <w:t xml:space="preserve"> offre aux clients sont : la pastèque de gros calibre, la pastèque de moyen calibre et la pastèque de petit calibre. Il faut noter que la caractéristique fondamentale des produits de l'entreprise est leur qualité gustative supérieure, leur fraîcheu</w:t>
      </w:r>
      <w:r>
        <w:rPr>
          <w:b/>
          <w:bCs/>
          <w:lang w:eastAsia="en-US"/>
        </w:rPr>
        <w:t>r</w:t>
      </w:r>
      <w:r>
        <w:rPr>
          <w:lang w:eastAsia="en-US"/>
        </w:rPr>
        <w:t xml:space="preserve"> et leur valeur nutritive,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Pastèque de gros calibre (6 à 8 kg) :</w:t>
      </w:r>
    </w:p>
    <w:p>
      <w:pPr>
        <w:pStyle w:val="Normal"/>
        <w:numPr>
          <w:ilvl w:val="0"/>
          <w:numId w:val="12"/>
        </w:numPr>
        <w:rPr>
          <w:lang w:eastAsia="en-US"/>
        </w:rPr>
      </w:pPr>
      <w:r>
        <w:rPr>
          <w:lang w:eastAsia="en-US"/>
        </w:rPr>
        <w:t>Variété Koloss ;</w:t>
      </w:r>
    </w:p>
    <w:p>
      <w:pPr>
        <w:pStyle w:val="Normal"/>
        <w:numPr>
          <w:ilvl w:val="0"/>
          <w:numId w:val="12"/>
        </w:numPr>
        <w:rPr>
          <w:lang w:eastAsia="en-US"/>
        </w:rPr>
      </w:pPr>
      <w:r>
        <w:rPr>
          <w:lang w:eastAsia="en-US"/>
        </w:rPr>
        <w:t>Chair rouge, juteuse et sucrée ;</w:t>
      </w:r>
    </w:p>
    <w:p>
      <w:pPr>
        <w:pStyle w:val="Normal"/>
        <w:numPr>
          <w:ilvl w:val="0"/>
          <w:numId w:val="12"/>
        </w:numPr>
        <w:rPr>
          <w:lang w:eastAsia="en-US"/>
        </w:rPr>
      </w:pPr>
      <w:r>
        <w:rPr>
          <w:lang w:eastAsia="en-US"/>
        </w:rPr>
        <w:t>Qualité gustative supérieure ;</w:t>
      </w:r>
    </w:p>
    <w:p>
      <w:pPr>
        <w:pStyle w:val="Normal"/>
        <w:numPr>
          <w:ilvl w:val="0"/>
          <w:numId w:val="12"/>
        </w:numPr>
        <w:rPr>
          <w:lang w:eastAsia="en-US"/>
        </w:rPr>
      </w:pPr>
      <w:r>
        <w:rPr>
          <w:lang w:eastAsia="en-US"/>
        </w:rPr>
        <w:t>Valeur nutritive élevée ;</w:t>
      </w:r>
    </w:p>
    <w:p>
      <w:pPr>
        <w:pStyle w:val="Normal"/>
        <w:numPr>
          <w:ilvl w:val="0"/>
          <w:numId w:val="12"/>
        </w:numPr>
        <w:rPr>
          <w:lang w:eastAsia="en-US"/>
        </w:rPr>
      </w:pPr>
      <w:r>
        <w:rPr>
          <w:lang w:eastAsia="en-US"/>
        </w:rPr>
        <w:t>Riche en vitamines A et C ;</w:t>
      </w:r>
    </w:p>
    <w:p>
      <w:pPr>
        <w:pStyle w:val="Normal"/>
        <w:numPr>
          <w:ilvl w:val="0"/>
          <w:numId w:val="12"/>
        </w:numPr>
        <w:rPr>
          <w:lang w:eastAsia="en-US"/>
        </w:rPr>
      </w:pPr>
      <w:r>
        <w:rPr>
          <w:lang w:eastAsia="en-US"/>
        </w:rPr>
        <w:t>Facilite la digestion.</w:t>
      </w:r>
    </w:p>
    <w:p>
      <w:pPr>
        <w:pStyle w:val="Normal"/>
        <w:rPr>
          <w:lang w:eastAsia="en-US"/>
        </w:rPr>
      </w:pPr>
      <w:r>
        <w:rPr>
          <w:b/>
          <w:bCs/>
          <w:lang w:eastAsia="en-US"/>
        </w:rPr>
        <w:t>Pastèque de moyen calibre (4 à 5 kg) :</w:t>
      </w:r>
    </w:p>
    <w:p>
      <w:pPr>
        <w:pStyle w:val="Normal"/>
        <w:numPr>
          <w:ilvl w:val="0"/>
          <w:numId w:val="5"/>
        </w:numPr>
        <w:rPr>
          <w:lang w:eastAsia="en-US"/>
        </w:rPr>
      </w:pPr>
      <w:r>
        <w:rPr>
          <w:lang w:eastAsia="en-US"/>
        </w:rPr>
        <w:t>Chair rouge, juteuse et sucrée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Prix abordable ;</w:t>
      </w:r>
    </w:p>
    <w:p>
      <w:pPr>
        <w:pStyle w:val="Normal"/>
        <w:numPr>
          <w:ilvl w:val="0"/>
          <w:numId w:val="5"/>
        </w:numPr>
        <w:rPr>
          <w:lang w:eastAsia="en-US"/>
        </w:rPr>
      </w:pPr>
      <w:r>
        <w:rPr>
          <w:lang w:eastAsia="en-US"/>
        </w:rPr>
        <w:t>Valeur nutritive élevée ;</w:t>
      </w:r>
    </w:p>
    <w:p>
      <w:pPr>
        <w:pStyle w:val="Normal"/>
        <w:numPr>
          <w:ilvl w:val="0"/>
          <w:numId w:val="5"/>
        </w:numPr>
        <w:rPr>
          <w:lang w:eastAsia="en-US"/>
        </w:rPr>
      </w:pPr>
      <w:r>
        <w:rPr>
          <w:lang w:eastAsia="en-US"/>
        </w:rPr>
        <w:t>Riche en vitamines ;</w:t>
      </w:r>
    </w:p>
    <w:p>
      <w:pPr>
        <w:pStyle w:val="Normal"/>
        <w:numPr>
          <w:ilvl w:val="0"/>
          <w:numId w:val="5"/>
        </w:numPr>
        <w:rPr>
          <w:lang w:eastAsia="en-US"/>
        </w:rPr>
      </w:pPr>
      <w:r>
        <w:rPr>
          <w:lang w:eastAsia="en-US"/>
        </w:rPr>
        <w:t>Facilite la digestion.</w:t>
      </w:r>
    </w:p>
    <w:p>
      <w:pPr>
        <w:pStyle w:val="Normal"/>
        <w:rPr>
          <w:lang w:eastAsia="en-US"/>
        </w:rPr>
      </w:pPr>
      <w:r>
        <w:rPr>
          <w:b/>
          <w:bCs/>
          <w:lang w:eastAsia="en-US"/>
        </w:rPr>
        <w:t>Pastèque de petit calibre (2 à 3 kg) :</w:t>
      </w:r>
    </w:p>
    <w:p>
      <w:pPr>
        <w:pStyle w:val="Normal"/>
        <w:numPr>
          <w:ilvl w:val="0"/>
          <w:numId w:val="15"/>
        </w:numPr>
        <w:rPr>
          <w:lang w:eastAsia="en-US"/>
        </w:rPr>
      </w:pPr>
      <w:r>
        <w:rPr>
          <w:lang w:eastAsia="en-US"/>
        </w:rPr>
        <w:t>Chair rouge, juteuse et sucrée ;</w:t>
      </w:r>
    </w:p>
    <w:p>
      <w:pPr>
        <w:pStyle w:val="Normal"/>
        <w:numPr>
          <w:ilvl w:val="0"/>
          <w:numId w:val="15"/>
        </w:numPr>
        <w:rPr>
          <w:lang w:eastAsia="en-US"/>
        </w:rPr>
      </w:pPr>
      <w:r>
        <w:rPr>
          <w:lang w:eastAsia="en-US"/>
        </w:rPr>
        <w:t>Idéale pour les ménages de petite taille ;</w:t>
      </w:r>
    </w:p>
    <w:p>
      <w:pPr>
        <w:pStyle w:val="Normal"/>
        <w:numPr>
          <w:ilvl w:val="0"/>
          <w:numId w:val="15"/>
        </w:numPr>
        <w:rPr>
          <w:lang w:eastAsia="en-US"/>
        </w:rPr>
      </w:pPr>
      <w:r>
        <w:rPr>
          <w:lang w:eastAsia="en-US"/>
        </w:rPr>
        <w:t>Prix très abordable ;</w:t>
      </w:r>
    </w:p>
    <w:p>
      <w:pPr>
        <w:pStyle w:val="Normal"/>
        <w:numPr>
          <w:ilvl w:val="0"/>
          <w:numId w:val="15"/>
        </w:numPr>
        <w:rPr>
          <w:lang w:eastAsia="en-US"/>
        </w:rPr>
      </w:pPr>
      <w:r>
        <w:rPr>
          <w:lang w:eastAsia="en-US"/>
        </w:rPr>
        <w:t>Valeur nutritive élevée.</w:t>
      </w:r>
    </w:p>
    <w:p>
      <w:pPr>
        <w:pStyle w:val="Normal"/>
        <w:rPr>
          <w:b/>
          <w:bCs/>
          <w:lang w:eastAsia="en-US"/>
        </w:rPr>
      </w:pPr>
      <w:r>
        <w:rPr>
          <w:b/>
          <w:bCs/>
          <w:lang w:eastAsia="en-US"/>
        </w:rPr>
        <w:t>2. Le marché cible / secteur d'activité</w:t>
      </w:r>
    </w:p>
    <w:p>
      <w:pPr>
        <w:pStyle w:val="Normal"/>
        <w:rPr>
          <w:lang w:eastAsia="en-US"/>
        </w:rPr>
      </w:pPr>
      <w:r>
        <w:rPr>
          <w:lang w:eastAsia="en-US"/>
        </w:rPr>
        <w:t>Le marché cible de l'entreprise est constitué par les commerçants grossistes de produits maraîchers, les revendeurs de fruits, les restaurateurs, les hôtels et les particuliers consommateurs de la ville de Safo, de Bamako et environs.</w:t>
      </w:r>
    </w:p>
    <w:p>
      <w:pPr>
        <w:pStyle w:val="Normal"/>
        <w:rPr>
          <w:b/>
          <w:bCs/>
          <w:lang w:eastAsia="en-US"/>
        </w:rPr>
      </w:pPr>
      <w:r>
        <w:rPr>
          <w:b/>
          <w:bCs/>
          <w:lang w:eastAsia="en-US"/>
        </w:rPr>
        <w:t>3. Analyse de l'offre :</w:t>
      </w:r>
    </w:p>
    <w:p>
      <w:pPr>
        <w:pStyle w:val="Normal"/>
        <w:rPr>
          <w:lang w:eastAsia="en-US"/>
        </w:rPr>
      </w:pPr>
      <w:r>
        <w:rPr>
          <w:lang w:eastAsia="en-US"/>
        </w:rPr>
        <w:t>L'offre en pastèque au Mali est caractérisée par une forte saisonnalité et une rentabilité attractive. Les produits importés du Maroc sont chers et ne répondent pas toujours aux besoins locaux. Le secteur souffre d'un manque de tri et de logistique adaptée, ce qui entraîne des pertes post-récolte importantes. Les offres concurrentielles proposent des variétés standard à des prix variant entre 150 et 200 F/kg,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qui sont nécessaires à la production sont : les semences de pastèque de variétés adaptées aux conditions locales (Koloss, Sugar Baby, Crimson Sweet, Charleston Grey, Malali, Kaolack), les </w:t>
      </w:r>
      <w:r>
        <w:rPr>
          <w:b/>
          <w:bCs/>
          <w:lang w:eastAsia="en-US"/>
        </w:rPr>
        <w:t>engrais NPK et Urée</w:t>
      </w:r>
      <w:r>
        <w:rPr>
          <w:lang w:eastAsia="en-US"/>
        </w:rPr>
        <w:t>, les produits phytosanitaires, et la fumure organique.</w:t>
      </w:r>
    </w:p>
    <w:p>
      <w:pPr>
        <w:pStyle w:val="Normal"/>
        <w:rPr>
          <w:lang w:eastAsia="en-US"/>
        </w:rPr>
      </w:pPr>
      <w:r>
        <w:rPr>
          <w:lang w:eastAsia="en-US"/>
        </w:rPr>
        <w:t>L'approvisionnement en matières premières se fera essentiellement auprès des fournisseurs spécialisés de Bamako pour les semences et les intrants, ainsi qu'auprès des éleveurs locaux pour la fumure organique.</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ZÉRÉ DÉLICE D'ISSA</w:t>
      </w:r>
      <w:r>
        <w:rPr>
          <w:lang w:eastAsia="en-US"/>
        </w:rPr>
        <w:t xml:space="preserve"> est structurée autour de deux axes principaux :</w:t>
      </w:r>
    </w:p>
    <w:p>
      <w:pPr>
        <w:pStyle w:val="Normal"/>
        <w:numPr>
          <w:ilvl w:val="0"/>
          <w:numId w:val="2"/>
        </w:numPr>
        <w:rPr>
          <w:lang w:eastAsia="en-US"/>
        </w:rPr>
      </w:pPr>
      <w:r>
        <w:rPr>
          <w:lang w:eastAsia="en-US"/>
        </w:rPr>
        <w:t>La vente directe dans la ferme aux commerçants grossistes ;</w:t>
      </w:r>
    </w:p>
    <w:p>
      <w:pPr>
        <w:pStyle w:val="Normal"/>
        <w:numPr>
          <w:ilvl w:val="0"/>
          <w:numId w:val="2"/>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 Les commerçants grossistes se rendent généralement dans la ferme pour s'approvisionner afin de choisir les produits.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ZÉRÉ DÉLICE D'ISSA</w:t>
      </w:r>
      <w:r>
        <w:rPr>
          <w:lang w:eastAsia="en-US"/>
        </w:rPr>
        <w:t xml:space="preserve"> :</w:t>
      </w:r>
    </w:p>
    <w:tbl>
      <w:tblPr>
        <w:tblW w:w="10103" w:type="dxa"/>
        <w:jc w:val="left"/>
        <w:tblInd w:w="-5" w:type="dxa"/>
        <w:tblLayout w:type="fixed"/>
        <w:tblCellMar>
          <w:top w:w="150" w:type="dxa"/>
          <w:left w:w="5" w:type="dxa"/>
          <w:bottom w:w="150" w:type="dxa"/>
          <w:right w:w="235" w:type="dxa"/>
        </w:tblCellMar>
      </w:tblPr>
      <w:tblGrid>
        <w:gridCol w:w="4934"/>
        <w:gridCol w:w="2036"/>
        <w:gridCol w:w="3133"/>
      </w:tblGrid>
      <w:tr>
        <w:trPr>
          <w:tblHeader w:val="true"/>
          <w:trHeight w:val="271"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b/>
                <w:bCs/>
                <w:lang w:eastAsia="en-US"/>
              </w:rPr>
            </w:pPr>
            <w:r>
              <w:rPr>
                <w:b/>
                <w:bCs/>
                <w:lang w:eastAsia="en-US"/>
              </w:rPr>
              <w:t>Désignation</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Unité</w:t>
            </w:r>
          </w:p>
        </w:tc>
        <w:tc>
          <w:tcPr>
            <w:tcW w:w="3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PU en gros</w:t>
            </w:r>
          </w:p>
        </w:tc>
      </w:tr>
      <w:tr>
        <w:trPr>
          <w:trHeight w:val="271"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gros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r>
        <w:trPr>
          <w:trHeight w:val="259"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moyen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r>
        <w:trPr>
          <w:trHeight w:val="283" w:hRule="atLeast"/>
        </w:trPr>
        <w:tc>
          <w:tcPr>
            <w:tcW w:w="4934"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petit calibre</w:t>
            </w:r>
          </w:p>
        </w:tc>
        <w:tc>
          <w:tcPr>
            <w:tcW w:w="203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13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200</w:t>
            </w:r>
          </w:p>
        </w:tc>
      </w:tr>
    </w:tbl>
    <w:p>
      <w:pPr>
        <w:pStyle w:val="Normal"/>
        <w:rPr>
          <w:lang w:eastAsia="en-US"/>
        </w:rPr>
      </w:pPr>
      <w:r>
        <w:rPr>
          <w:lang w:eastAsia="en-US"/>
        </w:rPr>
        <w:t>Les prix proposés par les concurrents de l'entreprise :</w:t>
      </w:r>
    </w:p>
    <w:tbl>
      <w:tblPr>
        <w:tblW w:w="10215" w:type="dxa"/>
        <w:jc w:val="left"/>
        <w:tblInd w:w="-142" w:type="dxa"/>
        <w:tblLayout w:type="fixed"/>
        <w:tblCellMar>
          <w:top w:w="150" w:type="dxa"/>
          <w:left w:w="5" w:type="dxa"/>
          <w:bottom w:w="150" w:type="dxa"/>
          <w:right w:w="235" w:type="dxa"/>
        </w:tblCellMar>
      </w:tblPr>
      <w:tblGrid>
        <w:gridCol w:w="4515"/>
        <w:gridCol w:w="2245"/>
        <w:gridCol w:w="3455"/>
      </w:tblGrid>
      <w:tr>
        <w:trPr>
          <w:tblHeader w:val="true"/>
          <w:trHeight w:val="264" w:hRule="atLeast"/>
        </w:trPr>
        <w:tc>
          <w:tcPr>
            <w:tcW w:w="4515" w:type="dxa"/>
            <w:tcBorders>
              <w:top w:val="single" w:sz="4" w:space="0" w:color="000000"/>
              <w:left w:val="single" w:sz="4" w:space="0" w:color="000000"/>
              <w:bottom w:val="single" w:sz="4" w:space="0" w:color="000000"/>
              <w:right w:val="single" w:sz="4" w:space="0" w:color="000000"/>
            </w:tcBorders>
            <w:vAlign w:val="center"/>
          </w:tcPr>
          <w:p>
            <w:pPr>
              <w:pStyle w:val="Normal"/>
              <w:rPr>
                <w:b/>
                <w:bCs/>
                <w:lang w:eastAsia="en-US"/>
              </w:rPr>
            </w:pPr>
            <w:r>
              <w:rPr>
                <w:b/>
                <w:bCs/>
                <w:lang w:eastAsia="en-US"/>
              </w:rPr>
              <w:t>Désignation</w:t>
            </w:r>
          </w:p>
        </w:tc>
        <w:tc>
          <w:tcPr>
            <w:tcW w:w="22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Unité</w:t>
            </w:r>
          </w:p>
        </w:tc>
        <w:tc>
          <w:tcPr>
            <w:tcW w:w="3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lang w:eastAsia="en-US"/>
              </w:rPr>
            </w:pPr>
            <w:r>
              <w:rPr>
                <w:b/>
                <w:bCs/>
                <w:lang w:eastAsia="en-US"/>
              </w:rPr>
              <w:t>PU en gros</w:t>
            </w:r>
          </w:p>
        </w:tc>
      </w:tr>
      <w:tr>
        <w:trPr>
          <w:trHeight w:val="264" w:hRule="atLeast"/>
        </w:trPr>
        <w:tc>
          <w:tcPr>
            <w:tcW w:w="451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Pastèque standard</w:t>
            </w:r>
          </w:p>
        </w:tc>
        <w:tc>
          <w:tcPr>
            <w:tcW w:w="22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Kg</w:t>
            </w:r>
          </w:p>
        </w:tc>
        <w:tc>
          <w:tcPr>
            <w:tcW w:w="345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150 à 200</w:t>
            </w:r>
          </w:p>
        </w:tc>
      </w:tr>
    </w:tbl>
    <w:p>
      <w:pPr>
        <w:pStyle w:val="Normal"/>
        <w:rPr>
          <w:b/>
          <w:bCs/>
          <w:lang w:eastAsia="en-US"/>
        </w:rPr>
      </w:pPr>
      <w:r>
        <w:rPr>
          <w:b/>
          <w:bCs/>
          <w:lang w:eastAsia="en-US"/>
        </w:rPr>
        <w:t>4. L'analyse de la concurrence :</w:t>
      </w:r>
    </w:p>
    <w:p>
      <w:pPr>
        <w:pStyle w:val="Normal"/>
        <w:rPr>
          <w:lang w:eastAsia="en-US"/>
        </w:rPr>
      </w:pPr>
      <w:r>
        <w:rPr>
          <w:lang w:eastAsia="en-US"/>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ZÉRÉ DÉLICE D'ISSA de fournir sur le marché des produits de très bonne qualité qui seront appréciés par les clients.</w:t>
      </w:r>
    </w:p>
    <w:p>
      <w:pPr>
        <w:pStyle w:val="Normal"/>
        <w:rPr>
          <w:lang w:eastAsia="en-US"/>
        </w:rPr>
      </w:pPr>
      <w:r>
        <w:rPr>
          <w:lang w:eastAsia="en-US"/>
        </w:rPr>
        <w:t>Les concurrents qui fournissent des produits de même qualité que ceux de l’entreprise pratiquent généralement des prix plus élevés que les siens.</w:t>
      </w:r>
    </w:p>
    <w:p>
      <w:pPr>
        <w:pStyle w:val="Normal"/>
        <w:rPr>
          <w:lang w:eastAsia="en-US"/>
        </w:rPr>
      </w:pPr>
      <w:r>
        <w:rPr>
          <w:lang w:eastAsia="en-US"/>
        </w:rPr>
        <w:t>Cependant l’entreprise développera des stratégies pour mieux se positionner sur le marché en :</w:t>
      </w:r>
    </w:p>
    <w:p>
      <w:pPr>
        <w:pStyle w:val="Normal"/>
        <w:numPr>
          <w:ilvl w:val="0"/>
          <w:numId w:val="10"/>
        </w:numPr>
        <w:rPr>
          <w:lang w:eastAsia="en-US"/>
        </w:rPr>
      </w:pPr>
      <w:r>
        <w:rPr>
          <w:lang w:eastAsia="en-US"/>
        </w:rPr>
        <w:t>Fidélisant ses clients afin d’étendre sa part de marché ;</w:t>
      </w:r>
    </w:p>
    <w:p>
      <w:pPr>
        <w:pStyle w:val="Normal"/>
        <w:numPr>
          <w:ilvl w:val="0"/>
          <w:numId w:val="10"/>
        </w:numPr>
        <w:rPr>
          <w:lang w:eastAsia="en-US"/>
        </w:rPr>
      </w:pPr>
      <w:r>
        <w:rPr>
          <w:lang w:eastAsia="en-US"/>
        </w:rPr>
        <w:t>Renforçant sa capacité de production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de développer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commerçants grossistes de produits maraîchers, les revendeurs de fruits, les restaurateurs, les hôtels et les particuliers consommateurs de la ville de Safo, de Bamako et environs. En général, les clients sont exigeants sur certains éléments clés : la </w:t>
      </w:r>
      <w:r>
        <w:rPr>
          <w:b/>
          <w:bCs/>
          <w:lang w:eastAsia="en-US"/>
        </w:rPr>
        <w:t>taille du produit</w:t>
      </w:r>
      <w:r>
        <w:rPr>
          <w:lang w:eastAsia="en-US"/>
        </w:rPr>
        <w:t xml:space="preserve">, la </w:t>
      </w:r>
      <w:r>
        <w:rPr>
          <w:b/>
          <w:bCs/>
          <w:lang w:eastAsia="en-US"/>
        </w:rPr>
        <w:t>durée de conservation à l'état frais</w:t>
      </w:r>
      <w:r>
        <w:rPr>
          <w:lang w:eastAsia="en-US"/>
        </w:rPr>
        <w:t xml:space="preserve">, la </w:t>
      </w:r>
      <w:r>
        <w:rPr>
          <w:b/>
          <w:bCs/>
          <w:lang w:eastAsia="en-US"/>
        </w:rPr>
        <w:t>qualité gustative</w:t>
      </w:r>
      <w:r>
        <w:rPr>
          <w:lang w:eastAsia="en-US"/>
        </w:rPr>
        <w:t xml:space="preserve"> et la </w:t>
      </w:r>
      <w:r>
        <w:rPr>
          <w:b/>
          <w:bCs/>
          <w:lang w:eastAsia="en-US"/>
        </w:rPr>
        <w:t>nature des fertilisants</w:t>
      </w:r>
      <w:r>
        <w:rPr>
          <w:lang w:eastAsia="en-US"/>
        </w:rPr>
        <w:t xml:space="preserve"> utilisés par le producteur.</w:t>
      </w:r>
    </w:p>
    <w:p>
      <w:pPr>
        <w:pStyle w:val="Normal"/>
        <w:rPr>
          <w:lang w:eastAsia="en-US"/>
        </w:rPr>
      </w:pPr>
      <w:r>
        <w:rPr>
          <w:lang w:eastAsia="en-US"/>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rPr>
          <w:lang w:eastAsia="en-US"/>
        </w:rPr>
      </w:pPr>
      <w:r>
        <w:rPr>
          <w:lang w:eastAsia="en-US"/>
        </w:rPr>
        <w:t>Cela permet également d'avoir une longue durée de conservation des produits maraîchers à l'état frais.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ZÉRÉ DÉLICE D'ISSA</w:t>
      </w:r>
      <w:r>
        <w:rPr>
          <w:lang w:eastAsia="en-US"/>
        </w:rPr>
        <w:t xml:space="preserve"> est axée sur la production de pastèques de haute qualité, disponibles en contre-saison et répondant aux attentes des consommateurs exigeants. La marque véhicule une image de naturalité, de santé et de plaisir (Zéré = pastèque en bambara, Délice = plaisir). Les pastèques sont proposées en trois calibres : gros calibre (6 à 8 kg), moyen calibre (4 à 5 kg) et petit calibre (2 à 3 kg), avec une chair rouge, juteuse et sucrée. Cette politique vise à fidéliser la clientèle et à assurer l’écoulement régulier de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200 F CFA/kg, soit environ 1 000 F CFA par pièce de 5 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la parcelle maraîchère à Chôdo, commune de Safo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numPr>
          <w:ilvl w:val="0"/>
          <w:numId w:val="13"/>
        </w:numPr>
        <w:rPr>
          <w:lang w:eastAsia="en-US"/>
        </w:rPr>
      </w:pPr>
      <w:r>
        <w:rPr>
          <w:lang w:eastAsia="en-US"/>
        </w:rPr>
        <w:t>Le projet sera réalisé à Chôdo, dans la commune de Safo, Région de Koulikoro. Le site du projet est accessible avec des routes praticables en toute saison, cela facilitera le transport de la production pour la livraison aux clients. Le terrain est lou</w:t>
      </w:r>
      <w:r>
        <w:rPr>
          <w:b/>
          <w:bCs/>
          <w:lang w:eastAsia="en-US"/>
        </w:rPr>
        <w:t>é</w:t>
      </w:r>
      <w:r>
        <w:rPr>
          <w:lang w:eastAsia="en-US"/>
        </w:rPr>
        <w:t xml:space="preserve"> pour une durée de 7 ans, renouvelable. Le contrat de location, dûment signé et légalisé, sera joint en annexe du présent plan d’affaires.</w:t>
      </w:r>
    </w:p>
    <w:p>
      <w:pPr>
        <w:pStyle w:val="ds-markdown-paragraph"/>
        <w:shd w:val="clear" w:fill="FFFFFF"/>
        <w:spacing w:before="240" w:after="240"/>
        <w:ind w:left="360" w:right="0"/>
        <w:rPr>
          <w:rFonts w:ascii="Segoe UI" w:hAnsi="Segoe UI" w:cs="Segoe UI"/>
          <w:color w:val="0F1115"/>
        </w:rPr>
      </w:pPr>
      <w:r>
        <w:rPr>
          <w:rFonts w:cs="Segoe UI" w:ascii="Segoe UI" w:hAnsi="Segoe UI"/>
          <w:color w:val="0F1115"/>
        </w:rPr>
        <w:t>.</w:t>
      </w:r>
    </w:p>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préparatoire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Formation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500 000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solaire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1 200 000</w:t>
            </w:r>
          </w:p>
        </w:tc>
        <w:tc>
          <w:tcPr>
            <w:tcW w:w="155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Panneaux solaires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vannes, pulvérisateur</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3 105 000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80 000</w:t>
            </w:r>
          </w:p>
        </w:tc>
      </w:tr>
    </w:tbl>
    <w:p>
      <w:pPr>
        <w:pStyle w:val="Heading3"/>
        <w:numPr>
          <w:ilvl w:val="1"/>
          <w:numId w:val="9"/>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Paillage en plastique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485 000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2" w:name="__RefHeading___Toc234831711"/>
      <w:bookmarkEnd w:id="12"/>
      <w:r>
        <w:rPr>
          <w:rFonts w:cs="Times New Roman" w:ascii="Times New Roman" w:hAnsi="Times New Roman"/>
          <w:i w:val="false"/>
          <w:iCs w:val="false"/>
          <w:sz w:val="24"/>
          <w:szCs w:val="24"/>
          <w:lang w:val="fr-CI"/>
        </w:rPr>
        <w:t>Le processus de production :</w:t>
      </w:r>
    </w:p>
    <w:p>
      <w:pPr>
        <w:pStyle w:val="Normal"/>
        <w:rPr/>
      </w:pPr>
      <w:r>
        <w:rPr>
          <w:b/>
          <w:bCs/>
        </w:rPr>
        <w:t>Étapes culturales de la pastèque :</w:t>
      </w:r>
      <w:r>
        <w:rPr/>
        <w:br/>
        <w:t>Préparation du sol → Semis en alvéoles → Repiquage → Irrigation → Fertilisation → Entretien → Floraison/Pollinisation → Récolte → Tri → Conditionnement.</w:t>
      </w:r>
    </w:p>
    <w:p>
      <w:pPr>
        <w:pStyle w:val="Normal"/>
        <w:rPr/>
      </w:pPr>
      <w:r>
        <w:rPr/>
        <w:t>Le processus de production au niveau de la parcelle maraîchère ZÉRÉ</w:t>
      </w:r>
      <w:r>
        <w:rPr>
          <w:b/>
          <w:bCs/>
        </w:rPr>
        <w:t xml:space="preserve"> DÉLICE D'ISSA</w:t>
      </w:r>
      <w:r>
        <w:rPr/>
        <w:t xml:space="preserve"> comprend :</w:t>
      </w:r>
    </w:p>
    <w:p>
      <w:pPr>
        <w:pStyle w:val="Normal"/>
        <w:numPr>
          <w:ilvl w:val="0"/>
          <w:numId w:val="8"/>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8"/>
        </w:numPr>
        <w:rPr/>
      </w:pPr>
      <w:r>
        <w:rPr>
          <w:b/>
          <w:bCs/>
        </w:rPr>
        <w:t>Gestion durable de l'eau</w:t>
      </w:r>
      <w:r>
        <w:rPr/>
        <w:br/>
        <w:t>L'entreprise utilisera un forage équipé d'une pompe solaire et un système d'irrigation goutte-à-goutte pour assurer un approvisionnement constant en eau. Ces techniques permettront de réduire la consommation d'eau tout en augmentant les rendements.</w:t>
      </w:r>
    </w:p>
    <w:p>
      <w:pPr>
        <w:pStyle w:val="Normal"/>
        <w:numPr>
          <w:ilvl w:val="0"/>
          <w:numId w:val="8"/>
        </w:numPr>
        <w:rPr/>
      </w:pPr>
      <w:r>
        <w:rPr>
          <w:b/>
          <w:bCs/>
        </w:rPr>
        <w:t>Semis et repiquage</w:t>
      </w:r>
      <w:r>
        <w:rPr/>
        <w:br/>
        <w:t>Les semences de variétés adaptées (Koloss, Sugar Baby, Crimson Sweet, Charleston Grey, Malali, Kaolack) sont semées en alvéoles, puis repiquées sur la parcelle après préparation du sol.</w:t>
      </w:r>
    </w:p>
    <w:p>
      <w:pPr>
        <w:pStyle w:val="Normal"/>
        <w:numPr>
          <w:ilvl w:val="0"/>
          <w:numId w:val="8"/>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8"/>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pPr>
      <w:r>
        <w:rPr/>
        <w:t xml:space="preserve">La capacité de production de </w:t>
      </w:r>
      <w:r>
        <w:rPr>
          <w:b/>
          <w:bCs/>
        </w:rPr>
        <w:t>ZÉRÉ DÉLICE D'ISSA</w:t>
      </w:r>
      <w:r>
        <w:rPr/>
        <w:t xml:space="preserve"> est définie dans la projection de vente ci-dessous :</w:t>
      </w:r>
    </w:p>
    <w:tbl>
      <w:tblPr>
        <w:tblW w:w="9885" w:type="dxa"/>
        <w:jc w:val="left"/>
        <w:tblInd w:w="-5" w:type="dxa"/>
        <w:tblLayout w:type="fixed"/>
        <w:tblCellMar>
          <w:top w:w="150" w:type="dxa"/>
          <w:left w:w="5" w:type="dxa"/>
          <w:bottom w:w="150" w:type="dxa"/>
          <w:right w:w="235" w:type="dxa"/>
        </w:tblCellMar>
      </w:tblPr>
      <w:tblGrid>
        <w:gridCol w:w="2096"/>
        <w:gridCol w:w="1040"/>
        <w:gridCol w:w="1360"/>
        <w:gridCol w:w="1360"/>
        <w:gridCol w:w="1400"/>
        <w:gridCol w:w="1454"/>
        <w:gridCol w:w="1174"/>
      </w:tblGrid>
      <w:tr>
        <w:trPr>
          <w:tblHeader w:val="true"/>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Désignation</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Qté/jour</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Qté/Sem</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Qté/mois</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Qté/Trim</w:t>
            </w:r>
          </w:p>
        </w:tc>
        <w:tc>
          <w:tcPr>
            <w:tcW w:w="11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Qté/an</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gros calibre (6-8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1 000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3 000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12 000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moyen calibre (4-5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1 000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3 000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12 000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pastèque petit calibre (2-3 kg)</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21</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1 500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6 000</w:t>
            </w:r>
          </w:p>
        </w:tc>
      </w:tr>
      <w:tr>
        <w:trPr/>
        <w:tc>
          <w:tcPr>
            <w:tcW w:w="2096"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TOTAL</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Kg</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105</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625</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2 500</w:t>
            </w:r>
          </w:p>
        </w:tc>
        <w:tc>
          <w:tcPr>
            <w:tcW w:w="14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7 500</w:t>
            </w:r>
          </w:p>
        </w:tc>
        <w:tc>
          <w:tcPr>
            <w:tcW w:w="117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b/>
                <w:bCs/>
              </w:rPr>
            </w:pPr>
            <w:r>
              <w:rPr>
                <w:b/>
                <w:bCs/>
              </w:rPr>
              <w:t>30 000</w:t>
            </w:r>
          </w:p>
        </w:tc>
      </w:tr>
    </w:tbl>
    <w:p>
      <w:pPr>
        <w:pStyle w:val="Normal"/>
        <w:rPr>
          <w:i/>
          <w:i/>
          <w:iCs/>
        </w:rPr>
      </w:pPr>
      <w:r>
        <w:rPr>
          <w:i/>
          <w:iCs/>
        </w:rPr>
        <w:t>(Soit environ 30 tonnes par an, correspondant à 6 000 fruits de 5 kg en moyenne, avec un rendement de 30 t/ha.)</w:t>
      </w:r>
    </w:p>
    <w:p>
      <w:pPr>
        <w:pStyle w:val="Normal"/>
        <w:rPr/>
      </w:pPr>
      <w:r>
        <w:rPr/>
      </w:r>
    </w:p>
    <w:p>
      <w:pPr>
        <w:pStyle w:val="Heading2"/>
        <w:keepLines/>
        <w:numPr>
          <w:ilvl w:val="0"/>
          <w:numId w:val="13"/>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Issa TRAORÉ</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Saisonniers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4"/>
        </w:numPr>
        <w:ind w:hanging="720" w:left="502"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 (6-8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 (4-5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 (2-3 kg)</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6 367 248</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6 494 593</w:t>
            </w:r>
          </w:p>
        </w:tc>
      </w:tr>
    </w:tbl>
    <w:p>
      <w:pPr>
        <w:pStyle w:val="Heading3"/>
        <w:numPr>
          <w:ilvl w:val="2"/>
          <w:numId w:val="4"/>
        </w:numPr>
        <w:spacing w:before="0" w:after="60"/>
        <w:ind w:hanging="720" w:left="502"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numPr>
          <w:ilvl w:val="2"/>
          <w:numId w:val="1"/>
        </w:numPr>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210 000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780 000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400 000</w:t>
            </w:r>
          </w:p>
        </w:tc>
      </w:tr>
    </w:tbl>
    <w:p>
      <w:pPr>
        <w:pStyle w:val="Heading3"/>
        <w:numPr>
          <w:ilvl w:val="2"/>
          <w:numId w:val="4"/>
        </w:numPr>
        <w:ind w:hanging="720" w:left="502"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250 000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8 333</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100 000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250 000</w:t>
            </w:r>
          </w:p>
        </w:tc>
      </w:tr>
    </w:tbl>
    <w:p>
      <w:pPr>
        <w:pStyle w:val="Heading3"/>
        <w:numPr>
          <w:ilvl w:val="2"/>
          <w:numId w:val="4"/>
        </w:numPr>
        <w:ind w:hanging="720" w:left="502"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préparatoire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Formation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Panneaux solaires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Tuyaux, vannes, pulvérisateur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Petit matériel divers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Paillage en plastique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 17 (2000 m)</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Outils divers (dabas, pioches, pelles)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3 685 000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914 917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899 917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899 917</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873 250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97 000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4"/>
        </w:numPr>
        <w:spacing w:before="120" w:after="120"/>
        <w:ind w:hanging="720" w:left="502"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4 500 000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35 100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171 464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34 036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170 400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32 973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169 336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4 636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31 909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168 273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30 845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167 209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29 782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166 145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4 173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28 718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165 082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27 655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164 018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3 409 091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3 864</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26 591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162 955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161 891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24 464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160 827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159 764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22 336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158 700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20 209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156 573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155 509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18 082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154 445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153 382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152 318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151 255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1 772 727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11 818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2 009</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13 827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150 191</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149 127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11 700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148 064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147 000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145 936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144 873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143 809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142 745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141 682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140 618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139 555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136 364</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138 491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1 064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136 364</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137 427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157 636</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702 000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4 500 000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5 202 000</w:t>
            </w:r>
          </w:p>
        </w:tc>
      </w:tr>
    </w:tbl>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3 670 000 </w:t>
      </w:r>
      <w:r>
        <w:rPr>
          <w:iCs/>
          <w:sz w:val="22"/>
          <w:szCs w:val="22"/>
        </w:rPr>
        <w:t xml:space="preserve">FCFA (73,4%) , le besoin en fonds de roulement </w:t>
      </w:r>
      <w:r>
        <w:rPr>
          <w:b/>
          <w:bCs/>
          <w:iCs/>
          <w:sz w:val="22"/>
          <w:szCs w:val="22"/>
          <w:lang w:eastAsia="fr-CA"/>
        </w:rPr>
        <w:t xml:space="preserve">1 315 000 </w:t>
      </w:r>
      <w:r>
        <w:rPr>
          <w:iCs/>
          <w:sz w:val="22"/>
          <w:szCs w:val="22"/>
        </w:rPr>
        <w:t xml:space="preserve"> FCFA (26,3%) et les frais d’établissement 15 000 FCFA (0,3%).</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3 670 000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73,4%</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3 105 000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préparatoire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Formation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Pompe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Panneaux solaires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Tuyaux, vannes, pulvérisateur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Petit matériel divers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485 000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Paillage en plastique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 17 (2000 m)</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1 315 000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295 000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5 000 000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le crédit sollicité (90 %) s’élevant à 4 500 000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4 500 000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4 500 000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6 000 000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6 120 000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6 242 400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6 367 248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6 494 593</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1 180 000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1 250 800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1 350 864</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1 458 933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1 575 648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262 500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262 500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382 909</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236 127</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82 964</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914 917</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899 917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899 917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873 250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97 000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4 827 826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4 854 344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4 801 244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4 799 683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4 140 148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1 172 174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1 265 656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1 441 156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1 567 565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2 354 445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983 174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1 067 206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1 242 706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1 369 115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2 155 995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1 898 091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1 967 123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2 142 622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2 242 365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2 252 995</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1 898 091</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3 865 214</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6 007 836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8 250 201</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10 503 196</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914 917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899 917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899 917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873 250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97 000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983 174</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1 067 206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1 242 706</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1 369 115</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2 155 995</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1 898 091</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1 967 123</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2 142 622</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2 242 365</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2 252 995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3 670 000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1 315 000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1 227 273</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1 636 364</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1 636 364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1 227 273</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1 636 364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670 818</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330 759</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506 259</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2 242 365</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2 252 995</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670 818</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1 001 577</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1 507 836</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3 750 201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6 003 196</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préparatoire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Formation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Panneaux solaires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Tuyaux, vannes, pulvérisateur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4 500 000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Petit matériel divers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Paillage en 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 17 (2000 m)</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Outils divers (dabas, pioches, pelles)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3 685 000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295 000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295 000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1 020 000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1 020 000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914 917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382 909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236 127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1 172 174</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1 265 656</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1 441 156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4 570 000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4 606 700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4 629 036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6 000 000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6 120 000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6 242 400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75%</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1 350 864</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262 500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82 964</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899 917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3 386 330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1 613 364</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73%</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78%</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29,9%</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3 326 421</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6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6 000 000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983 174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29,9%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1,20</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4 800 000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-216 826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0,45</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4 200 000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-816 826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0,08</w:t>
            </w:r>
          </w:p>
        </w:tc>
      </w:tr>
    </w:tbl>
    <w:p>
      <w:pPr>
        <w:pStyle w:val="Normal"/>
        <w:rPr/>
      </w:pPr>
      <w:r>
        <w:rPr>
          <w:b w:val="false"/>
          <w:i/>
          <w:sz w:val="18"/>
        </w:rPr>
        <w:t>Valeur actuelle nette du scénario de base : 3 326 421 F CFA à 8 % (taux du prêt), 2 891 540 F CFA à 10 % et 2 491 452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lang w:eastAsia="en-US"/>
        </w:rPr>
      </w:pPr>
      <w:r>
        <w:rPr>
          <w:lang w:eastAsia="en-US"/>
        </w:rPr>
        <w:t xml:space="preserve">L’analyse FFOM montre que l’entreprise </w:t>
      </w:r>
      <w:r>
        <w:rPr>
          <w:b/>
          <w:bCs/>
          <w:lang w:eastAsia="en-US"/>
        </w:rPr>
        <w:t>ZÉRÉ DÉLICE D’ISSA</w:t>
      </w:r>
      <w:r>
        <w:rPr>
          <w:lang w:eastAsia="en-US"/>
        </w:rPr>
        <w:t xml:space="preserve"> dispose d’importantes forces qu’elle doit bien exploiter et mettre en valeur pour mieux se positionner face aux concurrents informels. L’expérience du promoteur dans la production de pastèque en contre-saison, sa formation certifiée en production horticole durable (SIDIBE Agrotechniques), la maîtrise des itinéraires techniques, l’accès à l’eau (forage, bassin) et la bonne planification des campagnes constituent des atouts majeurs. Les opportunités doivent être bien analysées et saisies à temps, notamment la forte demande en pastèque à Bamako, Safo et environs, la possibilité d’extension progressive de la superficie exploitée (de 1 ha à 2 ha puis achat du terrain) et la valorisation des ressources locales. Les faiblesses identifiées (insuffisance de financement propre, équipement limité, superficie en location) doivent être atténuées à travers des actions efficaces de communication, de recherche de partenariats et d’épargne sur les bénéfices. Les menaces qui sont réelles (concurrence des pastèques importées, aléas climatiques, ravageurs et maladies, volatilité des prix, pannes d’équipements) sont des signaux à suivre et analyser afin de mieux anticiper leurs effets néfastes </w:t>
      </w:r>
    </w:p>
    <w:tbl>
      <w:tblPr>
        <w:tblpPr w:vertAnchor="text" w:horzAnchor="margin" w:tblpXSpec="center" w:leftFromText="141" w:rightFromText="141" w:tblpY="1045"/>
        <w:tblW w:w="10456" w:type="dxa"/>
        <w:jc w:val="left"/>
        <w:tblInd w:w="108" w:type="dxa"/>
        <w:tblLayout w:type="fixed"/>
        <w:tblCellMar>
          <w:top w:w="0" w:type="dxa"/>
          <w:left w:w="108" w:type="dxa"/>
          <w:bottom w:w="0" w:type="dxa"/>
          <w:right w:w="108" w:type="dxa"/>
        </w:tblCellMar>
      </w:tblPr>
      <w:tblGrid>
        <w:gridCol w:w="6486"/>
        <w:gridCol w:w="3969"/>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969"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tabs>
                <w:tab w:val="clear" w:pos="708"/>
                <w:tab w:val="left" w:pos="720" w:leader="none"/>
              </w:tabs>
              <w:rPr>
                <w:sz w:val="22"/>
                <w:szCs w:val="22"/>
              </w:rPr>
            </w:pPr>
            <w:r>
              <w:rPr>
                <w:sz w:val="22"/>
                <w:szCs w:val="22"/>
              </w:rPr>
              <w:t>Expérience du promoteur dans la production de pastèque en contre-saison ;</w:t>
            </w:r>
          </w:p>
          <w:p>
            <w:pPr>
              <w:pStyle w:val="Normal"/>
              <w:numPr>
                <w:ilvl w:val="0"/>
                <w:numId w:val="14"/>
              </w:numPr>
              <w:tabs>
                <w:tab w:val="clear" w:pos="708"/>
                <w:tab w:val="left" w:pos="720" w:leader="none"/>
              </w:tabs>
              <w:rPr>
                <w:sz w:val="22"/>
                <w:szCs w:val="22"/>
              </w:rPr>
            </w:pPr>
            <w:r>
              <w:rPr>
                <w:sz w:val="22"/>
                <w:szCs w:val="22"/>
              </w:rPr>
              <w:t>Formation certifiée en production horticole durable (SIDIBE Agrotechniques, 3 mois) ;</w:t>
            </w:r>
          </w:p>
          <w:p>
            <w:pPr>
              <w:pStyle w:val="Normal"/>
              <w:numPr>
                <w:ilvl w:val="0"/>
                <w:numId w:val="14"/>
              </w:numPr>
              <w:tabs>
                <w:tab w:val="clear" w:pos="708"/>
                <w:tab w:val="left" w:pos="720" w:leader="none"/>
              </w:tabs>
              <w:rPr>
                <w:sz w:val="22"/>
                <w:szCs w:val="22"/>
              </w:rPr>
            </w:pPr>
            <w:r>
              <w:rPr>
                <w:sz w:val="22"/>
                <w:szCs w:val="22"/>
              </w:rPr>
              <w:t>Maîtrise des itinéraires techniques de la pastèque ;</w:t>
            </w:r>
          </w:p>
          <w:p>
            <w:pPr>
              <w:pStyle w:val="Normal"/>
              <w:numPr>
                <w:ilvl w:val="0"/>
                <w:numId w:val="14"/>
              </w:numPr>
              <w:tabs>
                <w:tab w:val="clear" w:pos="708"/>
                <w:tab w:val="left" w:pos="720" w:leader="none"/>
              </w:tabs>
              <w:rPr>
                <w:sz w:val="22"/>
                <w:szCs w:val="22"/>
              </w:rPr>
            </w:pPr>
            <w:r>
              <w:rPr>
                <w:sz w:val="22"/>
                <w:szCs w:val="22"/>
              </w:rPr>
              <w:t>Accès à l’eau (forage, bassin) et irrigation goutte-à-goutte ;</w:t>
            </w:r>
          </w:p>
          <w:p>
            <w:pPr>
              <w:pStyle w:val="Normal"/>
              <w:numPr>
                <w:ilvl w:val="0"/>
                <w:numId w:val="14"/>
              </w:numPr>
              <w:tabs>
                <w:tab w:val="clear" w:pos="708"/>
                <w:tab w:val="left" w:pos="720" w:leader="none"/>
              </w:tabs>
              <w:rPr>
                <w:sz w:val="22"/>
                <w:szCs w:val="22"/>
              </w:rPr>
            </w:pPr>
            <w:r>
              <w:rPr>
                <w:sz w:val="22"/>
                <w:szCs w:val="22"/>
              </w:rPr>
              <w:t>Bonne planification et anticipation des campagnes ;</w:t>
            </w:r>
          </w:p>
          <w:p>
            <w:pPr>
              <w:pStyle w:val="Normal"/>
              <w:numPr>
                <w:ilvl w:val="0"/>
                <w:numId w:val="14"/>
              </w:numPr>
              <w:tabs>
                <w:tab w:val="clear" w:pos="708"/>
                <w:tab w:val="left" w:pos="720" w:leader="none"/>
              </w:tabs>
              <w:rPr>
                <w:sz w:val="22"/>
                <w:szCs w:val="22"/>
              </w:rPr>
            </w:pPr>
            <w:r>
              <w:rPr>
                <w:sz w:val="22"/>
                <w:szCs w:val="22"/>
              </w:rPr>
              <w:t>Volonté de fidéliser la clientèle et de lui offrir un bon accueil ;</w:t>
            </w:r>
          </w:p>
          <w:p>
            <w:pPr>
              <w:pStyle w:val="Normal"/>
              <w:numPr>
                <w:ilvl w:val="0"/>
                <w:numId w:val="14"/>
              </w:numPr>
              <w:tabs>
                <w:tab w:val="clear" w:pos="708"/>
                <w:tab w:val="left" w:pos="720" w:leader="none"/>
              </w:tabs>
              <w:rPr>
                <w:sz w:val="22"/>
                <w:szCs w:val="22"/>
              </w:rPr>
            </w:pPr>
            <w:r>
              <w:rPr>
                <w:sz w:val="22"/>
                <w:szCs w:val="22"/>
              </w:rPr>
              <w:t>Bonne connaissance du marché de la pastèque à Safo et Bamako ;</w:t>
            </w:r>
          </w:p>
          <w:p>
            <w:pPr>
              <w:pStyle w:val="Normal"/>
              <w:numPr>
                <w:ilvl w:val="0"/>
                <w:numId w:val="14"/>
              </w:numPr>
              <w:tabs>
                <w:tab w:val="clear" w:pos="708"/>
                <w:tab w:val="left" w:pos="720" w:leader="none"/>
              </w:tabs>
              <w:rPr>
                <w:sz w:val="22"/>
                <w:szCs w:val="22"/>
              </w:rPr>
            </w:pPr>
            <w:r>
              <w:rPr>
                <w:sz w:val="22"/>
                <w:szCs w:val="22"/>
              </w:rPr>
              <w:t>Utilisation de fumure organique et peu d’engrais chimiques ;</w:t>
            </w:r>
          </w:p>
          <w:p>
            <w:pPr>
              <w:pStyle w:val="Normal"/>
              <w:numPr>
                <w:ilvl w:val="0"/>
                <w:numId w:val="14"/>
              </w:numPr>
              <w:tabs>
                <w:tab w:val="clear" w:pos="708"/>
                <w:tab w:val="left" w:pos="720" w:leader="none"/>
              </w:tabs>
              <w:rPr>
                <w:sz w:val="22"/>
                <w:szCs w:val="22"/>
              </w:rPr>
            </w:pPr>
            <w:r>
              <w:rPr>
                <w:sz w:val="22"/>
                <w:szCs w:val="22"/>
              </w:rPr>
              <w:t>Marque porteuse de sens (Zéré = pastèque en bambara, Délice).</w:t>
            </w:r>
          </w:p>
          <w:p>
            <w:pPr>
              <w:pStyle w:val="Normal"/>
              <w:rPr>
                <w:sz w:val="22"/>
                <w:szCs w:val="22"/>
              </w:rPr>
            </w:pPr>
            <w:r>
              <w:rPr>
                <w:sz w:val="22"/>
                <w:szCs w:val="22"/>
              </w:rPr>
            </w:r>
          </w:p>
        </w:tc>
        <w:tc>
          <w:tcPr>
            <w:tcW w:w="3969"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tabs>
                <w:tab w:val="clear" w:pos="708"/>
                <w:tab w:val="left" w:pos="720" w:leader="none"/>
              </w:tabs>
              <w:rPr>
                <w:sz w:val="22"/>
                <w:szCs w:val="22"/>
              </w:rPr>
            </w:pPr>
            <w:r>
              <w:rPr>
                <w:sz w:val="22"/>
                <w:szCs w:val="22"/>
              </w:rPr>
              <w:t>Insuffisance de financement propre (apport limité à 10 %) ;</w:t>
            </w:r>
          </w:p>
          <w:p>
            <w:pPr>
              <w:pStyle w:val="Normal"/>
              <w:numPr>
                <w:ilvl w:val="0"/>
                <w:numId w:val="14"/>
              </w:numPr>
              <w:tabs>
                <w:tab w:val="clear" w:pos="708"/>
                <w:tab w:val="left" w:pos="720" w:leader="none"/>
              </w:tabs>
              <w:rPr>
                <w:sz w:val="22"/>
                <w:szCs w:val="22"/>
              </w:rPr>
            </w:pPr>
            <w:r>
              <w:rPr>
                <w:sz w:val="22"/>
                <w:szCs w:val="22"/>
              </w:rPr>
              <w:t>Superficie exploitée en location (1 ha), donc pas de patrimoine foncier ;</w:t>
            </w:r>
          </w:p>
          <w:p>
            <w:pPr>
              <w:pStyle w:val="Normal"/>
              <w:numPr>
                <w:ilvl w:val="0"/>
                <w:numId w:val="14"/>
              </w:numPr>
              <w:tabs>
                <w:tab w:val="clear" w:pos="708"/>
                <w:tab w:val="left" w:pos="720" w:leader="none"/>
              </w:tabs>
              <w:rPr>
                <w:sz w:val="22"/>
                <w:szCs w:val="22"/>
              </w:rPr>
            </w:pPr>
            <w:r>
              <w:rPr>
                <w:sz w:val="22"/>
                <w:szCs w:val="22"/>
              </w:rPr>
              <w:t>Capacité de production encore limitée au démarrage ;</w:t>
            </w:r>
          </w:p>
          <w:p>
            <w:pPr>
              <w:pStyle w:val="Normal"/>
              <w:numPr>
                <w:ilvl w:val="0"/>
                <w:numId w:val="14"/>
              </w:numPr>
              <w:tabs>
                <w:tab w:val="clear" w:pos="708"/>
                <w:tab w:val="left" w:pos="720" w:leader="none"/>
              </w:tabs>
              <w:rPr>
                <w:sz w:val="22"/>
                <w:szCs w:val="22"/>
              </w:rPr>
            </w:pPr>
            <w:r>
              <w:rPr>
                <w:sz w:val="22"/>
                <w:szCs w:val="22"/>
              </w:rPr>
              <w:t>Faible niveau d’équipement de la parcelle ;</w:t>
            </w:r>
          </w:p>
          <w:p>
            <w:pPr>
              <w:pStyle w:val="Normal"/>
              <w:numPr>
                <w:ilvl w:val="0"/>
                <w:numId w:val="14"/>
              </w:numPr>
              <w:tabs>
                <w:tab w:val="clear" w:pos="708"/>
                <w:tab w:val="left" w:pos="720" w:leader="none"/>
              </w:tabs>
              <w:rPr>
                <w:sz w:val="22"/>
                <w:szCs w:val="22"/>
              </w:rPr>
            </w:pPr>
            <w:r>
              <w:rPr>
                <w:sz w:val="22"/>
                <w:szCs w:val="22"/>
              </w:rPr>
              <w:t>Dépendance à l’irrigation (pompe solaire, goutte-à-goutte) ;</w:t>
            </w:r>
          </w:p>
          <w:p>
            <w:pPr>
              <w:pStyle w:val="Normal"/>
              <w:numPr>
                <w:ilvl w:val="0"/>
                <w:numId w:val="14"/>
              </w:numPr>
              <w:tabs>
                <w:tab w:val="clear" w:pos="708"/>
                <w:tab w:val="left" w:pos="720" w:leader="none"/>
              </w:tabs>
              <w:rPr>
                <w:sz w:val="22"/>
                <w:szCs w:val="22"/>
              </w:rPr>
            </w:pPr>
            <w:r>
              <w:rPr>
                <w:sz w:val="22"/>
                <w:szCs w:val="22"/>
              </w:rPr>
              <w:t>Notoriété de la marque ZÉRÉ DÉLICE D’ISSA encore à construire ;</w:t>
            </w:r>
          </w:p>
          <w:p>
            <w:pPr>
              <w:pStyle w:val="Normal"/>
              <w:numPr>
                <w:ilvl w:val="0"/>
                <w:numId w:val="14"/>
              </w:numPr>
              <w:tabs>
                <w:tab w:val="clear" w:pos="708"/>
                <w:tab w:val="left" w:pos="720" w:leader="none"/>
              </w:tabs>
              <w:rPr>
                <w:sz w:val="22"/>
                <w:szCs w:val="22"/>
              </w:rPr>
            </w:pPr>
            <w:r>
              <w:rPr>
                <w:sz w:val="22"/>
                <w:szCs w:val="22"/>
              </w:rPr>
              <w:t>Absence de certification formelle (hygiène, traçabilité) ;</w:t>
            </w:r>
          </w:p>
          <w:p>
            <w:pPr>
              <w:pStyle w:val="Normal"/>
              <w:numPr>
                <w:ilvl w:val="0"/>
                <w:numId w:val="14"/>
              </w:numPr>
              <w:tabs>
                <w:tab w:val="clear" w:pos="708"/>
                <w:tab w:val="left" w:pos="720" w:leader="none"/>
              </w:tabs>
              <w:rPr>
                <w:sz w:val="22"/>
                <w:szCs w:val="22"/>
              </w:rPr>
            </w:pPr>
            <w:r>
              <w:rPr>
                <w:sz w:val="22"/>
                <w:szCs w:val="22"/>
              </w:rPr>
              <w:t>Dépendance aux aléas climatiques</w:t>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969"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Forte demande en pastèque à Bamako, Safo et environs ;</w:t>
            </w:r>
          </w:p>
          <w:p>
            <w:pPr>
              <w:pStyle w:val="Normal"/>
              <w:numPr>
                <w:ilvl w:val="0"/>
                <w:numId w:val="16"/>
              </w:numPr>
              <w:tabs>
                <w:tab w:val="clear" w:pos="708"/>
                <w:tab w:val="left" w:pos="720" w:leader="none"/>
              </w:tabs>
              <w:rPr>
                <w:sz w:val="22"/>
                <w:szCs w:val="22"/>
              </w:rPr>
            </w:pPr>
            <w:r>
              <w:rPr>
                <w:sz w:val="22"/>
                <w:szCs w:val="22"/>
              </w:rPr>
              <w:t>Existence de marchés (grossistes, détaillants, restaurants, hôtels) ;</w:t>
            </w:r>
          </w:p>
          <w:p>
            <w:pPr>
              <w:pStyle w:val="Normal"/>
              <w:numPr>
                <w:ilvl w:val="0"/>
                <w:numId w:val="16"/>
              </w:numPr>
              <w:tabs>
                <w:tab w:val="clear" w:pos="708"/>
                <w:tab w:val="left" w:pos="720" w:leader="none"/>
              </w:tabs>
              <w:rPr>
                <w:sz w:val="22"/>
                <w:szCs w:val="22"/>
              </w:rPr>
            </w:pPr>
            <w:r>
              <w:rPr>
                <w:sz w:val="22"/>
                <w:szCs w:val="22"/>
              </w:rPr>
              <w:t>Politique de substitution aux importations de fruits ;</w:t>
            </w:r>
          </w:p>
          <w:p>
            <w:pPr>
              <w:pStyle w:val="Normal"/>
              <w:numPr>
                <w:ilvl w:val="0"/>
                <w:numId w:val="16"/>
              </w:numPr>
              <w:tabs>
                <w:tab w:val="clear" w:pos="708"/>
                <w:tab w:val="left" w:pos="720" w:leader="none"/>
              </w:tabs>
              <w:rPr>
                <w:sz w:val="22"/>
                <w:szCs w:val="22"/>
              </w:rPr>
            </w:pPr>
            <w:r>
              <w:rPr>
                <w:sz w:val="22"/>
                <w:szCs w:val="22"/>
              </w:rPr>
              <w:t>Possibilité d’extension progressive de la superficie (1 ha → 2 ha → achat du terrain) ;</w:t>
            </w:r>
          </w:p>
          <w:p>
            <w:pPr>
              <w:pStyle w:val="Normal"/>
              <w:numPr>
                <w:ilvl w:val="0"/>
                <w:numId w:val="16"/>
              </w:numPr>
              <w:tabs>
                <w:tab w:val="clear" w:pos="708"/>
                <w:tab w:val="left" w:pos="720" w:leader="none"/>
              </w:tabs>
              <w:rPr>
                <w:sz w:val="22"/>
                <w:szCs w:val="22"/>
              </w:rPr>
            </w:pPr>
            <w:r>
              <w:rPr>
                <w:sz w:val="22"/>
                <w:szCs w:val="22"/>
              </w:rPr>
              <w:t>Épargne sur les bénéfices pour acheter le terrain dans 5 à 7 ans ;</w:t>
            </w:r>
          </w:p>
          <w:p>
            <w:pPr>
              <w:pStyle w:val="Normal"/>
              <w:numPr>
                <w:ilvl w:val="0"/>
                <w:numId w:val="16"/>
              </w:numPr>
              <w:tabs>
                <w:tab w:val="clear" w:pos="708"/>
                <w:tab w:val="left" w:pos="720" w:leader="none"/>
              </w:tabs>
              <w:rPr>
                <w:sz w:val="22"/>
                <w:szCs w:val="22"/>
              </w:rPr>
            </w:pPr>
            <w:r>
              <w:rPr>
                <w:sz w:val="22"/>
                <w:szCs w:val="22"/>
              </w:rPr>
              <w:t>Valorisation des variétés adaptées (Koloss, Sugar Baby, Crimson Sweet, etc.) ;</w:t>
            </w:r>
          </w:p>
          <w:p>
            <w:pPr>
              <w:pStyle w:val="Normal"/>
              <w:numPr>
                <w:ilvl w:val="0"/>
                <w:numId w:val="16"/>
              </w:numPr>
              <w:tabs>
                <w:tab w:val="clear" w:pos="708"/>
                <w:tab w:val="left" w:pos="720" w:leader="none"/>
              </w:tabs>
              <w:rPr>
                <w:sz w:val="22"/>
                <w:szCs w:val="22"/>
              </w:rPr>
            </w:pPr>
            <w:r>
              <w:rPr>
                <w:sz w:val="22"/>
                <w:szCs w:val="22"/>
              </w:rPr>
              <w:t>Développement futur de produits dérivés (jus, séchage) ;</w:t>
            </w:r>
          </w:p>
          <w:p>
            <w:pPr>
              <w:pStyle w:val="Normal"/>
              <w:numPr>
                <w:ilvl w:val="0"/>
                <w:numId w:val="16"/>
              </w:numPr>
              <w:tabs>
                <w:tab w:val="clear" w:pos="708"/>
                <w:tab w:val="left" w:pos="720" w:leader="none"/>
              </w:tabs>
              <w:rPr>
                <w:sz w:val="22"/>
                <w:szCs w:val="22"/>
              </w:rPr>
            </w:pPr>
            <w:r>
              <w:rPr>
                <w:sz w:val="22"/>
                <w:szCs w:val="22"/>
              </w:rPr>
              <w:t>Accompagnement technique par SIDIBE Agrotechniques.</w:t>
            </w:r>
          </w:p>
          <w:p>
            <w:pPr>
              <w:pStyle w:val="Normal"/>
              <w:ind w:left="720" w:right="0"/>
              <w:rPr>
                <w:sz w:val="22"/>
                <w:szCs w:val="22"/>
              </w:rPr>
            </w:pPr>
            <w:r>
              <w:rPr>
                <w:sz w:val="22"/>
                <w:szCs w:val="22"/>
              </w:rPr>
            </w:r>
          </w:p>
        </w:tc>
        <w:tc>
          <w:tcPr>
            <w:tcW w:w="3969"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Concurrence des pastèques importées (Maroc) ;</w:t>
            </w:r>
          </w:p>
          <w:p>
            <w:pPr>
              <w:pStyle w:val="Normal"/>
              <w:numPr>
                <w:ilvl w:val="0"/>
                <w:numId w:val="16"/>
              </w:numPr>
              <w:tabs>
                <w:tab w:val="clear" w:pos="708"/>
                <w:tab w:val="left" w:pos="720" w:leader="none"/>
              </w:tabs>
              <w:rPr>
                <w:sz w:val="22"/>
                <w:szCs w:val="22"/>
              </w:rPr>
            </w:pPr>
            <w:r>
              <w:rPr>
                <w:sz w:val="22"/>
                <w:szCs w:val="22"/>
              </w:rPr>
              <w:t>Volatilité des prix en période d’abondance ;</w:t>
            </w:r>
          </w:p>
          <w:p>
            <w:pPr>
              <w:pStyle w:val="Normal"/>
              <w:numPr>
                <w:ilvl w:val="0"/>
                <w:numId w:val="16"/>
              </w:numPr>
              <w:tabs>
                <w:tab w:val="clear" w:pos="708"/>
                <w:tab w:val="left" w:pos="720" w:leader="none"/>
              </w:tabs>
              <w:rPr>
                <w:sz w:val="22"/>
                <w:szCs w:val="22"/>
              </w:rPr>
            </w:pPr>
            <w:r>
              <w:rPr>
                <w:sz w:val="22"/>
                <w:szCs w:val="22"/>
              </w:rPr>
              <w:t>Aléas climatiques (sécheresse, fortes chaleurs, pluies tardives) ;</w:t>
            </w:r>
          </w:p>
          <w:p>
            <w:pPr>
              <w:pStyle w:val="Normal"/>
              <w:numPr>
                <w:ilvl w:val="0"/>
                <w:numId w:val="16"/>
              </w:numPr>
              <w:tabs>
                <w:tab w:val="clear" w:pos="708"/>
                <w:tab w:val="left" w:pos="720" w:leader="none"/>
              </w:tabs>
              <w:rPr>
                <w:sz w:val="22"/>
                <w:szCs w:val="22"/>
              </w:rPr>
            </w:pPr>
            <w:r>
              <w:rPr>
                <w:sz w:val="22"/>
                <w:szCs w:val="22"/>
              </w:rPr>
              <w:t>Attaques de ravageurs et maladies (pucerons, mildiou, flétrissement) ;</w:t>
            </w:r>
          </w:p>
          <w:p>
            <w:pPr>
              <w:pStyle w:val="Normal"/>
              <w:numPr>
                <w:ilvl w:val="0"/>
                <w:numId w:val="16"/>
              </w:numPr>
              <w:tabs>
                <w:tab w:val="clear" w:pos="708"/>
                <w:tab w:val="left" w:pos="720" w:leader="none"/>
              </w:tabs>
              <w:rPr>
                <w:sz w:val="22"/>
                <w:szCs w:val="22"/>
              </w:rPr>
            </w:pPr>
            <w:r>
              <w:rPr>
                <w:sz w:val="22"/>
                <w:szCs w:val="22"/>
              </w:rPr>
              <w:t>Pannes d’équipements (pompe solaire, système d’irrigation) ;</w:t>
            </w:r>
          </w:p>
          <w:p>
            <w:pPr>
              <w:pStyle w:val="Normal"/>
              <w:numPr>
                <w:ilvl w:val="0"/>
                <w:numId w:val="16"/>
              </w:numPr>
              <w:tabs>
                <w:tab w:val="clear" w:pos="708"/>
                <w:tab w:val="left" w:pos="720" w:leader="none"/>
              </w:tabs>
              <w:rPr>
                <w:sz w:val="22"/>
                <w:szCs w:val="22"/>
              </w:rPr>
            </w:pPr>
            <w:r>
              <w:rPr>
                <w:sz w:val="22"/>
                <w:szCs w:val="22"/>
              </w:rPr>
              <w:t>Cherté des intrants et des équipements ;</w:t>
            </w:r>
          </w:p>
          <w:p>
            <w:pPr>
              <w:pStyle w:val="Normal"/>
              <w:numPr>
                <w:ilvl w:val="0"/>
                <w:numId w:val="16"/>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6"/>
              </w:numPr>
              <w:tabs>
                <w:tab w:val="clear" w:pos="708"/>
                <w:tab w:val="left" w:pos="720" w:leader="none"/>
              </w:tabs>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rPr>
          <w:lang w:eastAsia="en-US"/>
        </w:rPr>
      </w:pPr>
      <w:r>
        <w:rPr>
          <w:lang w:eastAsia="en-US"/>
        </w:rPr>
        <w:t>pour le projet.</w:t>
      </w:r>
    </w:p>
    <w:p>
      <w:pPr>
        <w:pStyle w:val="Normal"/>
        <w:rPr>
          <w:sz w:val="22"/>
          <w:szCs w:val="22"/>
          <w:lang w:val="fr-CI" w:eastAsia="en-US"/>
        </w:rPr>
      </w:pPr>
      <w:r>
        <w:rPr>
          <w:sz w:val="22"/>
          <w:szCs w:val="22"/>
          <w:lang w:val="fr-CI" w:eastAsia="en-US"/>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faiblement rentable et doit être consolidé (loyer du terrain, forage et bassin, durée du prêt) avant sa transmission et contribue à la création de cinq (5) emplois, dont deux (2) permanents et trois (3) saisonniers. Le taux de rentabilité interne, la valeur actuelle nette ainsi que le délai de récupération des capitaux investis indiquent une rentabilité modeste du projet de création de l’entreprise </w:t>
      </w:r>
      <w:r>
        <w:rPr>
          <w:b/>
          <w:bCs/>
          <w:sz w:val="22"/>
          <w:szCs w:val="22"/>
        </w:rPr>
        <w:t>ZÉRÉ DÉLICE D’ISSA</w:t>
      </w:r>
      <w:r>
        <w:rPr>
          <w:sz w:val="22"/>
          <w:szCs w:val="22"/>
        </w:rPr>
        <w:t xml:space="preserve"> dans la production et la commercialisation de pastèque de qualité sur une superficie d’1 hectare. L’existence des structures d’accompagnement, notamment l’APEJ et l’OIT à travers le projet AN KA BAARA, permettra au promoteur d’investir dans son champ, et de rembourser les prêts contractés. Le seuil de rentabilité représente 73 % du chiffre d’affaires en année 3 (78 %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22</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decimal"/>
      <w:lvlText w:val="%1."/>
      <w:lvlJc w:val="left"/>
      <w:pPr>
        <w:tabs>
          <w:tab w:val="num" w:pos="0"/>
        </w:tabs>
        <w:ind w:left="502"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numPr>
        <w:ilvl w:val="2"/>
        <w:numId w:val="1"/>
      </w:numPr>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numPr>
        <w:ilvl w:val="3"/>
        <w:numId w:val="1"/>
      </w:numPr>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numPr>
        <w:ilvl w:val="4"/>
        <w:numId w:val="1"/>
      </w:num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numPr>
        <w:ilvl w:val="5"/>
        <w:numId w:val="1"/>
      </w:num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numPr>
        <w:ilvl w:val="6"/>
        <w:numId w:val="1"/>
      </w:num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numPr>
        <w:ilvl w:val="7"/>
        <w:numId w:val="1"/>
      </w:num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numPr>
        <w:ilvl w:val="8"/>
        <w:numId w:val="1"/>
      </w:num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b/>
      <w:bCs w:val="false"/>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b/>
      <w:bCs w:val="false"/>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style>
  <w:style w:type="character" w:styleId="WW8Num17z0">
    <w:name w:val="WW8Num17z0"/>
    <w:qFormat/>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94</TotalTime>
  <Application>LibreOffice/24.2.7.2$Linux_X86_64 LibreOffice_project/420$Build-2</Application>
  <AppVersion>15.0000</AppVersion>
  <Pages>22</Pages>
  <Words>6757</Words>
  <Characters>32023</Characters>
  <CharactersWithSpaces>37172</CharactersWithSpaces>
  <Paragraphs>1589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2026-10-08T10:27:00Z</dcterms:created>
  <dc:creator>STEP</dc:creator>
  <dc:description/>
  <dc:language>en-US</dc:language>
  <cp:lastModifiedBy/>
  <cp:lastPrinted>2025-07-23T09:16:00Z</cp:lastPrinted>
  <dcterms:modified xsi:type="dcterms:W3CDTF">2026-10-12T11:37:43Z</dcterms:modified>
  <cp:revision>4</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