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mc:AlternateContent>
          <mc:Choice Requires="wps">
            <w:drawing>
              <wp:anchor behindDoc="0" distT="0" distB="0" distL="176530" distR="177165" simplePos="0" locked="0" layoutInCell="0" allowOverlap="1" relativeHeight="14">
                <wp:simplePos x="0" y="0"/>
                <wp:positionH relativeFrom="margin">
                  <wp:posOffset>125730</wp:posOffset>
                </wp:positionH>
                <wp:positionV relativeFrom="page">
                  <wp:posOffset>3539490</wp:posOffset>
                </wp:positionV>
                <wp:extent cx="5803900" cy="835660"/>
                <wp:effectExtent l="6350" t="6350" r="81915" b="81915"/>
                <wp:wrapSquare wrapText="bothSides"/>
                <wp:docPr id="1" name="Frame1"/>
                <a:graphic xmlns:a="http://schemas.openxmlformats.org/drawingml/2006/main">
                  <a:graphicData uri="http://schemas.microsoft.com/office/word/2010/wordprocessingShape">
                    <wps:wsp>
                      <wps:cNvSpPr/>
                      <wps:spPr>
                        <a:xfrm>
                          <a:off x="0" y="0"/>
                          <a:ext cx="5803920" cy="835560"/>
                        </a:xfrm>
                        <a:prstGeom prst="rect">
                          <a:avLst/>
                        </a:prstGeom>
                        <a:gradFill rotWithShape="0">
                          <a:gsLst>
                            <a:gs pos="0">
                              <a:srgbClr val="ffffff"/>
                            </a:gs>
                            <a:gs pos="100000">
                              <a:srgbClr val="95dcf7"/>
                            </a:gs>
                          </a:gsLst>
                          <a:lin ang="5400000"/>
                        </a:gradFill>
                        <a:ln w="12700">
                          <a:solidFill>
                            <a:srgbClr val="60caf3"/>
                          </a:solidFill>
                          <a:round/>
                        </a:ln>
                        <a:effectLst>
                          <a:outerShdw dir="2700000" dist="106914">
                            <a:srgbClr val="074e69"/>
                          </a:outerShdw>
                        </a:effectLst>
                      </wps:spPr>
                      <wps:style>
                        <a:lnRef idx="0"/>
                        <a:fillRef idx="0"/>
                        <a:effectRef idx="0"/>
                        <a:fontRef idx="minor"/>
                      </wps:style>
                      <wps:txb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sz w:val="36"/>
                                <w:szCs w:val="36"/>
                                <w:lang w:val="fr-FR"/>
                              </w:rPr>
                              <w:t>ZÉRÉ DÉLICE DE MOPTI</w:t>
                            </w:r>
                          </w:p>
                          <w:p>
                            <w:pPr>
                              <w:pStyle w:val="Sansinterligne"/>
                              <w:spacing w:lineRule="auto" w:line="216" w:before="40" w:after="560"/>
                              <w:jc w:val="center"/>
                              <w:rPr>
                                <w:b/>
                                <w:bCs/>
                                <w:color w:val="156082"/>
                                <w:sz w:val="36"/>
                                <w:szCs w:val="36"/>
                                <w:lang w:val="fr-FR"/>
                              </w:rPr>
                            </w:pPr>
                            <w:r>
                              <w:rPr>
                                <w:rFonts w:cs="Cambria" w:ascii="Cambria" w:hAnsi="Cambria"/>
                                <w:b/>
                                <w:bCs/>
                                <w:color w:val="156082"/>
                                <w:sz w:val="36"/>
                                <w:szCs w:val="36"/>
                                <w:lang w:val="fr-FR"/>
                              </w:rPr>
                              <w:t xml:space="preserve">Création d’une Entreprise de </w:t>
                            </w:r>
                            <w:r>
                              <w:rPr>
                                <w:b/>
                                <w:bCs/>
                                <w:color w:val="156082"/>
                                <w:sz w:val="36"/>
                                <w:szCs w:val="36"/>
                                <w:lang w:val="fr-FR"/>
                              </w:rPr>
                              <w:t>Production de pastèque </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r>
                          </w:p>
                          <w:p>
                            <w:pPr>
                              <w:pStyle w:val="Sansinterligne"/>
                              <w:spacing w:before="40" w:after="40"/>
                              <w:rPr>
                                <w:rFonts w:ascii="Cambria" w:hAnsi="Cambria" w:cs="Cambria"/>
                                <w:b/>
                                <w:bCs/>
                                <w:caps/>
                                <w:color w:val="501549"/>
                                <w:sz w:val="28"/>
                                <w:szCs w:val="28"/>
                                <w:lang w:val="fr-FR"/>
                              </w:rPr>
                            </w:pPr>
                            <w:r>
                              <w:rPr/>
                            </w:r>
                          </w:p>
                        </w:txbxContent>
                      </wps:txbx>
                      <wps:bodyPr lIns="0" rIns="0" tIns="0" bIns="0" anchor="t">
                        <a:noAutofit/>
                      </wps:bodyPr>
                    </wps:wsp>
                  </a:graphicData>
                </a:graphic>
              </wp:anchor>
            </w:drawing>
          </mc:Choice>
          <mc:Fallback>
            <w:pict>
              <v:rect id="shape_0" ID="Frame1" path="m0,0l-2147483645,0l-2147483645,-2147483646l0,-2147483646xe" fillcolor="#95dcf7" stroked="t" o:allowincell="f" style="position:absolute;margin-left:9.9pt;margin-top:278.7pt;width:456.95pt;height:65.75pt;mso-wrap-style:square;v-text-anchor:top;mso-position-horizontal-relative:margin;mso-position-vertical-relative:page">
                <v:fill o:detectmouseclick="t" color2="white"/>
                <v:stroke color="#60caf3" weight="12600" joinstyle="round" endcap="flat"/>
                <v:shadow on="t" obscured="f" color="#074e69"/>
                <v:textbo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sz w:val="36"/>
                          <w:szCs w:val="36"/>
                          <w:lang w:val="fr-FR"/>
                        </w:rPr>
                        <w:t>ZÉRÉ DÉLICE DE MOPTI</w:t>
                      </w:r>
                    </w:p>
                    <w:p>
                      <w:pPr>
                        <w:pStyle w:val="Sansinterligne"/>
                        <w:spacing w:lineRule="auto" w:line="216" w:before="40" w:after="560"/>
                        <w:jc w:val="center"/>
                        <w:rPr>
                          <w:b/>
                          <w:bCs/>
                          <w:color w:val="156082"/>
                          <w:sz w:val="36"/>
                          <w:szCs w:val="36"/>
                          <w:lang w:val="fr-FR"/>
                        </w:rPr>
                      </w:pPr>
                      <w:r>
                        <w:rPr>
                          <w:rFonts w:cs="Cambria" w:ascii="Cambria" w:hAnsi="Cambria"/>
                          <w:b/>
                          <w:bCs/>
                          <w:color w:val="156082"/>
                          <w:sz w:val="36"/>
                          <w:szCs w:val="36"/>
                          <w:lang w:val="fr-FR"/>
                        </w:rPr>
                        <w:t xml:space="preserve">Création d’une Entreprise de </w:t>
                      </w:r>
                      <w:r>
                        <w:rPr>
                          <w:b/>
                          <w:bCs/>
                          <w:color w:val="156082"/>
                          <w:sz w:val="36"/>
                          <w:szCs w:val="36"/>
                          <w:lang w:val="fr-FR"/>
                        </w:rPr>
                        <w:t>Production de pastèque </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r>
                    </w:p>
                    <w:p>
                      <w:pPr>
                        <w:pStyle w:val="Sansinterligne"/>
                        <w:spacing w:before="40" w:after="40"/>
                        <w:rPr>
                          <w:rFonts w:ascii="Cambria" w:hAnsi="Cambria" w:cs="Cambria"/>
                          <w:b/>
                          <w:bCs/>
                          <w:caps/>
                          <w:color w:val="501549"/>
                          <w:sz w:val="28"/>
                          <w:szCs w:val="28"/>
                          <w:lang w:val="fr-FR"/>
                        </w:rPr>
                      </w:pPr>
                      <w:r>
                        <w:rPr/>
                      </w:r>
                    </w:p>
                  </w:txbxContent>
                </v:textbox>
                <w10:wrap type="square"/>
              </v:rect>
            </w:pict>
          </mc:Fallback>
        </mc:AlternateContent>
      </w:r>
      <w:r>
        <w:rPr>
          <w:b/>
          <w:i/>
          <w:sz w:val="52"/>
          <w:szCs w:val="32"/>
        </w:rPr>
        <w:t>PLAN D’AFFAIRES</w:t>
      </w:r>
    </w:p>
    <w:tbl>
      <w:tblPr>
        <w:tblW w:w="9889" w:type="dxa"/>
        <w:jc w:val="left"/>
        <w:tblInd w:w="0" w:type="dxa"/>
        <w:tblLayout w:type="fixed"/>
        <w:tblCellMar>
          <w:top w:w="0" w:type="dxa"/>
          <w:left w:w="108" w:type="dxa"/>
          <w:bottom w:w="0" w:type="dxa"/>
          <w:right w:w="108" w:type="dxa"/>
        </w:tblCellMar>
      </w:tblPr>
      <w:tblGrid>
        <w:gridCol w:w="5056"/>
        <w:gridCol w:w="1660"/>
        <w:gridCol w:w="3173"/>
      </w:tblGrid>
      <w:tr>
        <w:trPr>
          <w:trHeight w:val="402" w:hRule="atLeast"/>
        </w:trPr>
        <w:tc>
          <w:tcPr>
            <w:tcW w:w="5056" w:type="dxa"/>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left w:val="dotted" w:sz="4" w:space="0" w:color="000000"/>
              <w:bottom w:val="dotted" w:sz="4" w:space="0" w:color="000000"/>
              <w:right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Amadou Alassane Traoré</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lang w:val="en-CA"/>
              </w:rPr>
            </w:pPr>
            <w:r>
              <w:rPr>
                <w:lang w:val="en-CA"/>
              </w:rPr>
              <w:t xml:space="preserve">Cell: </w:t>
            </w:r>
            <w:r>
              <w:rPr/>
              <w:t>223 60 72 41 41</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Sévaré, village de Diondionri – Région de Mopti</w:t>
            </w:r>
          </w:p>
        </w:tc>
      </w:tr>
      <w:tr>
        <w:trPr>
          <w:trHeight w:val="349"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Maraichage</w:t>
            </w:r>
          </w:p>
        </w:tc>
      </w:tr>
      <w:tr>
        <w:trPr>
          <w:trHeight w:val="170" w:hRule="atLeast"/>
        </w:trPr>
        <w:tc>
          <w:tcPr>
            <w:tcW w:w="5056" w:type="dxa"/>
            <w:vMerge w:val="restart"/>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0"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rPr/>
            </w:pPr>
            <w:r>
              <w:rPr/>
              <w:t>En création</w:t>
            </w:r>
          </w:p>
        </w:tc>
        <w:tc>
          <w:tcPr>
            <w:tcW w:w="3173"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jc w:val="center"/>
              <w:rPr>
                <w:b/>
                <w:bCs/>
              </w:rPr>
            </w:pPr>
            <w:r>
              <w:rPr>
                <w:b/>
                <w:bCs/>
                <w:lang w:val="en-US" w:eastAsia="en-US"/>
              </w:rPr>
              <w:t>X</w:t>
            </w:r>
          </w:p>
        </w:tc>
      </w:tr>
      <w:tr>
        <w:trPr>
          <w:trHeight w:val="170" w:hRule="atLeast"/>
        </w:trPr>
        <w:tc>
          <w:tcPr>
            <w:tcW w:w="5056" w:type="dxa"/>
            <w:vMerge w:val="continue"/>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pacing w:lineRule="auto" w:line="360"/>
              <w:rPr/>
            </w:pPr>
            <w:r>
              <w:rPr/>
              <w:t>En croissance</w:t>
            </w:r>
          </w:p>
        </w:tc>
        <w:tc>
          <w:tcPr>
            <w:tcW w:w="3173"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lang w:val="en-US" w:eastAsia="en-US"/>
        </w:rPr>
      </w:pPr>
      <w:r>
        <w:rPr>
          <w:lang w:val="en-US" w:eastAsia="en-US"/>
        </w:rPr>
      </w:r>
      <w:r>
        <w:br w:type="page"/>
      </w:r>
    </w:p>
    <w:p>
      <w:pPr>
        <w:pStyle w:val="Normal"/>
        <w:rPr/>
      </w:pPr>
      <w:r>
        <w:rPr/>
        <mc:AlternateContent>
          <mc:Choice Requires="wps">
            <w:drawing>
              <wp:anchor behindDoc="0" distT="0" distB="0" distL="0" distR="0" simplePos="0" locked="0" layoutInCell="0" allowOverlap="1" relativeHeight="12">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wps:spPr>
                        <a:xfrm>
                          <a:off x="0" y="0"/>
                          <a:ext cx="1353240" cy="266760"/>
                        </a:xfrm>
                        <a:prstGeom prst="rect">
                          <a:avLst/>
                        </a:prstGeom>
                        <a:solidFill>
                          <a:srgbClr val="156082"/>
                        </a:solidFill>
                        <a:ln w="0">
                          <a:noFill/>
                        </a:ln>
                      </wps:spPr>
                      <wps:style>
                        <a:lnRef idx="0"/>
                        <a:fillRef idx="0"/>
                        <a:effectRef idx="0"/>
                        <a:fontRef idx="minor"/>
                      </wps:style>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lIns="47160" rIns="47160" tIns="47160" bIns="47160" anchor="t">
                        <a:noAutofit/>
                      </wps:bodyPr>
                    </wps:wsp>
                  </a:graphicData>
                </a:graphic>
              </wp:anchor>
            </w:drawing>
          </mc:Choice>
          <mc:Fallback>
            <w:pict>
              <v:rect id="shape_0" ID="Frame2" path="m0,0l-2147483645,0l-2147483645,-2147483646l0,-2147483646xe" fillcolor="#156082" stroked="f" o:allowincell="f" style="position:absolute;margin-left:386.1pt;margin-top:749.2pt;width:106.5pt;height:20.95pt;mso-wrap-style:square;v-text-anchor:top;mso-position-horizontal-relative:margin;mso-position-vertical-relative:page">
                <v:fill o:detectmouseclick="t" type="solid" color2="#ea9f7d"/>
                <v:stroke color="#3465a4" joinstyle="round" endcap="flat"/>
                <v:textbo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 des matières</w:t>
      </w:r>
    </w:p>
    <w:sdt>
      <w:sdtPr>
        <w:docPartObj>
          <w:docPartGallery w:val="Table of Contents"/>
          <w:docPartUnique w:val="true"/>
        </w:docPartObj>
      </w:sdtPr>
      <w:sdtContent>
        <w:p>
          <w:pPr>
            <w:pStyle w:val="TOC1"/>
            <w:tabs>
              <w:tab w:val="clear" w:pos="708"/>
              <w:tab w:val="left" w:pos="440" w:leader="none"/>
              <w:tab w:val="right" w:pos="963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4831690">
            <w:r>
              <w:rPr>
                <w:webHidden/>
                <w:rStyle w:val="IndexLink"/>
              </w:rPr>
              <w:t>I.</w:t>
              <w:tab/>
              <w:t>FICHE SIGNALÉTIQUE</w:t>
              <w:tab/>
              <w:t>2</w:t>
            </w:r>
          </w:hyperlink>
        </w:p>
        <w:p>
          <w:pPr>
            <w:pStyle w:val="TOC1"/>
            <w:tabs>
              <w:tab w:val="clear" w:pos="708"/>
              <w:tab w:val="left" w:pos="440" w:leader="none"/>
              <w:tab w:val="right" w:pos="9639" w:leader="dot"/>
            </w:tabs>
            <w:rPr/>
          </w:pPr>
          <w:hyperlink w:anchor="__RefHeading___Toc30240_3889484913">
            <w:r>
              <w:rPr>
                <w:webHidden/>
                <w:rStyle w:val="IndexLink"/>
              </w:rPr>
              <w:t>II.</w:t>
              <w:tab/>
              <w:t>APERÇU GÉNÉRAL</w:t>
              <w:tab/>
              <w:t>3</w:t>
            </w:r>
          </w:hyperlink>
        </w:p>
        <w:p>
          <w:pPr>
            <w:pStyle w:val="TOC2"/>
            <w:tabs>
              <w:tab w:val="clear" w:pos="708"/>
              <w:tab w:val="left" w:pos="880" w:leader="none"/>
              <w:tab w:val="right" w:pos="9639" w:leader="dot"/>
            </w:tabs>
            <w:rPr/>
          </w:pPr>
          <w:hyperlink w:anchor="__RefHeading___Toc234831692">
            <w:r>
              <w:rPr>
                <w:webHidden/>
                <w:rStyle w:val="IndexLink"/>
              </w:rPr>
              <w:t>1.</w:t>
              <w:tab/>
            </w:r>
            <w:r>
              <w:rPr>
                <w:rStyle w:val="IndexLink"/>
                <w:i w:val="false"/>
                <w:iCs w:val="false"/>
              </w:rPr>
              <w:t>Présentation du Promoteur :</w:t>
            </w:r>
            <w:r>
              <w:rPr>
                <w:rStyle w:val="IndexLink"/>
              </w:rPr>
              <w:tab/>
              <w:t>3</w:t>
            </w:r>
          </w:hyperlink>
        </w:p>
        <w:p>
          <w:pPr>
            <w:pStyle w:val="TOC2"/>
            <w:tabs>
              <w:tab w:val="clear" w:pos="708"/>
              <w:tab w:val="left" w:pos="880" w:leader="none"/>
              <w:tab w:val="right" w:pos="9639" w:leader="dot"/>
            </w:tabs>
            <w:rPr/>
          </w:pPr>
          <w:hyperlink w:anchor="__RefHeading___Toc234831693">
            <w:r>
              <w:rPr>
                <w:webHidden/>
                <w:rStyle w:val="IndexLink"/>
              </w:rPr>
              <w:t>2.</w:t>
              <w:tab/>
            </w:r>
            <w:r>
              <w:rPr>
                <w:rStyle w:val="IndexLink"/>
                <w:i w:val="false"/>
                <w:iCs w:val="false"/>
              </w:rPr>
              <w:t>Description du projet :</w:t>
            </w:r>
            <w:r>
              <w:rPr>
                <w:rStyle w:val="IndexLink"/>
              </w:rPr>
              <w:tab/>
              <w:t>4</w:t>
            </w:r>
          </w:hyperlink>
        </w:p>
        <w:p>
          <w:pPr>
            <w:pStyle w:val="TOC2"/>
            <w:tabs>
              <w:tab w:val="clear" w:pos="708"/>
              <w:tab w:val="left" w:pos="880" w:leader="none"/>
              <w:tab w:val="right" w:pos="9639" w:leader="dot"/>
            </w:tabs>
            <w:rPr/>
          </w:pPr>
          <w:hyperlink w:anchor="__RefHeading___Toc234831694">
            <w:r>
              <w:rPr>
                <w:webHidden/>
                <w:rStyle w:val="IndexLink"/>
              </w:rPr>
              <w:t>3.</w:t>
              <w:tab/>
            </w:r>
            <w:r>
              <w:rPr>
                <w:rStyle w:val="IndexLink"/>
                <w:i w:val="false"/>
                <w:iCs w:val="false"/>
              </w:rPr>
              <w:t>Objectifs du projet :</w:t>
            </w:r>
            <w:r>
              <w:rPr>
                <w:rStyle w:val="IndexLink"/>
              </w:rPr>
              <w:tab/>
              <w:t>4</w:t>
            </w:r>
          </w:hyperlink>
        </w:p>
        <w:p>
          <w:pPr>
            <w:pStyle w:val="TOC2"/>
            <w:tabs>
              <w:tab w:val="clear" w:pos="708"/>
              <w:tab w:val="left" w:pos="880" w:leader="none"/>
              <w:tab w:val="right" w:pos="9639" w:leader="dot"/>
            </w:tabs>
            <w:rPr/>
          </w:pPr>
          <w:hyperlink w:anchor="__RefHeading___Toc234831695">
            <w:r>
              <w:rPr>
                <w:webHidden/>
                <w:rStyle w:val="IndexLink"/>
              </w:rPr>
              <w:t>4.</w:t>
              <w:tab/>
            </w:r>
            <w:r>
              <w:rPr>
                <w:rStyle w:val="IndexLink"/>
                <w:i w:val="false"/>
                <w:iCs w:val="false"/>
              </w:rPr>
              <w:t>Localisation du projet</w:t>
            </w:r>
            <w:r>
              <w:rPr>
                <w:rStyle w:val="IndexLink"/>
              </w:rPr>
              <w:tab/>
              <w:t>4</w:t>
            </w:r>
          </w:hyperlink>
        </w:p>
        <w:p>
          <w:pPr>
            <w:pStyle w:val="TOC1"/>
            <w:tabs>
              <w:tab w:val="clear" w:pos="708"/>
              <w:tab w:val="left" w:pos="440" w:leader="none"/>
              <w:tab w:val="right" w:pos="9639" w:leader="dot"/>
            </w:tabs>
            <w:rPr/>
          </w:pPr>
          <w:hyperlink w:anchor="__RefHeading___Toc234831696">
            <w:r>
              <w:rPr>
                <w:webHidden/>
                <w:rStyle w:val="IndexLink"/>
              </w:rPr>
              <w:t>III.</w:t>
              <w:tab/>
              <w:t>ÉTUDE DE MARCHÉ</w:t>
              <w:tab/>
              <w:t>4</w:t>
            </w:r>
          </w:hyperlink>
        </w:p>
        <w:p>
          <w:pPr>
            <w:pStyle w:val="TOC1"/>
            <w:tabs>
              <w:tab w:val="clear" w:pos="708"/>
              <w:tab w:val="left" w:pos="440" w:leader="none"/>
              <w:tab w:val="right" w:pos="9639" w:leader="dot"/>
            </w:tabs>
            <w:rPr/>
          </w:pPr>
          <w:hyperlink w:anchor="__RefHeading___Toc234831707">
            <w:r>
              <w:rPr>
                <w:webHidden/>
                <w:rStyle w:val="IndexLink"/>
              </w:rPr>
              <w:t>IV.</w:t>
              <w:tab/>
              <w:t>ÉTUDE TECHNIQUE</w:t>
              <w:tab/>
              <w:t>7</w:t>
            </w:r>
          </w:hyperlink>
        </w:p>
        <w:p>
          <w:pPr>
            <w:pStyle w:val="TOC2"/>
            <w:tabs>
              <w:tab w:val="clear" w:pos="708"/>
              <w:tab w:val="left" w:pos="880" w:leader="none"/>
              <w:tab w:val="right" w:pos="9639" w:leader="dot"/>
            </w:tabs>
            <w:rPr/>
          </w:pPr>
          <w:hyperlink w:anchor="__RefHeading___Toc234831708">
            <w:r>
              <w:rPr>
                <w:webHidden/>
                <w:rStyle w:val="IndexLink"/>
              </w:rPr>
              <w:t>1.</w:t>
              <w:tab/>
            </w:r>
            <w:r>
              <w:rPr>
                <w:rStyle w:val="IndexLink"/>
                <w:i w:val="false"/>
                <w:iCs w:val="false"/>
              </w:rPr>
              <w:t>Site d’implantation :</w:t>
            </w:r>
            <w:r>
              <w:rPr>
                <w:rStyle w:val="IndexLink"/>
              </w:rPr>
              <w:tab/>
              <w:t>7</w:t>
            </w:r>
          </w:hyperlink>
        </w:p>
        <w:p>
          <w:pPr>
            <w:pStyle w:val="TOC2"/>
            <w:tabs>
              <w:tab w:val="clear" w:pos="708"/>
              <w:tab w:val="left" w:pos="880" w:leader="none"/>
              <w:tab w:val="right" w:pos="9639" w:leader="dot"/>
            </w:tabs>
            <w:rPr/>
          </w:pPr>
          <w:hyperlink w:anchor="__RefHeading___Toc234831709">
            <w:r>
              <w:rPr>
                <w:webHidden/>
                <w:rStyle w:val="IndexLink"/>
              </w:rPr>
              <w:t>2.</w:t>
              <w:tab/>
            </w:r>
            <w:r>
              <w:rPr>
                <w:rStyle w:val="IndexLink"/>
                <w:i w:val="false"/>
                <w:iCs w:val="false"/>
              </w:rPr>
              <w:t>Locaux, aménagements / installations et équipements</w:t>
            </w:r>
            <w:r>
              <w:rPr>
                <w:rStyle w:val="IndexLink"/>
              </w:rPr>
              <w:tab/>
              <w:t>7</w:t>
            </w:r>
          </w:hyperlink>
        </w:p>
        <w:p>
          <w:pPr>
            <w:pStyle w:val="TOC3"/>
            <w:tabs>
              <w:tab w:val="clear" w:pos="708"/>
              <w:tab w:val="left" w:pos="1320" w:leader="none"/>
              <w:tab w:val="right" w:pos="9639" w:leader="dot"/>
            </w:tabs>
            <w:rPr/>
          </w:pPr>
          <w:hyperlink w:anchor="__RefHeading___Toc234831710">
            <w:r>
              <w:rPr>
                <w:webHidden/>
                <w:rStyle w:val="IndexLink"/>
              </w:rPr>
              <w:t>2.1</w:t>
              <w:tab/>
              <w:t>Equipements de production :</w:t>
              <w:tab/>
              <w:t>8</w:t>
            </w:r>
          </w:hyperlink>
        </w:p>
        <w:p>
          <w:pPr>
            <w:pStyle w:val="TOC2"/>
            <w:tabs>
              <w:tab w:val="clear" w:pos="708"/>
              <w:tab w:val="left" w:pos="880" w:leader="none"/>
              <w:tab w:val="right" w:pos="9639" w:leader="dot"/>
            </w:tabs>
            <w:rPr/>
          </w:pPr>
          <w:hyperlink w:anchor="__RefHeading___Toc234831711">
            <w:r>
              <w:rPr>
                <w:webHidden/>
                <w:rStyle w:val="IndexLink"/>
              </w:rPr>
              <w:t>3.</w:t>
              <w:tab/>
            </w:r>
            <w:r>
              <w:rPr>
                <w:rStyle w:val="IndexLink"/>
                <w:i w:val="false"/>
                <w:iCs w:val="false"/>
              </w:rPr>
              <w:t>Le processus de production :</w:t>
            </w:r>
            <w:r>
              <w:rPr>
                <w:rStyle w:val="IndexLink"/>
                <w:i w:val="false"/>
                <w:iCs w:val="false"/>
              </w:rPr>
              <w:t xml:space="preserve"> </w:t>
            </w:r>
            <w:r>
              <w:rPr>
                <w:rStyle w:val="IndexLink"/>
                <w:i w:val="false"/>
              </w:rPr>
              <w:t>(définir le process et la capacité de production de l’entreprise)</w:t>
            </w:r>
            <w:r>
              <w:rPr>
                <w:rStyle w:val="IndexLink"/>
              </w:rPr>
              <w:tab/>
              <w:t>8</w:t>
            </w:r>
          </w:hyperlink>
        </w:p>
        <w:p>
          <w:pPr>
            <w:pStyle w:val="TOC2"/>
            <w:tabs>
              <w:tab w:val="clear" w:pos="708"/>
              <w:tab w:val="left" w:pos="880" w:leader="none"/>
              <w:tab w:val="right" w:pos="9639" w:leader="dot"/>
            </w:tabs>
            <w:rPr/>
          </w:pPr>
          <w:hyperlink w:anchor="__RefHeading___Toc234831712">
            <w:r>
              <w:rPr>
                <w:webHidden/>
                <w:rStyle w:val="IndexLink"/>
              </w:rPr>
              <w:t>4.</w:t>
              <w:tab/>
            </w:r>
            <w:r>
              <w:rPr>
                <w:rStyle w:val="IndexLink"/>
                <w:i w:val="false"/>
                <w:iCs w:val="false"/>
              </w:rPr>
              <w:t xml:space="preserve">Le personnel : </w:t>
            </w:r>
            <w:r>
              <w:rPr>
                <w:rStyle w:val="IndexLink"/>
              </w:rPr>
              <w:t>(profil et compétences)</w:t>
              <w:tab/>
              <w:t>9</w:t>
            </w:r>
          </w:hyperlink>
        </w:p>
        <w:p>
          <w:pPr>
            <w:pStyle w:val="TOC1"/>
            <w:tabs>
              <w:tab w:val="clear" w:pos="708"/>
              <w:tab w:val="left" w:pos="440" w:leader="none"/>
              <w:tab w:val="right" w:pos="9639" w:leader="dot"/>
            </w:tabs>
            <w:rPr/>
          </w:pPr>
          <w:hyperlink w:anchor="__RefHeading___Toc234831713">
            <w:r>
              <w:rPr>
                <w:webHidden/>
                <w:rStyle w:val="IndexLink"/>
              </w:rPr>
              <w:t>V.</w:t>
              <w:tab/>
              <w:t>ÉTUDE ÉCONOMIQUE ET FINANCIÈRE</w:t>
              <w:tab/>
              <w:t>9</w:t>
            </w:r>
          </w:hyperlink>
        </w:p>
        <w:p>
          <w:pPr>
            <w:pStyle w:val="TOC2"/>
            <w:tabs>
              <w:tab w:val="clear" w:pos="708"/>
              <w:tab w:val="left" w:pos="880" w:leader="none"/>
              <w:tab w:val="right" w:pos="9639" w:leader="dot"/>
            </w:tabs>
            <w:rPr/>
          </w:pPr>
          <w:hyperlink w:anchor="__RefHeading___Toc234831714">
            <w:r>
              <w:rPr>
                <w:webHidden/>
                <w:rStyle w:val="IndexLink"/>
              </w:rPr>
              <w:t>V.1</w:t>
              <w:tab/>
            </w:r>
            <w:r>
              <w:rPr>
                <w:rStyle w:val="IndexLink"/>
                <w:i w:val="false"/>
                <w:iCs w:val="false"/>
              </w:rPr>
              <w:t>Hypothèses de base</w:t>
            </w:r>
            <w:r>
              <w:rPr>
                <w:rStyle w:val="IndexLink"/>
              </w:rPr>
              <w:tab/>
              <w:t>9</w:t>
            </w:r>
          </w:hyperlink>
        </w:p>
        <w:p>
          <w:pPr>
            <w:pStyle w:val="TOC3"/>
            <w:tabs>
              <w:tab w:val="clear" w:pos="708"/>
              <w:tab w:val="left" w:pos="1320" w:leader="none"/>
              <w:tab w:val="right" w:pos="9639" w:leader="dot"/>
            </w:tabs>
            <w:rPr/>
          </w:pPr>
          <w:hyperlink w:anchor="__RefHeading___Toc234831715">
            <w:r>
              <w:rPr>
                <w:webHidden/>
                <w:rStyle w:val="IndexLink"/>
              </w:rPr>
              <w:t>V.1.1</w:t>
              <w:tab/>
              <w:t>Recettes prévisionnelles annuelles</w:t>
              <w:tab/>
              <w:t>9</w:t>
            </w:r>
          </w:hyperlink>
        </w:p>
        <w:p>
          <w:pPr>
            <w:pStyle w:val="TOC3"/>
            <w:tabs>
              <w:tab w:val="clear" w:pos="708"/>
              <w:tab w:val="left" w:pos="1320" w:leader="none"/>
              <w:tab w:val="right" w:pos="9639" w:leader="dot"/>
            </w:tabs>
            <w:rPr/>
          </w:pPr>
          <w:hyperlink w:anchor="__RefHeading___Toc234831716">
            <w:r>
              <w:rPr>
                <w:webHidden/>
                <w:rStyle w:val="IndexLink"/>
              </w:rPr>
              <w:t>V.1.2</w:t>
              <w:tab/>
              <w:t>Données prévisionnelles sur les achats</w:t>
              <w:tab/>
              <w:t>9</w:t>
            </w:r>
          </w:hyperlink>
        </w:p>
        <w:p>
          <w:pPr>
            <w:pStyle w:val="TOC3"/>
            <w:tabs>
              <w:tab w:val="clear" w:pos="708"/>
              <w:tab w:val="left" w:pos="1320" w:leader="none"/>
              <w:tab w:val="right" w:pos="9639" w:leader="dot"/>
            </w:tabs>
            <w:rPr/>
          </w:pPr>
          <w:hyperlink w:anchor="__RefHeading___Toc234831717">
            <w:r>
              <w:rPr>
                <w:webHidden/>
                <w:rStyle w:val="IndexLink"/>
              </w:rPr>
              <w:tab/>
              <w:t>Achats de matières premières</w:t>
              <w:tab/>
              <w:t>9</w:t>
            </w:r>
          </w:hyperlink>
        </w:p>
        <w:p>
          <w:pPr>
            <w:pStyle w:val="TOC3"/>
            <w:tabs>
              <w:tab w:val="clear" w:pos="708"/>
              <w:tab w:val="left" w:pos="1320" w:leader="none"/>
              <w:tab w:val="right" w:pos="9639" w:leader="dot"/>
            </w:tabs>
            <w:rPr/>
          </w:pPr>
          <w:hyperlink w:anchor="__RefHeading___Toc234831718">
            <w:r>
              <w:rPr>
                <w:webHidden/>
                <w:rStyle w:val="IndexLink"/>
              </w:rPr>
              <w:t>V.1.3</w:t>
              <w:tab/>
              <w:t>Frais Généraux</w:t>
              <w:tab/>
              <w:t>10</w:t>
            </w:r>
          </w:hyperlink>
        </w:p>
        <w:p>
          <w:pPr>
            <w:pStyle w:val="TOC3"/>
            <w:tabs>
              <w:tab w:val="clear" w:pos="708"/>
              <w:tab w:val="left" w:pos="1320" w:leader="none"/>
              <w:tab w:val="right" w:pos="9639" w:leader="dot"/>
            </w:tabs>
            <w:rPr/>
          </w:pPr>
          <w:hyperlink w:anchor="__RefHeading___Toc234831719">
            <w:r>
              <w:rPr>
                <w:webHidden/>
                <w:rStyle w:val="IndexLink"/>
              </w:rPr>
              <w:t>V.1.4</w:t>
              <w:tab/>
              <w:t>Dotations aux amortissements</w:t>
              <w:tab/>
              <w:t>10</w:t>
            </w:r>
          </w:hyperlink>
        </w:p>
        <w:p>
          <w:pPr>
            <w:pStyle w:val="TOC3"/>
            <w:tabs>
              <w:tab w:val="clear" w:pos="708"/>
              <w:tab w:val="left" w:pos="1320" w:leader="none"/>
              <w:tab w:val="right" w:pos="9639" w:leader="dot"/>
            </w:tabs>
            <w:rPr/>
          </w:pPr>
          <w:hyperlink w:anchor="__RefHeading___Toc234831720">
            <w:r>
              <w:rPr>
                <w:webHidden/>
                <w:rStyle w:val="IndexLink"/>
              </w:rPr>
              <w:t>V.1.5</w:t>
              <w:tab/>
              <w:t>Echéancier de remboursement</w:t>
              <w:tab/>
              <w:t>11</w:t>
            </w:r>
          </w:hyperlink>
        </w:p>
        <w:p>
          <w:pPr>
            <w:pStyle w:val="TOC2"/>
            <w:tabs>
              <w:tab w:val="clear" w:pos="708"/>
              <w:tab w:val="left" w:pos="880" w:leader="none"/>
              <w:tab w:val="right" w:pos="9639" w:leader="dot"/>
            </w:tabs>
            <w:rPr/>
          </w:pPr>
          <w:hyperlink w:anchor="__RefHeading___Toc234831721">
            <w:r>
              <w:rPr>
                <w:webHidden/>
                <w:rStyle w:val="IndexLink"/>
              </w:rPr>
              <w:t>V.2</w:t>
              <w:tab/>
            </w:r>
            <w:r>
              <w:rPr>
                <w:rStyle w:val="IndexLink"/>
                <w:i w:val="false"/>
                <w:iCs w:val="false"/>
              </w:rPr>
              <w:t>Coût total du projet</w:t>
            </w:r>
            <w:r>
              <w:rPr>
                <w:rStyle w:val="IndexLink"/>
              </w:rPr>
              <w:tab/>
              <w:t>12</w:t>
            </w:r>
          </w:hyperlink>
        </w:p>
        <w:p>
          <w:pPr>
            <w:pStyle w:val="TOC2"/>
            <w:tabs>
              <w:tab w:val="clear" w:pos="708"/>
              <w:tab w:val="left" w:pos="880" w:leader="none"/>
              <w:tab w:val="right" w:pos="9639" w:leader="dot"/>
            </w:tabs>
            <w:rPr/>
          </w:pPr>
          <w:hyperlink w:anchor="__RefHeading___Toc234831722">
            <w:r>
              <w:rPr>
                <w:webHidden/>
                <w:rStyle w:val="IndexLink"/>
              </w:rPr>
              <w:t>V.3</w:t>
              <w:tab/>
            </w:r>
            <w:r>
              <w:rPr>
                <w:rStyle w:val="IndexLink"/>
                <w:i w:val="false"/>
                <w:iCs w:val="false"/>
              </w:rPr>
              <w:t>Plan de financement</w:t>
            </w:r>
            <w:r>
              <w:rPr>
                <w:rStyle w:val="IndexLink"/>
              </w:rPr>
              <w:tab/>
              <w:t>13</w:t>
            </w:r>
          </w:hyperlink>
        </w:p>
        <w:p>
          <w:pPr>
            <w:pStyle w:val="TOC2"/>
            <w:tabs>
              <w:tab w:val="clear" w:pos="708"/>
              <w:tab w:val="left" w:pos="880" w:leader="none"/>
              <w:tab w:val="right" w:pos="9639" w:leader="dot"/>
            </w:tabs>
            <w:rPr/>
          </w:pPr>
          <w:hyperlink w:anchor="__RefHeading___Toc234831723">
            <w:r>
              <w:rPr>
                <w:webHidden/>
                <w:rStyle w:val="IndexLink"/>
              </w:rPr>
              <w:t>V.4</w:t>
              <w:tab/>
            </w:r>
            <w:r>
              <w:rPr>
                <w:rStyle w:val="IndexLink"/>
                <w:i w:val="false"/>
                <w:iCs w:val="false"/>
              </w:rPr>
              <w:t>Compte d'exploitation prévisionnel</w:t>
            </w:r>
            <w:r>
              <w:rPr>
                <w:rStyle w:val="IndexLink"/>
              </w:rPr>
              <w:tab/>
              <w:t>13</w:t>
            </w:r>
          </w:hyperlink>
        </w:p>
        <w:p>
          <w:pPr>
            <w:pStyle w:val="TOC2"/>
            <w:tabs>
              <w:tab w:val="clear" w:pos="708"/>
              <w:tab w:val="left" w:pos="880" w:leader="none"/>
              <w:tab w:val="right" w:pos="9639" w:leader="dot"/>
            </w:tabs>
            <w:rPr/>
          </w:pPr>
          <w:hyperlink w:anchor="__RefHeading___Toc234831724">
            <w:r>
              <w:rPr>
                <w:webHidden/>
                <w:rStyle w:val="IndexLink"/>
              </w:rPr>
              <w:t>V.5</w:t>
              <w:tab/>
            </w:r>
            <w:r>
              <w:rPr>
                <w:rStyle w:val="IndexLink"/>
                <w:i w:val="false"/>
                <w:iCs w:val="false"/>
              </w:rPr>
              <w:t>Tableau de financement annuel</w:t>
            </w:r>
            <w:r>
              <w:rPr>
                <w:rStyle w:val="IndexLink"/>
              </w:rPr>
              <w:tab/>
              <w:t>14</w:t>
            </w:r>
          </w:hyperlink>
        </w:p>
        <w:p>
          <w:pPr>
            <w:pStyle w:val="TOC2"/>
            <w:tabs>
              <w:tab w:val="clear" w:pos="708"/>
              <w:tab w:val="left" w:pos="880" w:leader="none"/>
              <w:tab w:val="right" w:pos="9639" w:leader="dot"/>
            </w:tabs>
            <w:rPr/>
          </w:pPr>
          <w:hyperlink w:anchor="__RefHeading___Toc234831725">
            <w:r>
              <w:rPr>
                <w:webHidden/>
                <w:rStyle w:val="IndexLink"/>
              </w:rPr>
              <w:t>V.6</w:t>
              <w:tab/>
            </w:r>
            <w:r>
              <w:rPr>
                <w:rStyle w:val="IndexLink"/>
                <w:i w:val="false"/>
                <w:iCs w:val="false"/>
              </w:rPr>
              <w:t>Bilan de départ</w:t>
            </w:r>
            <w:r>
              <w:rPr>
                <w:rStyle w:val="IndexLink"/>
              </w:rPr>
              <w:tab/>
              <w:t>15</w:t>
            </w:r>
          </w:hyperlink>
        </w:p>
        <w:p>
          <w:pPr>
            <w:pStyle w:val="TOC2"/>
            <w:tabs>
              <w:tab w:val="clear" w:pos="708"/>
              <w:tab w:val="left" w:pos="880" w:leader="none"/>
              <w:tab w:val="right" w:pos="9639" w:leader="dot"/>
            </w:tabs>
            <w:rPr/>
          </w:pPr>
          <w:hyperlink w:anchor="__RefHeading___Toc234831726">
            <w:r>
              <w:rPr>
                <w:webHidden/>
                <w:rStyle w:val="IndexLink"/>
              </w:rPr>
              <w:t>V.7</w:t>
              <w:tab/>
            </w:r>
            <w:r>
              <w:rPr>
                <w:rStyle w:val="IndexLink"/>
                <w:i w:val="false"/>
                <w:iCs w:val="false"/>
              </w:rPr>
              <w:t>Calcul de rentabilité</w:t>
            </w:r>
            <w:r>
              <w:rPr>
                <w:rStyle w:val="IndexLink"/>
              </w:rPr>
              <w:tab/>
              <w:t>16</w:t>
            </w:r>
          </w:hyperlink>
        </w:p>
        <w:p>
          <w:pPr>
            <w:pStyle w:val="TOC1"/>
            <w:tabs>
              <w:tab w:val="clear" w:pos="708"/>
              <w:tab w:val="left" w:pos="440" w:leader="none"/>
              <w:tab w:val="right" w:pos="9639" w:leader="dot"/>
            </w:tabs>
            <w:rPr/>
          </w:pPr>
          <w:hyperlink w:anchor="__RefHeading___Toc234831727">
            <w:r>
              <w:rPr>
                <w:webHidden/>
                <w:rStyle w:val="IndexLink"/>
              </w:rPr>
              <w:t>VI.</w:t>
              <w:tab/>
              <w:t>ANALYSE DES FORCES, FAIBLESSES, OPPORTUNITÉS ET MENACES</w:t>
              <w:tab/>
              <w:t>17</w:t>
            </w:r>
          </w:hyperlink>
        </w:p>
        <w:p>
          <w:pPr>
            <w:pStyle w:val="TOC1"/>
            <w:tabs>
              <w:tab w:val="clear" w:pos="708"/>
              <w:tab w:val="left" w:pos="440" w:leader="none"/>
              <w:tab w:val="right" w:pos="9639" w:leader="dot"/>
            </w:tabs>
            <w:rPr/>
          </w:pPr>
          <w:hyperlink w:anchor="__RefHeading___Toc234831728">
            <w:r>
              <w:rPr>
                <w:webHidden/>
                <w:rStyle w:val="IndexLink"/>
              </w:rPr>
              <w:t>VII.</w:t>
              <w:tab/>
              <w:t>CONCLUSION</w:t>
              <w:tab/>
              <w:t>19</w:t>
            </w:r>
          </w:hyperlink>
          <w:r>
            <w:rPr>
              <w:rStyle w:val="IndexLink"/>
            </w:rPr>
            <w:fldChar w:fldCharType="end"/>
          </w:r>
        </w:p>
      </w:sdtContent>
    </w:sdt>
    <w:p>
      <w:pPr>
        <w:pStyle w:val="TOC1"/>
        <w:rPr>
          <w:rStyle w:val="IndexLink"/>
          <w:rFonts w:ascii="Calibri" w:hAnsi="Calibri" w:cs="Calibri"/>
          <w:b/>
          <w:bCs/>
          <w:caps/>
          <w:sz w:val="22"/>
          <w:szCs w:val="22"/>
        </w:rPr>
      </w:pPr>
      <w:r>
        <w:rPr>
          <w:rFonts w:cs="Calibri" w:ascii="Calibri" w:hAnsi="Calibri"/>
          <w:b/>
          <w:bCs/>
          <w:caps/>
          <w:sz w:val="22"/>
          <w:szCs w:val="22"/>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5"/>
        </w:numPr>
        <w:spacing w:before="240" w:after="120"/>
        <w:ind w:hanging="431" w:left="431" w:right="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SIGNALÉTIQUE</w:t>
      </w:r>
    </w:p>
    <w:tbl>
      <w:tblPr>
        <w:tblW w:w="9781" w:type="dxa"/>
        <w:jc w:val="left"/>
        <w:tblInd w:w="70" w:type="dxa"/>
        <w:tblLayout w:type="fixed"/>
        <w:tblCellMar>
          <w:top w:w="0" w:type="dxa"/>
          <w:left w:w="70" w:type="dxa"/>
          <w:bottom w:w="0" w:type="dxa"/>
          <w:right w:w="70" w:type="dxa"/>
        </w:tblCellMar>
      </w:tblPr>
      <w:tblGrid>
        <w:gridCol w:w="3543"/>
        <w:gridCol w:w="2695"/>
        <w:gridCol w:w="282"/>
        <w:gridCol w:w="992"/>
        <w:gridCol w:w="851"/>
        <w:gridCol w:w="899"/>
        <w:gridCol w:w="196"/>
        <w:gridCol w:w="322"/>
      </w:tblGrid>
      <w:tr>
        <w:trPr>
          <w:trHeight w:val="405" w:hRule="atLeast"/>
        </w:trPr>
        <w:tc>
          <w:tcPr>
            <w:tcW w:w="9780"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Amadou Alassane Traoré</w:t>
            </w:r>
          </w:p>
        </w:tc>
        <w:tc>
          <w:tcPr>
            <w:tcW w:w="196" w:type="dxa"/>
            <w:tcBorders>
              <w:left w:val="single" w:sz="4" w:space="0" w:color="000000"/>
            </w:tcBorders>
            <w:vAlign w:val="bottom"/>
          </w:tcPr>
          <w:p>
            <w:pPr>
              <w:pStyle w:val="Normal"/>
              <w:rPr>
                <w:color w:val="000000"/>
                <w:sz w:val="22"/>
                <w:szCs w:val="22"/>
              </w:rPr>
            </w:pPr>
            <w:r>
              <w:rPr/>
            </w:r>
          </w:p>
        </w:tc>
        <w:tc>
          <w:tcPr>
            <w:tcW w:w="322" w:type="dxa"/>
            <w:tcBorders/>
            <w:vAlign w:val="bottom"/>
          </w:tcPr>
          <w:p>
            <w:pPr>
              <w:pStyle w:val="Normal"/>
              <w:rPr>
                <w:color w:val="000000"/>
                <w:sz w:val="22"/>
                <w:szCs w:val="22"/>
              </w:rPr>
            </w:pPr>
            <w:r>
              <w:rPr/>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(date et lieu de naissance à renseigner)</w:t>
            </w:r>
          </w:p>
        </w:tc>
        <w:tc>
          <w:tcPr>
            <w:tcW w:w="196" w:type="dxa"/>
            <w:tcBorders>
              <w:left w:val="single" w:sz="4" w:space="0" w:color="000000"/>
            </w:tcBorders>
            <w:vAlign w:val="bottom"/>
          </w:tcPr>
          <w:p>
            <w:pPr>
              <w:pStyle w:val="Normal"/>
              <w:snapToGrid w:val="false"/>
              <w:rPr>
                <w:color w:val="000000"/>
                <w:sz w:val="22"/>
                <w:szCs w:val="22"/>
              </w:rPr>
            </w:pPr>
            <w:r>
              <w:rPr>
                <w:color w:val="000000"/>
                <w:sz w:val="22"/>
                <w:szCs w:val="22"/>
              </w:rPr>
            </w:r>
          </w:p>
        </w:tc>
        <w:tc>
          <w:tcPr>
            <w:tcW w:w="322"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3" w:type="dxa"/>
            <w:tcBorders>
              <w:top w:val="single" w:sz="8" w:space="0" w:color="000000"/>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top w:val="single" w:sz="8" w:space="0" w:color="000000"/>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FFFFFF" w:val="clear"/>
            <w:vAlign w:val="center"/>
          </w:tcPr>
          <w:p>
            <w:pPr>
              <w:pStyle w:val="Normal"/>
              <w:rPr>
                <w:b/>
                <w:bCs/>
                <w:color w:val="000000"/>
                <w:sz w:val="22"/>
                <w:szCs w:val="22"/>
              </w:rPr>
            </w:pPr>
            <w:r>
              <w:rPr>
                <w:b/>
                <w:bCs/>
                <w:color w:val="000000"/>
                <w:sz w:val="22"/>
                <w:szCs w:val="22"/>
              </w:rPr>
              <w:t>Coût Total du projet</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2 456 500</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de l’apport personnel</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245 650</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du crédit de financement sollicité</w:t>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Moyen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90%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2 210 850</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Court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5" w:type="dxa"/>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274"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Institution financière (IFP)</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(à renseigner)</w:t>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Durée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36 mois (3 ans), dont 3 mois de différé</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Taux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Moyen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Court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Sans objet</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right w:val="single" w:sz="4" w:space="0" w:color="000000"/>
            </w:tcBorders>
            <w:shd w:fill="A9D18D" w:val="clear"/>
            <w:vAlign w:val="center"/>
          </w:tcPr>
          <w:p>
            <w:pPr>
              <w:pStyle w:val="Normal"/>
              <w:jc w:val="center"/>
              <w:rPr>
                <w:color w:val="000000"/>
                <w:sz w:val="22"/>
                <w:szCs w:val="22"/>
              </w:rPr>
            </w:pPr>
            <w:r>
              <w:rPr/>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3 150 000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3 213 000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3 277 260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1 327 102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1 406 536</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1 481 597</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1 800 277</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1 869 711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1 944 772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34 (année 3) – 41 (année 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1 an et 4 mois</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1 an et 6 mois</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vMerge w:val="restart"/>
            <w:tcBorders>
              <w:left w:val="single" w:sz="8" w:space="0" w:color="000000"/>
              <w:bottom w:val="single" w:sz="8" w:space="0" w:color="000000"/>
              <w:right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15"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right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2</w:t>
            </w:r>
          </w:p>
        </w:tc>
        <w:tc>
          <w:tcPr>
            <w:tcW w:w="1417" w:type="dxa"/>
            <w:gridSpan w:val="3"/>
            <w:tcBorders>
              <w:bottom w:val="single" w:sz="8"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3543" w:type="dxa"/>
            <w:tcBorders/>
            <w:shd w:fill="E2EFD9" w:val="clear"/>
            <w:vAlign w:val="bottom"/>
          </w:tcPr>
          <w:p>
            <w:pPr>
              <w:pStyle w:val="Normal"/>
              <w:rPr>
                <w:color w:val="000000"/>
                <w:sz w:val="22"/>
                <w:szCs w:val="22"/>
              </w:rPr>
            </w:pPr>
            <w:r>
              <w:rPr/>
            </w:r>
          </w:p>
        </w:tc>
        <w:tc>
          <w:tcPr>
            <w:tcW w:w="2977" w:type="dxa"/>
            <w:gridSpan w:val="2"/>
            <w:tcBorders/>
            <w:shd w:fill="E2EFD9" w:val="clear"/>
            <w:vAlign w:val="bottom"/>
          </w:tcPr>
          <w:p>
            <w:pPr>
              <w:pStyle w:val="Normal"/>
              <w:rPr>
                <w:color w:val="000000"/>
                <w:sz w:val="22"/>
                <w:szCs w:val="22"/>
              </w:rPr>
            </w:pPr>
            <w:r>
              <w:rPr/>
            </w:r>
          </w:p>
        </w:tc>
        <w:tc>
          <w:tcPr>
            <w:tcW w:w="1843" w:type="dxa"/>
            <w:gridSpan w:val="2"/>
            <w:tcBorders/>
            <w:shd w:fill="E2EFD9" w:val="clear"/>
            <w:vAlign w:val="bottom"/>
          </w:tcPr>
          <w:p>
            <w:pPr>
              <w:pStyle w:val="Normal"/>
              <w:jc w:val="center"/>
              <w:rPr>
                <w:color w:val="000000"/>
                <w:sz w:val="22"/>
                <w:szCs w:val="22"/>
              </w:rPr>
            </w:pPr>
            <w:r>
              <w:rPr/>
            </w:r>
          </w:p>
        </w:tc>
        <w:tc>
          <w:tcPr>
            <w:tcW w:w="1417" w:type="dxa"/>
            <w:gridSpan w:val="3"/>
            <w:tcBorders/>
            <w:shd w:fill="E2EFD9" w:val="clear"/>
            <w:vAlign w:val="bottom"/>
          </w:tcPr>
          <w:p>
            <w:pPr>
              <w:pStyle w:val="Normal"/>
              <w:jc w:val="center"/>
              <w:rPr>
                <w:rFonts w:ascii="Calibri" w:hAnsi="Calibri" w:cs="Calibri"/>
                <w:color w:val="000000"/>
                <w:sz w:val="22"/>
                <w:szCs w:val="22"/>
              </w:rPr>
            </w:pPr>
            <w:r>
              <w:rPr/>
            </w:r>
          </w:p>
        </w:tc>
      </w:tr>
    </w:tbl>
    <w:p>
      <w:pPr>
        <w:pStyle w:val="Heading1"/>
        <w:keepLines/>
        <w:numPr>
          <w:ilvl w:val="0"/>
          <w:numId w:val="5"/>
        </w:numPr>
        <w:spacing w:before="240" w:after="120"/>
        <w:ind w:hanging="431" w:left="431" w:right="0"/>
        <w:rPr>
          <w:rFonts w:ascii="Times New Roman" w:hAnsi="Times New Roman" w:cs="Times New Roman"/>
          <w:caps/>
          <w:color w:val="166B7F"/>
          <w:kern w:val="0"/>
          <w:lang w:eastAsia="en-US"/>
        </w:rPr>
      </w:pPr>
      <w:bookmarkStart w:id="1" w:name="__RefHeading___Toc30240_3889484913"/>
      <w:bookmarkEnd w:id="1"/>
      <w:r>
        <w:rPr/>
        <w:t>APERÇU GÉNÉRAL</w:t>
      </w:r>
      <w:bookmarkStart w:id="2" w:name="__RefHeading___Toc234831691"/>
      <w:bookmarkEnd w:id="2"/>
    </w:p>
    <w:p>
      <w:pPr>
        <w:pStyle w:val="Heading2"/>
        <w:keepLines/>
        <w:numPr>
          <w:ilvl w:val="0"/>
          <w:numId w:val="9"/>
        </w:numPr>
        <w:spacing w:before="120" w:after="120"/>
        <w:ind w:hanging="0" w:left="0" w:right="0"/>
        <w:jc w:val="both"/>
        <w:rPr>
          <w:rFonts w:ascii="Times New Roman" w:hAnsi="Times New Roman" w:cs="Times New Roman"/>
          <w:i w:val="false"/>
          <w:i w:val="false"/>
          <w:iCs w:val="false"/>
          <w:sz w:val="24"/>
          <w:szCs w:val="24"/>
          <w:lang w:val="fr-CI"/>
        </w:rPr>
      </w:pPr>
      <w:bookmarkStart w:id="3" w:name="__RefHeading___Toc234831692"/>
      <w:bookmarkEnd w:id="3"/>
      <w:r>
        <w:rPr>
          <w:rFonts w:cs="Times New Roman" w:ascii="Times New Roman" w:hAnsi="Times New Roman"/>
          <w:i w:val="false"/>
          <w:iCs w:val="false"/>
          <w:sz w:val="24"/>
          <w:szCs w:val="24"/>
          <w:lang w:val="fr-CI"/>
        </w:rPr>
        <w:t>Présentation du Promoteur :</w:t>
      </w:r>
    </w:p>
    <w:p>
      <w:pPr>
        <w:pStyle w:val="Normal"/>
        <w:jc w:val="both"/>
        <w:rPr>
          <w:sz w:val="22"/>
        </w:rPr>
      </w:pPr>
      <w:r>
        <w:rPr>
          <w:sz w:val="22"/>
        </w:rPr>
        <w:t xml:space="preserve">Le promoteur de l’entreprise </w:t>
      </w:r>
      <w:r>
        <w:rPr>
          <w:b/>
          <w:bCs/>
          <w:sz w:val="22"/>
        </w:rPr>
        <w:t>ZÉRÉ DÉLICE DE MOPTI</w:t>
      </w:r>
      <w:r>
        <w:rPr>
          <w:sz w:val="22"/>
        </w:rPr>
        <w:t xml:space="preserve"> est Monsieur Amadou Alassane TRAORÉ. Il réside à Sévaré, village de Diondionri, dans la Région de Mopti. Il a suivi une formation modulaire de 3 mois en production horticole durable chez SIDIBE Agrotechniques. Cette formation lui a permis d’acquérir des connaissances et compétences en production végétale, maraîchage, irrigation, fertilisation et gestion durable des cultures.</w:t>
      </w:r>
    </w:p>
    <w:p>
      <w:pPr>
        <w:pStyle w:val="Normal"/>
        <w:jc w:val="both"/>
        <w:rPr>
          <w:rFonts w:ascii="Segoe UI" w:hAnsi="Segoe UI" w:cs="Segoe UI"/>
          <w:color w:val="0F1115"/>
        </w:rPr>
      </w:pPr>
      <w:r>
        <w:rPr>
          <w:sz w:val="22"/>
        </w:rPr>
        <w:t xml:space="preserve">À travers son projet de production et de commercialisation de pastèque, sous la marque </w:t>
      </w:r>
      <w:r>
        <w:rPr>
          <w:b/>
          <w:bCs/>
          <w:sz w:val="22"/>
        </w:rPr>
        <w:t>ZÉRÉ DÉLICE DE MOPTI</w:t>
      </w:r>
      <w:r>
        <w:rPr>
          <w:sz w:val="22"/>
        </w:rPr>
        <w:t>, le promoteur souhaite mettre en pratique ces compétences, développer une activité agricole rentable et contribuer à l’approvisionnement du marché en produits de qualité. Ces compétences techniques lui permettront d’exploiter 0,5 hectare pour produire de la pastèque de qualité, destinée principalement aux marchés de Mopti et de Sévaré</w:t>
      </w:r>
      <w:r>
        <w:rPr>
          <w:rFonts w:cs="Segoe UI" w:ascii="Segoe UI" w:hAnsi="Segoe UI"/>
          <w:color w:val="0F1115"/>
        </w:rPr>
        <w:t>.</w:t>
      </w:r>
    </w:p>
    <w:p>
      <w:pPr>
        <w:pStyle w:val="Normal"/>
        <w:jc w:val="both"/>
        <w:rPr>
          <w:sz w:val="22"/>
          <w:szCs w:val="22"/>
        </w:rPr>
      </w:pPr>
      <w:r>
        <w:rPr>
          <w:sz w:val="22"/>
          <w:szCs w:val="22"/>
        </w:rPr>
        <w:t xml:space="preserve">. </w:t>
      </w:r>
    </w:p>
    <w:p>
      <w:pPr>
        <w:pStyle w:val="Heading2"/>
        <w:keepLines/>
        <w:numPr>
          <w:ilvl w:val="0"/>
          <w:numId w:val="9"/>
        </w:numPr>
        <w:spacing w:before="120" w:after="120"/>
        <w:ind w:hanging="0" w:left="0" w:right="0"/>
        <w:jc w:val="both"/>
        <w:rPr>
          <w:rFonts w:ascii="Times New Roman" w:hAnsi="Times New Roman" w:cs="Times New Roman"/>
          <w:i w:val="false"/>
          <w:i w:val="false"/>
          <w:iCs w:val="false"/>
          <w:sz w:val="24"/>
          <w:szCs w:val="24"/>
          <w:lang w:val="fr-CI"/>
        </w:rPr>
      </w:pPr>
      <w:bookmarkStart w:id="4" w:name="__RefHeading___Toc234831693"/>
      <w:bookmarkEnd w:id="4"/>
      <w:r>
        <w:rPr>
          <w:rFonts w:cs="Times New Roman" w:ascii="Times New Roman" w:hAnsi="Times New Roman"/>
          <w:i w:val="false"/>
          <w:iCs w:val="false"/>
          <w:sz w:val="24"/>
          <w:szCs w:val="24"/>
          <w:lang w:val="fr-CI"/>
        </w:rPr>
        <w:t>Description du projet :</w:t>
      </w:r>
    </w:p>
    <w:p>
      <w:pPr>
        <w:pStyle w:val="Normal"/>
        <w:jc w:val="both"/>
        <w:rPr>
          <w:sz w:val="22"/>
        </w:rPr>
      </w:pPr>
      <w:r>
        <w:rPr>
          <w:sz w:val="22"/>
        </w:rPr>
        <w:t xml:space="preserve">Le projet est basé sur la création d’une entreprise de production et de commercialisation de pastèque, sous la marque </w:t>
      </w:r>
      <w:r>
        <w:rPr>
          <w:b/>
          <w:bCs/>
          <w:sz w:val="22"/>
        </w:rPr>
        <w:t>ZÉRÉ DÉLICE DE MOPTI</w:t>
      </w:r>
      <w:r>
        <w:rPr>
          <w:sz w:val="22"/>
        </w:rPr>
        <w:t>. Il s’agit d’aménager une parcelle de 0,5 hectare à Sévaré, village de Diondionri (Région de Mopti), pour produire de la pastèque de haute qualité. L’entreprise prévoit l’installation d’équipements de production : système d’irrigation goutte-à-goutte, pompe solaire, panneaux solaires, tuyaux, vannes, pulvérisateur et petit matériel pour optimiser la production. Pour cette première campagne, l’entreprise a besoin de s’approvisionner en semences de pastèque de variétés adaptées aux conditions locales. La production sera orientée vers trois calibres : gros calibre (6 à 8 kg), moyen calibre (4 à 5 kg) et petit calibre (2 à 3 kg). Le cycle de production est de 3 mois avant la vente sur les marchés , la commercialisation étant concentrée sur la période de récolte. Ce projet contribuera à l’approvisionnement des marchés de Mopti, Sévaré et environs en pastèques fraîches et juteuses, tout en créant des emplois pour les jeunes de la localité. Il vise un chiffre d’affaires annuel de 3 150 000 F CFA et s’inscrit dans une dynamique de sécurité alimentaire et de valorisation des ressources locales. Pour garantir la réussite de cette production, le choix des variétés de pastèque est un élément déterminant. La pastèque, dont le nom scientifique est Citrullus lanatus (Thunb.) Matsum. &amp; Nakai, est une cucurbitacée qui exige des températures élevées et un ensoleillement important, conditions parfaitement réunies à Sévaré. Le tableau ci-dessous présente les variétés recommandées pour la zone, sélectionnées pour leur rendement, leur taux de sucre élevé (degrés Brix), leur bonne capacité de conservation et leur adaptation aux climats chauds et secs du Sahel.</w:t>
      </w:r>
    </w:p>
    <w:p>
      <w:pPr>
        <w:pStyle w:val="Normal"/>
        <w:jc w:val="both"/>
        <w:rPr>
          <w:lang w:val="fr-CI"/>
        </w:rPr>
      </w:pPr>
      <w:r>
        <w:rPr>
          <w:sz w:val="22"/>
        </w:rPr>
        <w:t>.</w:t>
      </w:r>
    </w:p>
    <w:p>
      <w:pPr>
        <w:pStyle w:val="Normal"/>
        <w:jc w:val="both"/>
        <w:rPr>
          <w:sz w:val="22"/>
          <w:szCs w:val="22"/>
          <w:lang w:val="fr-CI"/>
        </w:rPr>
      </w:pPr>
      <w:r>
        <w:rPr>
          <w:sz w:val="22"/>
          <w:szCs w:val="22"/>
          <w:lang w:val="fr-CI"/>
        </w:rPr>
      </w:r>
    </w:p>
    <w:p>
      <w:pPr>
        <w:pStyle w:val="Heading2"/>
        <w:keepLines/>
        <w:numPr>
          <w:ilvl w:val="0"/>
          <w:numId w:val="9"/>
        </w:numPr>
        <w:spacing w:before="120" w:after="120"/>
        <w:ind w:hanging="0" w:left="0" w:right="0"/>
        <w:jc w:val="both"/>
        <w:rPr>
          <w:rFonts w:ascii="Times New Roman" w:hAnsi="Times New Roman" w:cs="Times New Roman"/>
          <w:i w:val="false"/>
          <w:i w:val="false"/>
          <w:iCs w:val="false"/>
          <w:sz w:val="24"/>
          <w:szCs w:val="24"/>
          <w:lang w:val="fr-CI"/>
        </w:rPr>
      </w:pPr>
      <w:bookmarkStart w:id="5" w:name="__RefHeading___Toc234831694"/>
      <w:bookmarkEnd w:id="5"/>
      <w:r>
        <w:rPr>
          <w:rFonts w:cs="Times New Roman" w:ascii="Times New Roman" w:hAnsi="Times New Roman"/>
          <w:i w:val="false"/>
          <w:iCs w:val="false"/>
          <w:sz w:val="24"/>
          <w:szCs w:val="24"/>
          <w:lang w:val="fr-CI"/>
        </w:rPr>
        <w:t xml:space="preserve">Objectifs du projet : </w:t>
      </w:r>
    </w:p>
    <w:p>
      <w:pPr>
        <w:pStyle w:val="Normal"/>
        <w:rPr>
          <w:b/>
          <w:sz w:val="22"/>
          <w:szCs w:val="22"/>
          <w:lang w:val="fr-CI"/>
        </w:rPr>
      </w:pPr>
      <w:r>
        <w:rPr>
          <w:b/>
          <w:sz w:val="22"/>
          <w:szCs w:val="22"/>
          <w:lang w:val="fr-CI"/>
        </w:rPr>
        <w:t>L’objectif global du projet est :</w:t>
      </w:r>
    </w:p>
    <w:p>
      <w:pPr>
        <w:pStyle w:val="Normal"/>
        <w:rPr/>
      </w:pPr>
      <w:r>
        <w:rPr/>
        <w:t>Aménager et exploiter une parcelle de 0,5 hectare à Sévaré, village de Diondionri, dans la Région de Mopt</w:t>
      </w:r>
      <w:r>
        <w:rPr>
          <w:b/>
          <w:bCs/>
        </w:rPr>
        <w:t>i</w:t>
      </w:r>
      <w:r>
        <w:rPr/>
        <w:t xml:space="preserve">, pour la production et la commercialisation de pastèque fraîche et de qualité, sous la marque </w:t>
      </w:r>
      <w:r>
        <w:rPr>
          <w:b/>
          <w:bCs/>
        </w:rPr>
        <w:t>ZÉRÉ DÉLICE DE MOPTI</w:t>
      </w:r>
      <w:r>
        <w:rPr/>
        <w:t xml:space="preserve">, avec comme slogan </w:t>
      </w:r>
      <w:r>
        <w:rPr>
          <w:i/>
          <w:iCs/>
        </w:rPr>
        <w:t>Le plaisir de la pastèque de Mopti</w:t>
      </w:r>
    </w:p>
    <w:p>
      <w:pPr>
        <w:pStyle w:val="Normal"/>
        <w:rPr>
          <w:b/>
          <w:sz w:val="22"/>
          <w:szCs w:val="22"/>
          <w:lang w:val="fr-CI"/>
        </w:rPr>
      </w:pPr>
      <w:r>
        <w:rPr>
          <w:b/>
          <w:sz w:val="22"/>
          <w:szCs w:val="22"/>
          <w:lang w:val="fr-CI"/>
        </w:rPr>
        <w:t>Les objectifs spécifiques du projet sont :</w:t>
      </w:r>
    </w:p>
    <w:p>
      <w:pPr>
        <w:pStyle w:val="Normal"/>
        <w:numPr>
          <w:ilvl w:val="0"/>
          <w:numId w:val="8"/>
        </w:numPr>
        <w:rPr>
          <w:bCs/>
          <w:sz w:val="22"/>
          <w:szCs w:val="22"/>
        </w:rPr>
      </w:pPr>
      <w:r>
        <w:rPr>
          <w:bCs/>
          <w:sz w:val="22"/>
          <w:szCs w:val="22"/>
        </w:rPr>
        <w:t>Réaliser un chiffre d’affaires de 3 150 000 FCFA la première année d’exploitation du périmètre de 0,5 hectare ;</w:t>
      </w:r>
    </w:p>
    <w:p>
      <w:pPr>
        <w:pStyle w:val="Normal"/>
        <w:numPr>
          <w:ilvl w:val="0"/>
          <w:numId w:val="8"/>
        </w:numPr>
        <w:rPr>
          <w:bCs/>
          <w:sz w:val="22"/>
          <w:szCs w:val="22"/>
        </w:rPr>
      </w:pPr>
      <w:r>
        <w:rPr>
          <w:bCs/>
          <w:sz w:val="22"/>
          <w:szCs w:val="22"/>
        </w:rPr>
        <w:t>Offrir sur les marchés de Mopti, de Sévaré et aux commerçants grossistes des pastèques fraîches, juteuses et de bonne conservation, de qualité supérieure et de différents calibres ;</w:t>
      </w:r>
    </w:p>
    <w:p>
      <w:pPr>
        <w:pStyle w:val="Normal"/>
        <w:numPr>
          <w:ilvl w:val="0"/>
          <w:numId w:val="8"/>
        </w:numPr>
        <w:rPr>
          <w:bCs/>
          <w:sz w:val="22"/>
          <w:szCs w:val="22"/>
        </w:rPr>
      </w:pPr>
      <w:r>
        <w:rPr>
          <w:bCs/>
          <w:sz w:val="22"/>
          <w:szCs w:val="22"/>
        </w:rPr>
        <w:t>Assurer la promotion d’une agriculture durable à travers une production maraîchère utilisant prioritairement la fumure organique, le compost et peu d’engrais chimiques ;</w:t>
      </w:r>
    </w:p>
    <w:p>
      <w:pPr>
        <w:pStyle w:val="Normal"/>
        <w:numPr>
          <w:ilvl w:val="0"/>
          <w:numId w:val="8"/>
        </w:numPr>
        <w:rPr>
          <w:bCs/>
          <w:sz w:val="22"/>
          <w:szCs w:val="22"/>
        </w:rPr>
      </w:pPr>
      <w:r>
        <w:rPr>
          <w:bCs/>
          <w:sz w:val="22"/>
          <w:szCs w:val="22"/>
        </w:rPr>
        <w:t>Produire 6 000 pastèques (gros, moyens et petits calibres) dès la première année ;</w:t>
      </w:r>
    </w:p>
    <w:p>
      <w:pPr>
        <w:pStyle w:val="Normal"/>
        <w:numPr>
          <w:ilvl w:val="0"/>
          <w:numId w:val="8"/>
        </w:numPr>
        <w:rPr>
          <w:bCs/>
          <w:sz w:val="22"/>
          <w:szCs w:val="22"/>
        </w:rPr>
      </w:pPr>
      <w:r>
        <w:rPr>
          <w:bCs/>
          <w:sz w:val="22"/>
          <w:szCs w:val="22"/>
        </w:rPr>
        <w:t>Créer trois (3) emplois directs : un emploi permanent (le promoteur, en auto-emploi) et deux emplois saisonniers (1 gardien, 1 technicien) pour les jeunes de la localité ;</w:t>
      </w:r>
    </w:p>
    <w:p>
      <w:pPr>
        <w:pStyle w:val="Normal"/>
        <w:numPr>
          <w:ilvl w:val="0"/>
          <w:numId w:val="8"/>
        </w:numPr>
        <w:rPr>
          <w:bCs/>
          <w:sz w:val="22"/>
          <w:szCs w:val="22"/>
        </w:rPr>
      </w:pPr>
      <w:r>
        <w:rPr>
          <w:bCs/>
          <w:sz w:val="22"/>
          <w:szCs w:val="22"/>
        </w:rPr>
        <w:t>Positionner la marque ZÉRÉ DÉLICE DE MOPTI comme une référence de qualité sur le marché malien de la pastèque.</w:t>
      </w:r>
    </w:p>
    <w:p>
      <w:pPr>
        <w:pStyle w:val="Normal"/>
        <w:rPr>
          <w:bCs/>
          <w:sz w:val="22"/>
          <w:szCs w:val="22"/>
        </w:rPr>
      </w:pPr>
      <w:r>
        <w:rPr>
          <w:bCs/>
          <w:sz w:val="22"/>
          <w:szCs w:val="22"/>
        </w:rPr>
      </w:r>
    </w:p>
    <w:p>
      <w:pPr>
        <w:pStyle w:val="Heading2"/>
        <w:keepLines/>
        <w:numPr>
          <w:ilvl w:val="0"/>
          <w:numId w:val="9"/>
        </w:numPr>
        <w:spacing w:before="120" w:after="120"/>
        <w:ind w:hanging="0" w:left="0" w:right="0"/>
        <w:jc w:val="both"/>
        <w:rPr>
          <w:rFonts w:ascii="Times New Roman" w:hAnsi="Times New Roman" w:cs="Times New Roman"/>
          <w:i w:val="false"/>
          <w:i w:val="false"/>
          <w:iCs w:val="false"/>
          <w:sz w:val="24"/>
          <w:szCs w:val="24"/>
          <w:lang w:val="fr-CI"/>
        </w:rPr>
      </w:pPr>
      <w:bookmarkStart w:id="6" w:name="__RefHeading___Toc234831695"/>
      <w:bookmarkEnd w:id="6"/>
      <w:r>
        <w:rPr>
          <w:rFonts w:cs="Times New Roman" w:ascii="Times New Roman" w:hAnsi="Times New Roman"/>
          <w:i w:val="false"/>
          <w:iCs w:val="false"/>
          <w:sz w:val="24"/>
          <w:szCs w:val="24"/>
          <w:lang w:val="fr-CI"/>
        </w:rPr>
        <w:t>Localisation du projet</w:t>
      </w:r>
    </w:p>
    <w:p>
      <w:pPr>
        <w:pStyle w:val="Normal"/>
        <w:rPr>
          <w:bCs/>
          <w:sz w:val="22"/>
          <w:szCs w:val="22"/>
        </w:rPr>
      </w:pPr>
      <w:r>
        <w:rPr>
          <w:bCs/>
          <w:sz w:val="22"/>
          <w:szCs w:val="22"/>
        </w:rPr>
        <w:t>Le projet est réalisé à Sévaré, village de Diondionri, dans la Région de Mopti.</w:t>
      </w:r>
    </w:p>
    <w:p>
      <w:pPr>
        <w:pStyle w:val="Normal"/>
        <w:ind w:left="360" w:right="0"/>
        <w:rPr>
          <w:bCs/>
          <w:sz w:val="22"/>
          <w:szCs w:val="22"/>
        </w:rPr>
      </w:pPr>
      <w:r>
        <w:rPr>
          <w:bCs/>
          <w:sz w:val="22"/>
          <w:szCs w:val="22"/>
        </w:rPr>
      </w:r>
    </w:p>
    <w:p>
      <w:pPr>
        <w:pStyle w:val="Heading1"/>
        <w:keepLines/>
        <w:numPr>
          <w:ilvl w:val="0"/>
          <w:numId w:val="5"/>
        </w:numPr>
        <w:spacing w:before="240" w:after="0"/>
        <w:ind w:hanging="431" w:left="431" w:right="0"/>
        <w:jc w:val="both"/>
        <w:rPr>
          <w:rFonts w:ascii="Times New Roman" w:hAnsi="Times New Roman" w:cs="Times New Roman"/>
          <w:caps/>
          <w:color w:val="166B7F"/>
          <w:kern w:val="0"/>
          <w:sz w:val="28"/>
          <w:szCs w:val="28"/>
          <w:lang w:eastAsia="en-US"/>
        </w:rPr>
      </w:pPr>
      <w:bookmarkStart w:id="7" w:name="__RefHeading___Toc234831696"/>
      <w:bookmarkEnd w:id="7"/>
      <w:r>
        <w:rPr>
          <w:rFonts w:cs="Times New Roman" w:ascii="Times New Roman" w:hAnsi="Times New Roman"/>
          <w:caps/>
          <w:color w:val="166B7F"/>
          <w:kern w:val="0"/>
          <w:sz w:val="28"/>
          <w:szCs w:val="28"/>
          <w:lang w:eastAsia="en-US"/>
        </w:rPr>
        <w:t>ÉTUDE DE MARCHÉ</w:t>
      </w:r>
    </w:p>
    <w:p>
      <w:pPr>
        <w:pStyle w:val="Normal"/>
        <w:jc w:val="both"/>
        <w:rPr>
          <w:b/>
          <w:bCs/>
          <w:sz w:val="22"/>
          <w:szCs w:val="22"/>
        </w:rPr>
      </w:pPr>
      <w:r>
        <w:rPr>
          <w:b/>
          <w:bCs/>
          <w:sz w:val="22"/>
          <w:szCs w:val="22"/>
        </w:rPr>
        <w:t>1. Les produits</w:t>
      </w:r>
    </w:p>
    <w:p>
      <w:pPr>
        <w:pStyle w:val="Normal"/>
        <w:jc w:val="both"/>
        <w:rPr>
          <w:sz w:val="22"/>
          <w:szCs w:val="22"/>
        </w:rPr>
      </w:pPr>
      <w:r>
        <w:rPr>
          <w:sz w:val="22"/>
          <w:szCs w:val="22"/>
        </w:rPr>
        <w:t xml:space="preserve">Les produits que l’entreprise </w:t>
      </w:r>
      <w:r>
        <w:rPr>
          <w:b/>
          <w:bCs/>
          <w:sz w:val="22"/>
          <w:szCs w:val="22"/>
        </w:rPr>
        <w:t>ZÉRÉ DÉLICE DE MOPTI</w:t>
      </w:r>
      <w:r>
        <w:rPr>
          <w:sz w:val="22"/>
          <w:szCs w:val="22"/>
        </w:rPr>
        <w:t xml:space="preserve"> offre aux clients sont : la </w:t>
      </w:r>
      <w:r>
        <w:rPr>
          <w:b/>
          <w:bCs/>
          <w:sz w:val="22"/>
          <w:szCs w:val="22"/>
        </w:rPr>
        <w:t>pastèque de gros calibre</w:t>
      </w:r>
      <w:r>
        <w:rPr>
          <w:sz w:val="22"/>
          <w:szCs w:val="22"/>
        </w:rPr>
        <w:t xml:space="preserve">, la </w:t>
      </w:r>
      <w:r>
        <w:rPr>
          <w:b/>
          <w:bCs/>
          <w:sz w:val="22"/>
          <w:szCs w:val="22"/>
        </w:rPr>
        <w:t>pastèque de moyen calibre</w:t>
      </w:r>
      <w:r>
        <w:rPr>
          <w:sz w:val="22"/>
          <w:szCs w:val="22"/>
        </w:rPr>
        <w:t xml:space="preserve"> et la </w:t>
      </w:r>
      <w:r>
        <w:rPr>
          <w:b/>
          <w:bCs/>
          <w:sz w:val="22"/>
          <w:szCs w:val="22"/>
        </w:rPr>
        <w:t>pastèque de petit calibre</w:t>
      </w:r>
      <w:r>
        <w:rPr>
          <w:sz w:val="22"/>
          <w:szCs w:val="22"/>
        </w:rPr>
        <w:t xml:space="preserve">. Il faut noter que la caractéristique fondamentale des produits de l’entreprise est leur </w:t>
      </w:r>
      <w:r>
        <w:rPr>
          <w:b/>
          <w:bCs/>
          <w:sz w:val="22"/>
          <w:szCs w:val="22"/>
        </w:rPr>
        <w:t>qualité gustative supérieure</w:t>
      </w:r>
      <w:r>
        <w:rPr>
          <w:sz w:val="22"/>
          <w:szCs w:val="22"/>
        </w:rPr>
        <w:t xml:space="preserve">, leur </w:t>
      </w:r>
      <w:r>
        <w:rPr>
          <w:b/>
          <w:bCs/>
          <w:sz w:val="22"/>
          <w:szCs w:val="22"/>
        </w:rPr>
        <w:t>fraîcheur</w:t>
      </w:r>
      <w:r>
        <w:rPr>
          <w:sz w:val="22"/>
          <w:szCs w:val="22"/>
        </w:rPr>
        <w:t xml:space="preserve"> et leur </w:t>
      </w:r>
      <w:r>
        <w:rPr>
          <w:b/>
          <w:bCs/>
          <w:sz w:val="22"/>
          <w:szCs w:val="22"/>
        </w:rPr>
        <w:t>bonne durée de conservation</w:t>
      </w:r>
      <w:r>
        <w:rPr>
          <w:sz w:val="22"/>
          <w:szCs w:val="22"/>
        </w:rPr>
        <w:t>.</w:t>
      </w:r>
    </w:p>
    <w:p>
      <w:pPr>
        <w:pStyle w:val="Normal"/>
        <w:jc w:val="both"/>
        <w:rPr>
          <w:sz w:val="22"/>
          <w:szCs w:val="22"/>
        </w:rPr>
      </w:pPr>
      <w:r>
        <w:rPr>
          <w:sz w:val="22"/>
          <w:szCs w:val="22"/>
        </w:rPr>
        <w:t>Les caractéristiques des produits qui seront mis sur le marché sont :</w:t>
      </w:r>
    </w:p>
    <w:p>
      <w:pPr>
        <w:pStyle w:val="Normal"/>
        <w:jc w:val="both"/>
        <w:rPr>
          <w:sz w:val="22"/>
          <w:szCs w:val="22"/>
        </w:rPr>
      </w:pPr>
      <w:r>
        <w:rPr>
          <w:b/>
          <w:bCs/>
          <w:sz w:val="22"/>
          <w:szCs w:val="22"/>
        </w:rPr>
        <w:t>Pastèque de gros calibre :</w:t>
      </w:r>
    </w:p>
    <w:p>
      <w:pPr>
        <w:pStyle w:val="Normal"/>
        <w:numPr>
          <w:ilvl w:val="0"/>
          <w:numId w:val="7"/>
        </w:numPr>
        <w:jc w:val="both"/>
        <w:rPr>
          <w:sz w:val="22"/>
          <w:szCs w:val="22"/>
        </w:rPr>
      </w:pPr>
      <w:r>
        <w:rPr>
          <w:sz w:val="22"/>
          <w:szCs w:val="22"/>
        </w:rPr>
        <w:t>Qualité gustative supérieure ;</w:t>
      </w:r>
    </w:p>
    <w:p>
      <w:pPr>
        <w:pStyle w:val="Normal"/>
        <w:numPr>
          <w:ilvl w:val="0"/>
          <w:numId w:val="7"/>
        </w:numPr>
        <w:jc w:val="both"/>
        <w:rPr>
          <w:sz w:val="22"/>
          <w:szCs w:val="22"/>
        </w:rPr>
      </w:pPr>
      <w:r>
        <w:rPr>
          <w:sz w:val="22"/>
          <w:szCs w:val="22"/>
        </w:rPr>
        <w:t>Chair rouge, juteuse et sucrée ;</w:t>
      </w:r>
    </w:p>
    <w:p>
      <w:pPr>
        <w:pStyle w:val="Normal"/>
        <w:numPr>
          <w:ilvl w:val="0"/>
          <w:numId w:val="7"/>
        </w:numPr>
        <w:jc w:val="both"/>
        <w:rPr>
          <w:sz w:val="22"/>
          <w:szCs w:val="22"/>
        </w:rPr>
      </w:pPr>
      <w:r>
        <w:rPr>
          <w:sz w:val="22"/>
          <w:szCs w:val="22"/>
        </w:rPr>
        <w:t>Poids moyen de 6 à 8 kg ;</w:t>
      </w:r>
    </w:p>
    <w:p>
      <w:pPr>
        <w:pStyle w:val="Normal"/>
        <w:numPr>
          <w:ilvl w:val="0"/>
          <w:numId w:val="7"/>
        </w:numPr>
        <w:jc w:val="both"/>
        <w:rPr>
          <w:sz w:val="22"/>
          <w:szCs w:val="22"/>
        </w:rPr>
      </w:pPr>
      <w:r>
        <w:rPr>
          <w:sz w:val="22"/>
          <w:szCs w:val="22"/>
        </w:rPr>
        <w:t>Valeur nutritive élevée ;</w:t>
      </w:r>
    </w:p>
    <w:p>
      <w:pPr>
        <w:pStyle w:val="Normal"/>
        <w:numPr>
          <w:ilvl w:val="0"/>
          <w:numId w:val="7"/>
        </w:numPr>
        <w:jc w:val="both"/>
        <w:rPr>
          <w:sz w:val="22"/>
          <w:szCs w:val="22"/>
        </w:rPr>
      </w:pPr>
      <w:r>
        <w:rPr>
          <w:sz w:val="22"/>
          <w:szCs w:val="22"/>
        </w:rPr>
        <w:t>Riche en vitamines ;</w:t>
      </w:r>
    </w:p>
    <w:p>
      <w:pPr>
        <w:pStyle w:val="Normal"/>
        <w:numPr>
          <w:ilvl w:val="0"/>
          <w:numId w:val="7"/>
        </w:numPr>
        <w:jc w:val="both"/>
        <w:rPr>
          <w:sz w:val="22"/>
          <w:szCs w:val="22"/>
        </w:rPr>
      </w:pPr>
      <w:r>
        <w:rPr>
          <w:sz w:val="22"/>
          <w:szCs w:val="22"/>
        </w:rPr>
        <w:t>Facilite la digestion.</w:t>
      </w:r>
    </w:p>
    <w:p>
      <w:pPr>
        <w:pStyle w:val="Normal"/>
        <w:jc w:val="both"/>
        <w:rPr>
          <w:sz w:val="22"/>
          <w:szCs w:val="22"/>
        </w:rPr>
      </w:pPr>
      <w:r>
        <w:rPr>
          <w:b/>
          <w:bCs/>
          <w:sz w:val="22"/>
          <w:szCs w:val="22"/>
        </w:rPr>
        <w:t>Pastèque de moyen calibre :</w:t>
      </w:r>
    </w:p>
    <w:p>
      <w:pPr>
        <w:pStyle w:val="Normal"/>
        <w:numPr>
          <w:ilvl w:val="0"/>
          <w:numId w:val="4"/>
        </w:numPr>
        <w:jc w:val="both"/>
        <w:rPr>
          <w:sz w:val="22"/>
          <w:szCs w:val="22"/>
        </w:rPr>
      </w:pPr>
      <w:r>
        <w:rPr>
          <w:sz w:val="22"/>
          <w:szCs w:val="22"/>
        </w:rPr>
        <w:t>Qualité gustative supérieure ;</w:t>
      </w:r>
    </w:p>
    <w:p>
      <w:pPr>
        <w:pStyle w:val="Normal"/>
        <w:numPr>
          <w:ilvl w:val="0"/>
          <w:numId w:val="4"/>
        </w:numPr>
        <w:jc w:val="both"/>
        <w:rPr>
          <w:sz w:val="22"/>
          <w:szCs w:val="22"/>
        </w:rPr>
      </w:pPr>
      <w:r>
        <w:rPr>
          <w:sz w:val="22"/>
          <w:szCs w:val="22"/>
        </w:rPr>
        <w:t>Chair rouge, juteuse et sucrée ;</w:t>
      </w:r>
    </w:p>
    <w:p>
      <w:pPr>
        <w:pStyle w:val="Normal"/>
        <w:numPr>
          <w:ilvl w:val="0"/>
          <w:numId w:val="4"/>
        </w:numPr>
        <w:jc w:val="both"/>
        <w:rPr>
          <w:sz w:val="22"/>
          <w:szCs w:val="22"/>
        </w:rPr>
      </w:pPr>
      <w:r>
        <w:rPr>
          <w:sz w:val="22"/>
          <w:szCs w:val="22"/>
        </w:rPr>
        <w:t>Poids moyen de 4 à 5 kg ;</w:t>
      </w:r>
    </w:p>
    <w:p>
      <w:pPr>
        <w:pStyle w:val="Normal"/>
        <w:numPr>
          <w:ilvl w:val="0"/>
          <w:numId w:val="4"/>
        </w:numPr>
        <w:jc w:val="both"/>
        <w:rPr>
          <w:sz w:val="22"/>
          <w:szCs w:val="22"/>
        </w:rPr>
      </w:pPr>
      <w:r>
        <w:rPr>
          <w:sz w:val="22"/>
          <w:szCs w:val="22"/>
        </w:rPr>
        <w:t>Prix abordable ;</w:t>
      </w:r>
    </w:p>
    <w:p>
      <w:pPr>
        <w:pStyle w:val="Normal"/>
        <w:numPr>
          <w:ilvl w:val="0"/>
          <w:numId w:val="4"/>
        </w:numPr>
        <w:jc w:val="both"/>
        <w:rPr>
          <w:sz w:val="22"/>
          <w:szCs w:val="22"/>
        </w:rPr>
      </w:pPr>
      <w:r>
        <w:rPr>
          <w:sz w:val="22"/>
          <w:szCs w:val="22"/>
        </w:rPr>
        <w:t>Valeur nutritive élevée ;</w:t>
      </w:r>
    </w:p>
    <w:p>
      <w:pPr>
        <w:pStyle w:val="Normal"/>
        <w:numPr>
          <w:ilvl w:val="0"/>
          <w:numId w:val="4"/>
        </w:numPr>
        <w:jc w:val="both"/>
        <w:rPr>
          <w:sz w:val="22"/>
          <w:szCs w:val="22"/>
        </w:rPr>
      </w:pPr>
      <w:r>
        <w:rPr>
          <w:sz w:val="22"/>
          <w:szCs w:val="22"/>
        </w:rPr>
        <w:t>Riche en vitamines ;</w:t>
      </w:r>
    </w:p>
    <w:p>
      <w:pPr>
        <w:pStyle w:val="Normal"/>
        <w:numPr>
          <w:ilvl w:val="0"/>
          <w:numId w:val="4"/>
        </w:numPr>
        <w:jc w:val="both"/>
        <w:rPr>
          <w:sz w:val="22"/>
          <w:szCs w:val="22"/>
        </w:rPr>
      </w:pPr>
      <w:r>
        <w:rPr>
          <w:sz w:val="22"/>
          <w:szCs w:val="22"/>
        </w:rPr>
        <w:t>Facilite la digestion.</w:t>
      </w:r>
    </w:p>
    <w:p>
      <w:pPr>
        <w:pStyle w:val="Normal"/>
        <w:jc w:val="both"/>
        <w:rPr>
          <w:sz w:val="22"/>
          <w:szCs w:val="22"/>
        </w:rPr>
      </w:pPr>
      <w:r>
        <w:rPr>
          <w:b/>
          <w:bCs/>
          <w:sz w:val="22"/>
          <w:szCs w:val="22"/>
        </w:rPr>
        <w:t>Pastèque de petit calibre :</w:t>
      </w:r>
    </w:p>
    <w:p>
      <w:pPr>
        <w:pStyle w:val="Normal"/>
        <w:numPr>
          <w:ilvl w:val="0"/>
          <w:numId w:val="13"/>
        </w:numPr>
        <w:jc w:val="both"/>
        <w:rPr>
          <w:sz w:val="22"/>
          <w:szCs w:val="22"/>
        </w:rPr>
      </w:pPr>
      <w:r>
        <w:rPr>
          <w:sz w:val="22"/>
          <w:szCs w:val="22"/>
        </w:rPr>
        <w:t>Qualité gustative supérieure ;</w:t>
      </w:r>
    </w:p>
    <w:p>
      <w:pPr>
        <w:pStyle w:val="Normal"/>
        <w:numPr>
          <w:ilvl w:val="0"/>
          <w:numId w:val="13"/>
        </w:numPr>
        <w:jc w:val="both"/>
        <w:rPr>
          <w:sz w:val="22"/>
          <w:szCs w:val="22"/>
        </w:rPr>
      </w:pPr>
      <w:r>
        <w:rPr>
          <w:sz w:val="22"/>
          <w:szCs w:val="22"/>
        </w:rPr>
        <w:t>Chair rouge, juteuse et sucrée ;</w:t>
      </w:r>
    </w:p>
    <w:p>
      <w:pPr>
        <w:pStyle w:val="Normal"/>
        <w:numPr>
          <w:ilvl w:val="0"/>
          <w:numId w:val="13"/>
        </w:numPr>
        <w:jc w:val="both"/>
        <w:rPr>
          <w:sz w:val="22"/>
          <w:szCs w:val="22"/>
        </w:rPr>
      </w:pPr>
      <w:r>
        <w:rPr>
          <w:sz w:val="22"/>
          <w:szCs w:val="22"/>
        </w:rPr>
        <w:t>Poids moyen de 2 à 3 kg ;</w:t>
      </w:r>
    </w:p>
    <w:p>
      <w:pPr>
        <w:pStyle w:val="Normal"/>
        <w:numPr>
          <w:ilvl w:val="0"/>
          <w:numId w:val="13"/>
        </w:numPr>
        <w:jc w:val="both"/>
        <w:rPr>
          <w:sz w:val="22"/>
          <w:szCs w:val="22"/>
        </w:rPr>
      </w:pPr>
      <w:r>
        <w:rPr>
          <w:sz w:val="22"/>
          <w:szCs w:val="22"/>
        </w:rPr>
        <w:t>Prix très abordable ;</w:t>
      </w:r>
    </w:p>
    <w:p>
      <w:pPr>
        <w:pStyle w:val="Normal"/>
        <w:numPr>
          <w:ilvl w:val="0"/>
          <w:numId w:val="13"/>
        </w:numPr>
        <w:jc w:val="both"/>
        <w:rPr>
          <w:sz w:val="22"/>
          <w:szCs w:val="22"/>
        </w:rPr>
      </w:pPr>
      <w:r>
        <w:rPr>
          <w:sz w:val="22"/>
          <w:szCs w:val="22"/>
        </w:rPr>
        <w:t>Idéale pour les ménages de petite taille.</w:t>
      </w:r>
    </w:p>
    <w:p>
      <w:pPr>
        <w:pStyle w:val="Normal"/>
        <w:jc w:val="both"/>
        <w:rPr>
          <w:sz w:val="22"/>
          <w:szCs w:val="22"/>
        </w:rPr>
      </w:pPr>
      <w:r>
        <w:rPr/>
        <mc:AlternateContent>
          <mc:Choice Requires="wps">
            <w:drawing>
              <wp:inline distT="0" distB="0" distL="0" distR="0">
                <wp:extent cx="6121400" cy="9525"/>
                <wp:effectExtent l="0" t="0" r="0" b="0"/>
                <wp:docPr id="3" name="Shape3"/>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3" path="m0,0l-2147483645,0l-2147483645,-2147483646l0,-2147483646xe"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jc w:val="both"/>
        <w:rPr>
          <w:b/>
          <w:bCs/>
          <w:sz w:val="22"/>
          <w:szCs w:val="22"/>
        </w:rPr>
      </w:pPr>
      <w:r>
        <w:rPr>
          <w:b/>
          <w:bCs/>
          <w:sz w:val="22"/>
          <w:szCs w:val="22"/>
        </w:rPr>
        <w:t>2. Le marché cible / secteur d’activité</w:t>
      </w:r>
    </w:p>
    <w:p>
      <w:pPr>
        <w:pStyle w:val="Normal"/>
        <w:jc w:val="both"/>
        <w:rPr>
          <w:sz w:val="22"/>
          <w:szCs w:val="22"/>
        </w:rPr>
      </w:pPr>
      <w:r>
        <w:rPr>
          <w:sz w:val="22"/>
          <w:szCs w:val="22"/>
        </w:rPr>
        <w:t xml:space="preserve">Le marché cible de l’entreprise est constitué par les </w:t>
      </w:r>
      <w:r>
        <w:rPr>
          <w:b/>
          <w:bCs/>
          <w:sz w:val="22"/>
          <w:szCs w:val="22"/>
        </w:rPr>
        <w:t>commerçants grossistes</w:t>
      </w:r>
      <w:r>
        <w:rPr>
          <w:sz w:val="22"/>
          <w:szCs w:val="22"/>
        </w:rPr>
        <w:t xml:space="preserve">, les </w:t>
      </w:r>
      <w:r>
        <w:rPr>
          <w:b/>
          <w:bCs/>
          <w:sz w:val="22"/>
          <w:szCs w:val="22"/>
        </w:rPr>
        <w:t>détaillants</w:t>
      </w:r>
      <w:r>
        <w:rPr>
          <w:sz w:val="22"/>
          <w:szCs w:val="22"/>
        </w:rPr>
        <w:t xml:space="preserve">, les </w:t>
      </w:r>
      <w:r>
        <w:rPr>
          <w:b/>
          <w:bCs/>
          <w:sz w:val="22"/>
          <w:szCs w:val="22"/>
        </w:rPr>
        <w:t>revendeurs de fruits</w:t>
      </w:r>
      <w:r>
        <w:rPr>
          <w:sz w:val="22"/>
          <w:szCs w:val="22"/>
        </w:rPr>
        <w:t xml:space="preserve">, les </w:t>
      </w:r>
      <w:r>
        <w:rPr>
          <w:b/>
          <w:bCs/>
          <w:sz w:val="22"/>
          <w:szCs w:val="22"/>
        </w:rPr>
        <w:t>restaurateurs</w:t>
      </w:r>
      <w:r>
        <w:rPr>
          <w:sz w:val="22"/>
          <w:szCs w:val="22"/>
        </w:rPr>
        <w:t xml:space="preserve">, les </w:t>
      </w:r>
      <w:r>
        <w:rPr>
          <w:b/>
          <w:bCs/>
          <w:sz w:val="22"/>
          <w:szCs w:val="22"/>
        </w:rPr>
        <w:t>hôtels</w:t>
      </w:r>
      <w:r>
        <w:rPr>
          <w:sz w:val="22"/>
          <w:szCs w:val="22"/>
        </w:rPr>
        <w:t xml:space="preserve"> et les </w:t>
      </w:r>
      <w:r>
        <w:rPr>
          <w:b/>
          <w:bCs/>
          <w:sz w:val="22"/>
          <w:szCs w:val="22"/>
        </w:rPr>
        <w:t>particuliers consommateurs</w:t>
      </w:r>
      <w:r>
        <w:rPr>
          <w:sz w:val="22"/>
          <w:szCs w:val="22"/>
        </w:rPr>
        <w:t xml:space="preserve"> de la ville de </w:t>
      </w:r>
      <w:r>
        <w:rPr>
          <w:b/>
          <w:bCs/>
          <w:sz w:val="22"/>
          <w:szCs w:val="22"/>
        </w:rPr>
        <w:t>Mopti</w:t>
      </w:r>
      <w:r>
        <w:rPr>
          <w:sz w:val="22"/>
          <w:szCs w:val="22"/>
        </w:rPr>
        <w:t xml:space="preserve">, de </w:t>
      </w:r>
      <w:r>
        <w:rPr>
          <w:b/>
          <w:bCs/>
          <w:sz w:val="22"/>
          <w:szCs w:val="22"/>
        </w:rPr>
        <w:t>Sévaré</w:t>
      </w:r>
      <w:r>
        <w:rPr>
          <w:sz w:val="22"/>
          <w:szCs w:val="22"/>
        </w:rPr>
        <w:t xml:space="preserve"> et environs.</w:t>
      </w:r>
    </w:p>
    <w:p>
      <w:pPr>
        <w:pStyle w:val="Normal"/>
        <w:jc w:val="both"/>
        <w:rPr>
          <w:sz w:val="22"/>
          <w:szCs w:val="22"/>
        </w:rPr>
      </w:pPr>
      <w:r>
        <w:rPr/>
        <mc:AlternateContent>
          <mc:Choice Requires="wps">
            <w:drawing>
              <wp:inline distT="0" distB="0" distL="0" distR="0">
                <wp:extent cx="6121400" cy="9525"/>
                <wp:effectExtent l="0" t="0" r="0" b="0"/>
                <wp:docPr id="4" name="Shape4"/>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4" path="m0,0l-2147483645,0l-2147483645,-2147483646l0,-2147483646xe"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jc w:val="both"/>
        <w:rPr>
          <w:b/>
          <w:bCs/>
          <w:sz w:val="22"/>
          <w:szCs w:val="22"/>
        </w:rPr>
      </w:pPr>
      <w:r>
        <w:rPr>
          <w:b/>
          <w:bCs/>
          <w:sz w:val="22"/>
          <w:szCs w:val="22"/>
        </w:rPr>
        <w:t>3. Analyse de l’offre</w:t>
      </w:r>
    </w:p>
    <w:p>
      <w:pPr>
        <w:pStyle w:val="Normal"/>
        <w:jc w:val="both"/>
        <w:rPr>
          <w:sz w:val="22"/>
          <w:szCs w:val="22"/>
        </w:rPr>
      </w:pPr>
      <w:r>
        <w:rPr>
          <w:sz w:val="22"/>
          <w:szCs w:val="22"/>
        </w:rPr>
        <w:t>L’offre en pastèque au Mali est caractérisée par une forte saisonnalité. Les volumes connaissent des pics d’abondance sur les marchés, mais le secteur souffre d’un manque de chaîne de froid. Cela entraîne des pertes après récolte et des fluctuations des prix. Les offres concurrentielles proposent des variétés standard à des prix variant selon les calibres, sans contrôle rigoureux de la qualité.</w:t>
      </w:r>
    </w:p>
    <w:p>
      <w:pPr>
        <w:pStyle w:val="Normal"/>
        <w:jc w:val="both"/>
        <w:rPr>
          <w:sz w:val="22"/>
          <w:szCs w:val="22"/>
        </w:rPr>
      </w:pPr>
      <w:r>
        <w:rPr>
          <w:b/>
          <w:bCs/>
          <w:sz w:val="22"/>
          <w:szCs w:val="22"/>
        </w:rPr>
        <w:t>a. L’approvisionnement en matières premières :</w:t>
      </w:r>
    </w:p>
    <w:p>
      <w:pPr>
        <w:pStyle w:val="Normal"/>
        <w:jc w:val="both"/>
        <w:rPr>
          <w:sz w:val="22"/>
          <w:szCs w:val="22"/>
        </w:rPr>
      </w:pPr>
      <w:r>
        <w:rPr>
          <w:sz w:val="22"/>
          <w:szCs w:val="22"/>
        </w:rPr>
        <w:t xml:space="preserve">Les besoins en matières premières nécessaires à la production sont : les </w:t>
      </w:r>
      <w:r>
        <w:rPr>
          <w:b/>
          <w:bCs/>
          <w:sz w:val="22"/>
          <w:szCs w:val="22"/>
        </w:rPr>
        <w:t>semences de pastèque</w:t>
      </w:r>
      <w:r>
        <w:rPr>
          <w:sz w:val="22"/>
          <w:szCs w:val="22"/>
        </w:rPr>
        <w:t xml:space="preserve"> de variétés adaptées aux conditions locales, la </w:t>
      </w:r>
      <w:r>
        <w:rPr>
          <w:b/>
          <w:bCs/>
          <w:sz w:val="22"/>
          <w:szCs w:val="22"/>
        </w:rPr>
        <w:t>fumure organique</w:t>
      </w:r>
      <w:r>
        <w:rPr>
          <w:sz w:val="22"/>
          <w:szCs w:val="22"/>
        </w:rPr>
        <w:t xml:space="preserve">, le </w:t>
      </w:r>
      <w:r>
        <w:rPr>
          <w:b/>
          <w:bCs/>
          <w:sz w:val="22"/>
          <w:szCs w:val="22"/>
        </w:rPr>
        <w:t>compost</w:t>
      </w:r>
      <w:r>
        <w:rPr>
          <w:sz w:val="22"/>
          <w:szCs w:val="22"/>
        </w:rPr>
        <w:t xml:space="preserve"> et les </w:t>
      </w:r>
      <w:r>
        <w:rPr>
          <w:b/>
          <w:bCs/>
          <w:sz w:val="22"/>
          <w:szCs w:val="22"/>
        </w:rPr>
        <w:t>engrais minéraux</w:t>
      </w:r>
      <w:r>
        <w:rPr>
          <w:sz w:val="22"/>
          <w:szCs w:val="22"/>
        </w:rPr>
        <w:t>.</w:t>
      </w:r>
    </w:p>
    <w:p>
      <w:pPr>
        <w:pStyle w:val="Normal"/>
        <w:jc w:val="both"/>
        <w:rPr>
          <w:sz w:val="22"/>
          <w:szCs w:val="22"/>
        </w:rPr>
      </w:pPr>
      <w:r>
        <w:rPr>
          <w:sz w:val="22"/>
          <w:szCs w:val="22"/>
        </w:rPr>
        <w:t xml:space="preserve">L’approvisionnement en matières premières se fera essentiellement auprès des fournisseurs spécialisés de </w:t>
      </w:r>
      <w:r>
        <w:rPr>
          <w:b/>
          <w:bCs/>
          <w:sz w:val="22"/>
          <w:szCs w:val="22"/>
        </w:rPr>
        <w:t>Mopti</w:t>
      </w:r>
      <w:r>
        <w:rPr>
          <w:sz w:val="22"/>
          <w:szCs w:val="22"/>
        </w:rPr>
        <w:t xml:space="preserve"> et </w:t>
      </w:r>
      <w:r>
        <w:rPr>
          <w:b/>
          <w:bCs/>
          <w:sz w:val="22"/>
          <w:szCs w:val="22"/>
        </w:rPr>
        <w:t>Sévaré</w:t>
      </w:r>
      <w:r>
        <w:rPr>
          <w:sz w:val="22"/>
          <w:szCs w:val="22"/>
        </w:rPr>
        <w:t xml:space="preserve"> pour les semences et les engrais, ainsi qu’auprès des éleveurs locaux pour la fumure organique.</w:t>
      </w:r>
    </w:p>
    <w:p>
      <w:pPr>
        <w:pStyle w:val="Normal"/>
        <w:jc w:val="both"/>
        <w:rPr>
          <w:sz w:val="22"/>
          <w:szCs w:val="22"/>
        </w:rPr>
      </w:pPr>
      <w:r>
        <w:rPr>
          <w:sz w:val="22"/>
          <w:szCs w:val="22"/>
        </w:rPr>
        <w:t>La fumure organique est fournie par les éleveurs qui disposent de la bouse de vache et de la fiente de volaille.</w:t>
      </w:r>
    </w:p>
    <w:p>
      <w:pPr>
        <w:pStyle w:val="Normal"/>
        <w:jc w:val="both"/>
        <w:rPr>
          <w:sz w:val="22"/>
          <w:szCs w:val="22"/>
        </w:rPr>
      </w:pPr>
      <w:r>
        <w:rPr>
          <w:b/>
          <w:bCs/>
          <w:sz w:val="22"/>
          <w:szCs w:val="22"/>
        </w:rPr>
        <w:t>b. La politique de distribution :</w:t>
      </w:r>
    </w:p>
    <w:p>
      <w:pPr>
        <w:pStyle w:val="Normal"/>
        <w:jc w:val="both"/>
        <w:rPr>
          <w:sz w:val="22"/>
          <w:szCs w:val="22"/>
        </w:rPr>
      </w:pPr>
      <w:r>
        <w:rPr>
          <w:sz w:val="22"/>
          <w:szCs w:val="22"/>
        </w:rPr>
        <w:t xml:space="preserve">La politique de distribution de </w:t>
      </w:r>
      <w:r>
        <w:rPr>
          <w:b/>
          <w:bCs/>
          <w:sz w:val="22"/>
          <w:szCs w:val="22"/>
        </w:rPr>
        <w:t>ZÉRÉ DÉLICE DE MOPTI</w:t>
      </w:r>
      <w:r>
        <w:rPr>
          <w:sz w:val="22"/>
          <w:szCs w:val="22"/>
        </w:rPr>
        <w:t xml:space="preserve"> est structurée autour de deux axes principaux :</w:t>
      </w:r>
    </w:p>
    <w:p>
      <w:pPr>
        <w:pStyle w:val="Normal"/>
        <w:numPr>
          <w:ilvl w:val="0"/>
          <w:numId w:val="15"/>
        </w:numPr>
        <w:jc w:val="both"/>
        <w:rPr>
          <w:sz w:val="22"/>
          <w:szCs w:val="22"/>
        </w:rPr>
      </w:pPr>
      <w:r>
        <w:rPr>
          <w:sz w:val="22"/>
          <w:szCs w:val="22"/>
        </w:rPr>
        <w:t>La vente directe dans la ferme aux commerçants grossistes ;</w:t>
      </w:r>
    </w:p>
    <w:p>
      <w:pPr>
        <w:pStyle w:val="Normal"/>
        <w:numPr>
          <w:ilvl w:val="0"/>
          <w:numId w:val="15"/>
        </w:numPr>
        <w:jc w:val="both"/>
        <w:rPr>
          <w:sz w:val="22"/>
          <w:szCs w:val="22"/>
        </w:rPr>
      </w:pPr>
      <w:r>
        <w:rPr>
          <w:sz w:val="22"/>
          <w:szCs w:val="22"/>
        </w:rPr>
        <w:t>La livraison à partir de la ferme aux clients qui ont des grosses commandes.</w:t>
      </w:r>
    </w:p>
    <w:p>
      <w:pPr>
        <w:pStyle w:val="Normal"/>
        <w:jc w:val="both"/>
        <w:rPr>
          <w:sz w:val="22"/>
          <w:szCs w:val="22"/>
        </w:rPr>
      </w:pPr>
      <w:r>
        <w:rPr>
          <w:sz w:val="22"/>
          <w:szCs w:val="22"/>
        </w:rPr>
        <w:t>Cela permettra de satisfaire chaque type de client en fonction de leurs besoins. Les commerçants grossistes se rendent généralement dans la ferme pour s’approvisionner afin de choisir les produits. Les clients qui font des grosses commandes ont souvent besoin d’être livrés sur leur point de vente ou à domicile.</w:t>
      </w:r>
    </w:p>
    <w:p>
      <w:pPr>
        <w:pStyle w:val="Normal"/>
        <w:jc w:val="both"/>
        <w:rPr>
          <w:sz w:val="22"/>
          <w:szCs w:val="22"/>
        </w:rPr>
      </w:pPr>
      <w:r>
        <w:rPr>
          <w:b/>
          <w:bCs/>
          <w:sz w:val="22"/>
          <w:szCs w:val="22"/>
        </w:rPr>
        <w:t>c. La politique tarifaire</w:t>
      </w:r>
    </w:p>
    <w:p>
      <w:pPr>
        <w:pStyle w:val="Normal"/>
        <w:jc w:val="both"/>
        <w:rPr>
          <w:sz w:val="22"/>
          <w:szCs w:val="22"/>
        </w:rPr>
      </w:pPr>
      <w:r>
        <w:rPr>
          <w:sz w:val="22"/>
          <w:szCs w:val="22"/>
        </w:rPr>
        <w:t>L’entreprise a développé une politique tarifaire en tenant compte des tarifs des concurrents. En ce qui concerne les grandes commandes, des facilités de livraison seront accordées pour attirer cette catégorie de clients.</w:t>
      </w:r>
    </w:p>
    <w:p>
      <w:pPr>
        <w:pStyle w:val="Normal"/>
        <w:jc w:val="both"/>
        <w:rPr>
          <w:sz w:val="22"/>
          <w:szCs w:val="22"/>
        </w:rPr>
      </w:pPr>
      <w:r>
        <w:rPr>
          <w:sz w:val="22"/>
          <w:szCs w:val="22"/>
        </w:rPr>
        <w:t xml:space="preserve">Les prix proposés par </w:t>
      </w:r>
      <w:r>
        <w:rPr>
          <w:b/>
          <w:bCs/>
          <w:sz w:val="22"/>
          <w:szCs w:val="22"/>
        </w:rPr>
        <w:t>ZÉRÉ DÉLICE DE MOPTI</w:t>
      </w:r>
      <w:r>
        <w:rPr>
          <w:sz w:val="22"/>
          <w:szCs w:val="22"/>
        </w:rPr>
        <w:t xml:space="preserve"> :</w:t>
      </w:r>
    </w:p>
    <w:tbl>
      <w:tblPr>
        <w:tblW w:w="10078" w:type="dxa"/>
        <w:jc w:val="left"/>
        <w:tblInd w:w="-5" w:type="dxa"/>
        <w:tblLayout w:type="fixed"/>
        <w:tblCellMar>
          <w:top w:w="150" w:type="dxa"/>
          <w:left w:w="5" w:type="dxa"/>
          <w:bottom w:w="150" w:type="dxa"/>
          <w:right w:w="235" w:type="dxa"/>
        </w:tblCellMar>
      </w:tblPr>
      <w:tblGrid>
        <w:gridCol w:w="5183"/>
        <w:gridCol w:w="2155"/>
        <w:gridCol w:w="2740"/>
      </w:tblGrid>
      <w:tr>
        <w:trPr>
          <w:tblHeader w:val="true"/>
          <w:trHeight w:val="233" w:hRule="atLeast"/>
        </w:trPr>
        <w:tc>
          <w:tcPr>
            <w:tcW w:w="5183"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sz w:val="22"/>
                <w:szCs w:val="22"/>
              </w:rPr>
              <w:t>Désignation</w:t>
            </w:r>
          </w:p>
        </w:tc>
        <w:tc>
          <w:tcPr>
            <w:tcW w:w="21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Unité</w:t>
            </w:r>
          </w:p>
        </w:tc>
        <w:tc>
          <w:tcPr>
            <w:tcW w:w="27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Prix</w:t>
            </w:r>
          </w:p>
        </w:tc>
      </w:tr>
      <w:tr>
        <w:trPr>
          <w:trHeight w:val="233" w:hRule="atLeast"/>
        </w:trPr>
        <w:tc>
          <w:tcPr>
            <w:tcW w:w="5183"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sz w:val="22"/>
                <w:szCs w:val="22"/>
              </w:rPr>
              <w:t>Pastèque gros calibre</w:t>
            </w:r>
          </w:p>
        </w:tc>
        <w:tc>
          <w:tcPr>
            <w:tcW w:w="21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Unité</w:t>
            </w:r>
          </w:p>
        </w:tc>
        <w:tc>
          <w:tcPr>
            <w:tcW w:w="2740"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sz w:val="22"/>
                <w:szCs w:val="22"/>
              </w:rPr>
              <w:t>750 F CFA</w:t>
            </w:r>
          </w:p>
        </w:tc>
      </w:tr>
      <w:tr>
        <w:trPr>
          <w:trHeight w:val="233" w:hRule="atLeast"/>
        </w:trPr>
        <w:tc>
          <w:tcPr>
            <w:tcW w:w="5183"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sz w:val="22"/>
                <w:szCs w:val="22"/>
              </w:rPr>
              <w:t>Pastèque moyen calibre</w:t>
            </w:r>
          </w:p>
        </w:tc>
        <w:tc>
          <w:tcPr>
            <w:tcW w:w="21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Unité</w:t>
            </w:r>
          </w:p>
        </w:tc>
        <w:tc>
          <w:tcPr>
            <w:tcW w:w="2740"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sz w:val="22"/>
                <w:szCs w:val="22"/>
              </w:rPr>
              <w:t>500 F CFA</w:t>
            </w:r>
          </w:p>
        </w:tc>
      </w:tr>
      <w:tr>
        <w:trPr>
          <w:trHeight w:val="233" w:hRule="atLeast"/>
        </w:trPr>
        <w:tc>
          <w:tcPr>
            <w:tcW w:w="5183"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sz w:val="22"/>
                <w:szCs w:val="22"/>
              </w:rPr>
              <w:t>Pastèque petit calibre</w:t>
            </w:r>
          </w:p>
        </w:tc>
        <w:tc>
          <w:tcPr>
            <w:tcW w:w="21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Unité</w:t>
            </w:r>
          </w:p>
        </w:tc>
        <w:tc>
          <w:tcPr>
            <w:tcW w:w="2740"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sz w:val="22"/>
                <w:szCs w:val="22"/>
              </w:rPr>
              <w:t>250 F CFA</w:t>
            </w:r>
          </w:p>
        </w:tc>
      </w:tr>
    </w:tbl>
    <w:p>
      <w:pPr>
        <w:pStyle w:val="Normal"/>
        <w:jc w:val="both"/>
        <w:rPr>
          <w:sz w:val="22"/>
          <w:szCs w:val="22"/>
        </w:rPr>
      </w:pPr>
      <w:r>
        <w:rPr>
          <w:sz w:val="22"/>
          <w:szCs w:val="22"/>
        </w:rPr>
        <w:t>Les prix proposés par les concurrents de l’entreprise :</w:t>
      </w:r>
    </w:p>
    <w:tbl>
      <w:tblPr>
        <w:tblW w:w="9562" w:type="dxa"/>
        <w:jc w:val="left"/>
        <w:tblInd w:w="-5" w:type="dxa"/>
        <w:tblLayout w:type="fixed"/>
        <w:tblCellMar>
          <w:top w:w="150" w:type="dxa"/>
          <w:left w:w="5" w:type="dxa"/>
          <w:bottom w:w="150" w:type="dxa"/>
          <w:right w:w="235" w:type="dxa"/>
        </w:tblCellMar>
      </w:tblPr>
      <w:tblGrid>
        <w:gridCol w:w="3822"/>
        <w:gridCol w:w="2032"/>
        <w:gridCol w:w="3708"/>
      </w:tblGrid>
      <w:tr>
        <w:trPr>
          <w:tblHeader w:val="true"/>
          <w:trHeight w:val="214" w:hRule="atLeast"/>
        </w:trPr>
        <w:tc>
          <w:tcPr>
            <w:tcW w:w="3822"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sz w:val="22"/>
                <w:szCs w:val="22"/>
              </w:rPr>
              <w:t>Désignation</w:t>
            </w:r>
          </w:p>
        </w:tc>
        <w:tc>
          <w:tcPr>
            <w:tcW w:w="203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Unité</w:t>
            </w:r>
          </w:p>
        </w:tc>
        <w:tc>
          <w:tcPr>
            <w:tcW w:w="370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Prix</w:t>
            </w:r>
          </w:p>
        </w:tc>
      </w:tr>
      <w:tr>
        <w:trPr>
          <w:trHeight w:val="224" w:hRule="atLeast"/>
        </w:trPr>
        <w:tc>
          <w:tcPr>
            <w:tcW w:w="3822"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sz w:val="22"/>
                <w:szCs w:val="22"/>
              </w:rPr>
              <w:t>Pastèque standard</w:t>
            </w:r>
          </w:p>
        </w:tc>
        <w:tc>
          <w:tcPr>
            <w:tcW w:w="203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Kg</w:t>
            </w:r>
          </w:p>
        </w:tc>
        <w:tc>
          <w:tcPr>
            <w:tcW w:w="370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sz w:val="22"/>
                <w:szCs w:val="22"/>
              </w:rPr>
              <w:t>150 à 200 F CFA</w:t>
            </w:r>
          </w:p>
        </w:tc>
      </w:tr>
    </w:tbl>
    <w:p>
      <w:pPr>
        <w:pStyle w:val="Normal"/>
        <w:jc w:val="both"/>
        <w:rPr>
          <w:sz w:val="22"/>
          <w:szCs w:val="22"/>
        </w:rPr>
      </w:pPr>
      <w:r>
        <w:rPr>
          <w:sz w:val="22"/>
          <w:szCs w:val="22"/>
        </w:rPr>
        <w:t>Les concurrents de l’entreprise dans la zone :</w:t>
      </w:r>
    </w:p>
    <w:tbl>
      <w:tblPr>
        <w:tblW w:w="10030" w:type="dxa"/>
        <w:jc w:val="left"/>
        <w:tblInd w:w="-5" w:type="dxa"/>
        <w:tblLayout w:type="fixed"/>
        <w:tblCellMar>
          <w:top w:w="150" w:type="dxa"/>
          <w:left w:w="5" w:type="dxa"/>
          <w:bottom w:w="150" w:type="dxa"/>
          <w:right w:w="235" w:type="dxa"/>
        </w:tblCellMar>
      </w:tblPr>
      <w:tblGrid>
        <w:gridCol w:w="718"/>
        <w:gridCol w:w="4886"/>
        <w:gridCol w:w="4426"/>
      </w:tblGrid>
      <w:tr>
        <w:trPr>
          <w:tblHeader w:val="true"/>
          <w:trHeight w:val="262" w:hRule="atLeast"/>
        </w:trPr>
        <w:tc>
          <w:tcPr>
            <w:tcW w:w="718"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sz w:val="22"/>
                <w:szCs w:val="22"/>
              </w:rPr>
              <w:t>N°</w:t>
            </w:r>
          </w:p>
        </w:tc>
        <w:tc>
          <w:tcPr>
            <w:tcW w:w="488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Noms des concurrents</w:t>
            </w:r>
          </w:p>
        </w:tc>
        <w:tc>
          <w:tcPr>
            <w:tcW w:w="442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Localisation</w:t>
            </w:r>
          </w:p>
        </w:tc>
      </w:tr>
      <w:tr>
        <w:trPr>
          <w:trHeight w:val="275" w:hRule="atLeast"/>
        </w:trPr>
        <w:tc>
          <w:tcPr>
            <w:tcW w:w="718"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sz w:val="22"/>
                <w:szCs w:val="22"/>
              </w:rPr>
              <w:t>1</w:t>
            </w:r>
          </w:p>
        </w:tc>
        <w:tc>
          <w:tcPr>
            <w:tcW w:w="488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Quelques périmètres maraîchers</w:t>
            </w:r>
          </w:p>
        </w:tc>
        <w:tc>
          <w:tcPr>
            <w:tcW w:w="442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sz w:val="22"/>
                <w:szCs w:val="22"/>
              </w:rPr>
              <w:t>Sévaré / Diondionri et environs</w:t>
            </w:r>
          </w:p>
        </w:tc>
      </w:tr>
    </w:tbl>
    <w:p>
      <w:pPr>
        <w:pStyle w:val="Normal"/>
        <w:jc w:val="both"/>
        <w:rPr>
          <w:sz w:val="22"/>
          <w:szCs w:val="22"/>
        </w:rPr>
      </w:pPr>
      <w:r>
        <w:rPr/>
        <mc:AlternateContent>
          <mc:Choice Requires="wps">
            <w:drawing>
              <wp:inline distT="0" distB="0" distL="0" distR="0">
                <wp:extent cx="6121400" cy="9525"/>
                <wp:effectExtent l="0" t="0" r="0" b="0"/>
                <wp:docPr id="5" name="Shape5"/>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5" path="m0,0l-2147483645,0l-2147483645,-2147483646l0,-2147483646xe"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jc w:val="both"/>
        <w:rPr>
          <w:b/>
          <w:bCs/>
          <w:sz w:val="22"/>
          <w:szCs w:val="22"/>
        </w:rPr>
      </w:pPr>
      <w:r>
        <w:rPr>
          <w:b/>
          <w:bCs/>
          <w:sz w:val="22"/>
          <w:szCs w:val="22"/>
        </w:rPr>
        <w:t>4. L’analyse de la concurrence</w:t>
      </w:r>
    </w:p>
    <w:p>
      <w:pPr>
        <w:pStyle w:val="Normal"/>
        <w:jc w:val="both"/>
        <w:rPr>
          <w:sz w:val="22"/>
          <w:szCs w:val="22"/>
        </w:rPr>
      </w:pPr>
      <w:r>
        <w:rPr>
          <w:sz w:val="22"/>
          <w:szCs w:val="22"/>
        </w:rPr>
        <w:t>L’entreprise est face à des concurrents très expérimentés mais non formels dans la zone du projet, c’est-à-dire d’autres maraîchers. Mais c’est le respect des itinéraires techniques de production et l’application des conseils reçus au cours de la formation qui permettra à ZÉRÉ DÉLICE DE MOPTI de fournir sur le marché des produits de très bonne qualité qui seront appréciés par les clients.</w:t>
      </w:r>
    </w:p>
    <w:p>
      <w:pPr>
        <w:pStyle w:val="Normal"/>
        <w:jc w:val="both"/>
        <w:rPr>
          <w:sz w:val="22"/>
          <w:szCs w:val="22"/>
        </w:rPr>
      </w:pPr>
      <w:r>
        <w:rPr>
          <w:sz w:val="22"/>
          <w:szCs w:val="22"/>
        </w:rPr>
        <w:t>Les concurrents qui fournissent des produits de même qualité que ceux de l’entreprise pratiquent généralement des prix plus élevés que les siens.</w:t>
      </w:r>
    </w:p>
    <w:p>
      <w:pPr>
        <w:pStyle w:val="Normal"/>
        <w:jc w:val="both"/>
        <w:rPr>
          <w:sz w:val="22"/>
          <w:szCs w:val="22"/>
        </w:rPr>
      </w:pPr>
      <w:r>
        <w:rPr>
          <w:sz w:val="22"/>
          <w:szCs w:val="22"/>
        </w:rPr>
        <w:t>Cependant l’entreprise développera des stratégies pour mieux se positionner sur le marché en :</w:t>
      </w:r>
    </w:p>
    <w:p>
      <w:pPr>
        <w:pStyle w:val="Normal"/>
        <w:numPr>
          <w:ilvl w:val="0"/>
          <w:numId w:val="6"/>
        </w:numPr>
        <w:jc w:val="both"/>
        <w:rPr>
          <w:sz w:val="22"/>
          <w:szCs w:val="22"/>
        </w:rPr>
      </w:pPr>
      <w:r>
        <w:rPr>
          <w:sz w:val="22"/>
          <w:szCs w:val="22"/>
        </w:rPr>
        <w:t>Fidélisant ses clients afin d’étendre sa part de marché ;</w:t>
      </w:r>
    </w:p>
    <w:p>
      <w:pPr>
        <w:pStyle w:val="Normal"/>
        <w:numPr>
          <w:ilvl w:val="0"/>
          <w:numId w:val="6"/>
        </w:numPr>
        <w:jc w:val="both"/>
        <w:rPr>
          <w:sz w:val="22"/>
          <w:szCs w:val="22"/>
        </w:rPr>
      </w:pPr>
      <w:r>
        <w:rPr>
          <w:sz w:val="22"/>
          <w:szCs w:val="22"/>
        </w:rPr>
        <w:t>Renforçant sa capacité de production et de distribution avec de nouveaux équipements pour mieux satisfaire la demande croissante des clients.</w:t>
      </w:r>
    </w:p>
    <w:p>
      <w:pPr>
        <w:pStyle w:val="Normal"/>
        <w:jc w:val="both"/>
        <w:rPr>
          <w:sz w:val="22"/>
          <w:szCs w:val="22"/>
        </w:rPr>
      </w:pPr>
      <w:r>
        <w:rPr>
          <w:sz w:val="22"/>
          <w:szCs w:val="22"/>
        </w:rPr>
        <w:t>L’entreprise prévoit également de participer aux foires agricoles et de développer des actions de promotion pour toucher le maximum de prospects.</w:t>
      </w:r>
    </w:p>
    <w:p>
      <w:pPr>
        <w:pStyle w:val="Normal"/>
        <w:jc w:val="both"/>
        <w:rPr>
          <w:sz w:val="22"/>
          <w:szCs w:val="22"/>
        </w:rPr>
      </w:pPr>
      <w:r>
        <w:rPr>
          <w:sz w:val="22"/>
          <w:szCs w:val="22"/>
        </w:rPr>
      </w:r>
    </w:p>
    <w:p>
      <w:pPr>
        <w:pStyle w:val="Normal"/>
        <w:jc w:val="both"/>
        <w:rPr>
          <w:b/>
          <w:bCs/>
          <w:sz w:val="22"/>
          <w:szCs w:val="22"/>
        </w:rPr>
      </w:pPr>
      <w:r>
        <w:rPr>
          <w:b/>
          <w:bCs/>
          <w:sz w:val="22"/>
          <w:szCs w:val="22"/>
        </w:rPr>
        <w:t>5. La demande (clientèle cible)</w:t>
      </w:r>
    </w:p>
    <w:p>
      <w:pPr>
        <w:pStyle w:val="Normal"/>
        <w:jc w:val="both"/>
        <w:rPr>
          <w:sz w:val="22"/>
          <w:szCs w:val="22"/>
        </w:rPr>
      </w:pPr>
      <w:r>
        <w:rPr>
          <w:sz w:val="22"/>
          <w:szCs w:val="22"/>
        </w:rPr>
        <w:t>La clientèle cible est constituée par les commerçants grossistes, les détaillants, les revendeurs de fruits, les restaurateurs, les hôtels et les particuliers consommateurs de la ville de Mopt</w:t>
      </w:r>
      <w:r>
        <w:rPr>
          <w:b/>
          <w:bCs/>
          <w:sz w:val="22"/>
          <w:szCs w:val="22"/>
        </w:rPr>
        <w:t>i</w:t>
      </w:r>
      <w:r>
        <w:rPr>
          <w:sz w:val="22"/>
          <w:szCs w:val="22"/>
        </w:rPr>
        <w:t>, de Sévar</w:t>
      </w:r>
      <w:r>
        <w:rPr>
          <w:b/>
          <w:bCs/>
          <w:sz w:val="22"/>
          <w:szCs w:val="22"/>
        </w:rPr>
        <w:t>é</w:t>
      </w:r>
      <w:r>
        <w:rPr>
          <w:sz w:val="22"/>
          <w:szCs w:val="22"/>
        </w:rPr>
        <w:t xml:space="preserve"> et environs. En général, les clients sont exigeants sur certains éléments clés : la taille du produit, la durée de conservation à l’état frais et la nature des fertilisants et pesticides utilisés par le producteur.</w:t>
      </w:r>
    </w:p>
    <w:p>
      <w:pPr>
        <w:pStyle w:val="Normal"/>
        <w:jc w:val="both"/>
        <w:rPr>
          <w:sz w:val="22"/>
          <w:szCs w:val="22"/>
        </w:rPr>
      </w:pPr>
      <w:r>
        <w:rPr>
          <w:sz w:val="22"/>
          <w:szCs w:val="22"/>
        </w:rPr>
        <w:t>En tenant compte de ces critères de qualité, l’entreprise se distingue par le fait qu’elle utilise peu de fertilisants et de pesticides chimiques. Le respect des itinéraires techniques de production et une bonne taille aux produits attirent les clients.</w:t>
      </w:r>
    </w:p>
    <w:p>
      <w:pPr>
        <w:pStyle w:val="Normal"/>
        <w:jc w:val="both"/>
        <w:rPr>
          <w:sz w:val="22"/>
          <w:szCs w:val="22"/>
        </w:rPr>
      </w:pPr>
      <w:r>
        <w:rPr>
          <w:sz w:val="22"/>
          <w:szCs w:val="22"/>
        </w:rPr>
        <w:t>Cela permet également d’avoir une longue durée de conservation des produits maraîchers à l’état frais.</w:t>
      </w:r>
    </w:p>
    <w:p>
      <w:pPr>
        <w:pStyle w:val="Normal"/>
        <w:jc w:val="both"/>
        <w:rPr>
          <w:sz w:val="22"/>
          <w:szCs w:val="22"/>
        </w:rPr>
      </w:pPr>
      <w:r>
        <w:rPr>
          <w:sz w:val="22"/>
          <w:szCs w:val="22"/>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p>
    <w:p>
      <w:pPr>
        <w:pStyle w:val="Normal"/>
        <w:jc w:val="both"/>
        <w:rPr>
          <w:sz w:val="22"/>
          <w:szCs w:val="22"/>
        </w:rPr>
      </w:pPr>
      <w:r>
        <w:rPr/>
        <mc:AlternateContent>
          <mc:Choice Requires="wps">
            <w:drawing>
              <wp:inline distT="0" distB="0" distL="0" distR="0">
                <wp:extent cx="6121400" cy="9525"/>
                <wp:effectExtent l="0" t="0" r="0" b="0"/>
                <wp:docPr id="6" name="Shape6"/>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6" path="m0,0l-2147483645,0l-2147483645,-2147483646l0,-2147483646xe"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jc w:val="both"/>
        <w:rPr>
          <w:b/>
          <w:bCs/>
          <w:sz w:val="22"/>
          <w:szCs w:val="22"/>
        </w:rPr>
      </w:pPr>
      <w:r>
        <w:rPr>
          <w:b/>
          <w:bCs/>
          <w:sz w:val="22"/>
          <w:szCs w:val="22"/>
        </w:rPr>
        <w:t>6. Stratégies marketing</w:t>
      </w:r>
    </w:p>
    <w:p>
      <w:pPr>
        <w:pStyle w:val="Normal"/>
        <w:jc w:val="both"/>
        <w:rPr>
          <w:sz w:val="22"/>
          <w:szCs w:val="22"/>
        </w:rPr>
      </w:pPr>
      <w:r>
        <w:rPr>
          <w:b/>
          <w:bCs/>
          <w:sz w:val="22"/>
          <w:szCs w:val="22"/>
        </w:rPr>
        <w:t>6.1 Politique de Produit :</w:t>
      </w:r>
    </w:p>
    <w:p>
      <w:pPr>
        <w:pStyle w:val="Normal"/>
        <w:jc w:val="both"/>
        <w:rPr>
          <w:sz w:val="22"/>
          <w:szCs w:val="22"/>
        </w:rPr>
      </w:pPr>
      <w:r>
        <w:rPr>
          <w:sz w:val="22"/>
          <w:szCs w:val="22"/>
        </w:rPr>
        <w:t xml:space="preserve">La politique de produit est axée sur la production de pastèques de haute qualité, disponibles en contre-saison et répondant aux attentes des consommateurs exigeants. La marque </w:t>
      </w:r>
      <w:r>
        <w:rPr>
          <w:b/>
          <w:bCs/>
          <w:sz w:val="22"/>
          <w:szCs w:val="22"/>
        </w:rPr>
        <w:t>ZÉRÉ DÉLICE DE MOPTI</w:t>
      </w:r>
      <w:r>
        <w:rPr>
          <w:sz w:val="22"/>
          <w:szCs w:val="22"/>
        </w:rPr>
        <w:t xml:space="preserve"> véhicule une image de fraîcheur, de qualit</w:t>
      </w:r>
      <w:r>
        <w:rPr>
          <w:b/>
          <w:bCs/>
          <w:sz w:val="22"/>
          <w:szCs w:val="22"/>
        </w:rPr>
        <w:t>é</w:t>
      </w:r>
      <w:r>
        <w:rPr>
          <w:sz w:val="22"/>
          <w:szCs w:val="22"/>
        </w:rPr>
        <w:t xml:space="preserve"> et de plaisir. Les pastèques sont proposées en trois calibres : gros calibre (6 à 8 kg), moyen calibre (4 à 5 kg) et petit calibre (2 à 3 kg), avec une chair rouge, juteuse et sucrée. Cette politique vise à fidéliser la clientèle et à assurer l’écoulement régulier de la production.</w:t>
      </w:r>
    </w:p>
    <w:p>
      <w:pPr>
        <w:pStyle w:val="Normal"/>
        <w:jc w:val="both"/>
        <w:rPr>
          <w:sz w:val="22"/>
          <w:szCs w:val="22"/>
        </w:rPr>
      </w:pPr>
      <w:r>
        <w:rPr>
          <w:b/>
          <w:bCs/>
          <w:sz w:val="22"/>
          <w:szCs w:val="22"/>
        </w:rPr>
        <w:t>6.2 Politique de prix :</w:t>
      </w:r>
    </w:p>
    <w:p>
      <w:pPr>
        <w:pStyle w:val="Normal"/>
        <w:jc w:val="both"/>
        <w:rPr>
          <w:sz w:val="22"/>
          <w:szCs w:val="22"/>
        </w:rPr>
      </w:pPr>
      <w:r>
        <w:rPr>
          <w:sz w:val="22"/>
          <w:szCs w:val="22"/>
        </w:rPr>
        <w:t>La politique de prix a consisté à fixer un prix incitatif pour les clients afin de les fidéliser, augmenter le chiffre d’affaires de l’entreprise et mieux se positionner face à la concurrence. Le prix de vente est fixé à 750 F CFA pour le gros calibre, 500 F CFA pour le moyen calibre et 250 F CFA pour le petit calibre. Des conditions favorables de livraison sont proposées pour les clients qui passent des commandes importantes.</w:t>
      </w:r>
    </w:p>
    <w:p>
      <w:pPr>
        <w:pStyle w:val="Normal"/>
        <w:jc w:val="both"/>
        <w:rPr>
          <w:sz w:val="22"/>
          <w:szCs w:val="22"/>
        </w:rPr>
      </w:pPr>
      <w:r>
        <w:rPr>
          <w:b/>
          <w:bCs/>
          <w:sz w:val="22"/>
          <w:szCs w:val="22"/>
        </w:rPr>
        <w:t>6.3 Politique de place</w:t>
      </w:r>
    </w:p>
    <w:p>
      <w:pPr>
        <w:pStyle w:val="Normal"/>
        <w:jc w:val="both"/>
        <w:rPr>
          <w:sz w:val="22"/>
          <w:szCs w:val="22"/>
        </w:rPr>
      </w:pPr>
      <w:r>
        <w:rPr>
          <w:sz w:val="22"/>
          <w:szCs w:val="22"/>
        </w:rPr>
        <w:t>La localisation du périmètre maraîcher à Sévaré, village de Diondionr</w:t>
      </w:r>
      <w:r>
        <w:rPr>
          <w:b/>
          <w:bCs/>
          <w:sz w:val="22"/>
          <w:szCs w:val="22"/>
        </w:rPr>
        <w:t>i</w:t>
      </w:r>
      <w:r>
        <w:rPr>
          <w:sz w:val="22"/>
          <w:szCs w:val="22"/>
        </w:rPr>
        <w:t>, est une zone de maraîchage par excellence et stratégique parce qu’elle permet d’attirer les clients vers les produits. Les grossistes maraîchers se rendent dans cette zone de production pour négocier avec les producteurs. Cela facilite l’établissement des liens de marché solides et durables dans la commercialisation de la production.</w:t>
      </w:r>
    </w:p>
    <w:p>
      <w:pPr>
        <w:pStyle w:val="Normal"/>
        <w:jc w:val="both"/>
        <w:rPr>
          <w:sz w:val="22"/>
          <w:szCs w:val="22"/>
        </w:rPr>
      </w:pPr>
      <w:r>
        <w:rPr>
          <w:b/>
          <w:bCs/>
          <w:sz w:val="22"/>
          <w:szCs w:val="22"/>
        </w:rPr>
        <w:t>6.4 Politique de promotion/communication :</w:t>
      </w:r>
    </w:p>
    <w:p>
      <w:pPr>
        <w:pStyle w:val="Normal"/>
        <w:rPr>
          <w:lang w:eastAsia="en-US"/>
        </w:rPr>
      </w:pPr>
      <w:r>
        <w:rPr>
          <w:lang w:eastAsia="en-US"/>
        </w:rPr>
        <w:t>La politique de promotion et de communication développée comprend :</w:t>
      </w:r>
    </w:p>
    <w:p>
      <w:pPr>
        <w:pStyle w:val="Normal"/>
        <w:rPr>
          <w:lang w:eastAsia="en-US"/>
        </w:rPr>
      </w:pPr>
      <w:r>
        <w:rPr>
          <w:b/>
          <w:bCs/>
          <w:lang w:eastAsia="en-US"/>
        </w:rPr>
        <w:t>L’identification des prospects :</w:t>
      </w:r>
      <w:r>
        <w:rPr>
          <w:lang w:eastAsia="en-US"/>
        </w:rPr>
        <w:br/>
        <w:t>Il s’agit d’identifier les clients potentiels afin d’avoir leurs contacts et des informations sur les quantités de produits dont ils ont besoin par mois.</w:t>
      </w:r>
    </w:p>
    <w:p>
      <w:pPr>
        <w:pStyle w:val="Normal"/>
        <w:rPr>
          <w:lang w:eastAsia="en-US"/>
        </w:rPr>
      </w:pPr>
      <w:r>
        <w:rPr>
          <w:b/>
          <w:bCs/>
          <w:lang w:eastAsia="en-US"/>
        </w:rPr>
        <w:t>Identification des canaux de communication :</w:t>
        <w:br/>
      </w:r>
      <w:r>
        <w:rPr>
          <w:lang w:eastAsia="en-US"/>
        </w:rPr>
        <w:t>Les différents canaux de communication identifiés sont le contact direct, le téléphone, les radios de proximité et les réseaux sociaux.</w:t>
      </w:r>
    </w:p>
    <w:p>
      <w:pPr>
        <w:pStyle w:val="Normal"/>
        <w:rPr>
          <w:lang w:eastAsia="en-US"/>
        </w:rPr>
      </w:pPr>
      <w:r>
        <w:rPr>
          <w:b/>
          <w:bCs/>
          <w:lang w:eastAsia="en-US"/>
        </w:rPr>
        <w:t>Elaboration des outils de communication :</w:t>
      </w:r>
      <w:r>
        <w:rPr>
          <w:lang w:eastAsia="en-US"/>
        </w:rPr>
        <w:br/>
        <w:t>Les outils de communication retenus par l’entreprise sont les appels téléphoniques, les spots radios, WhatsApp, Facebook et TikTok.</w:t>
      </w:r>
    </w:p>
    <w:p>
      <w:pPr>
        <w:pStyle w:val="Normal"/>
        <w:rPr>
          <w:lang w:eastAsia="en-US"/>
        </w:rPr>
      </w:pPr>
      <w:r>
        <w:rPr>
          <w:b/>
          <w:bCs/>
          <w:lang w:eastAsia="en-US"/>
        </w:rPr>
        <w:t>Elaboration d’un plan de communication :</w:t>
      </w:r>
      <w:r>
        <w:rPr>
          <w:lang w:eastAsia="en-US"/>
        </w:rPr>
        <w:br/>
        <w:t>Un plan de communication cohérent et adapté aux moyens de l’entreprise sera élaboré afin de mieux cibler les clients potentiels et mieux faire face à la concurrence.</w:t>
      </w:r>
    </w:p>
    <w:p>
      <w:pPr>
        <w:pStyle w:val="Normal"/>
        <w:rPr>
          <w:lang w:eastAsia="en-US"/>
        </w:rPr>
      </w:pPr>
      <w:r>
        <w:rPr>
          <w:b/>
          <w:bCs/>
          <w:lang w:eastAsia="en-US"/>
        </w:rPr>
        <w:t>Mise en œuvre du plan de communication.</w:t>
      </w:r>
      <w:r>
        <w:rPr>
          <w:lang w:eastAsia="en-US"/>
        </w:rPr>
        <w:br/>
        <w:t>Les différents canaux identifiés seront utilisés dans la mise en œuvre de ce plan de communication. L’accent sera mis sur les périodes de grande consommation, de foires agricoles et commerciales.</w:t>
      </w:r>
    </w:p>
    <w:p>
      <w:pPr>
        <w:pStyle w:val="Normal"/>
        <w:jc w:val="both"/>
        <w:rPr>
          <w:sz w:val="22"/>
          <w:szCs w:val="22"/>
          <w:lang w:val="fr-CI" w:eastAsia="en-US"/>
        </w:rPr>
      </w:pPr>
      <w:r>
        <w:rPr>
          <w:sz w:val="22"/>
          <w:szCs w:val="22"/>
          <w:lang w:val="fr-CI" w:eastAsia="en-US"/>
        </w:rPr>
      </w:r>
    </w:p>
    <w:p>
      <w:pPr>
        <w:pStyle w:val="Heading1"/>
        <w:keepLines/>
        <w:numPr>
          <w:ilvl w:val="0"/>
          <w:numId w:val="3"/>
        </w:numPr>
        <w:spacing w:before="0" w:after="120"/>
        <w:ind w:hanging="431" w:left="431" w:right="0"/>
        <w:jc w:val="both"/>
        <w:rPr>
          <w:rFonts w:ascii="Times New Roman" w:hAnsi="Times New Roman" w:cs="Times New Roman"/>
          <w:caps/>
          <w:color w:val="166B7F"/>
          <w:kern w:val="0"/>
          <w:lang w:eastAsia="en-US"/>
        </w:rPr>
      </w:pPr>
      <w:bookmarkStart w:id="8" w:name="__RefHeading___Toc234831707"/>
      <w:bookmarkEnd w:id="8"/>
      <w:r>
        <w:rPr>
          <w:rFonts w:cs="Times New Roman" w:ascii="Times New Roman" w:hAnsi="Times New Roman"/>
          <w:caps/>
          <w:color w:val="166B7F"/>
          <w:kern w:val="0"/>
          <w:lang w:eastAsia="en-US"/>
        </w:rPr>
        <w:t>ÉTUDE TECHNIQUE</w:t>
      </w:r>
    </w:p>
    <w:p>
      <w:pPr>
        <w:pStyle w:val="Heading2"/>
        <w:keepLines/>
        <w:numPr>
          <w:ilvl w:val="0"/>
          <w:numId w:val="12"/>
        </w:numPr>
        <w:spacing w:before="120" w:after="120"/>
        <w:ind w:hanging="360" w:left="720" w:right="0"/>
        <w:jc w:val="both"/>
        <w:rPr>
          <w:rFonts w:ascii="Times New Roman" w:hAnsi="Times New Roman" w:cs="Times New Roman"/>
          <w:i w:val="false"/>
          <w:i w:val="false"/>
          <w:iCs w:val="false"/>
          <w:sz w:val="24"/>
          <w:szCs w:val="24"/>
          <w:lang w:val="fr-CI"/>
        </w:rPr>
      </w:pPr>
      <w:bookmarkStart w:id="9" w:name="__RefHeading___Toc234831708"/>
      <w:bookmarkEnd w:id="9"/>
      <w:r>
        <w:rPr>
          <w:rFonts w:cs="Times New Roman" w:ascii="Times New Roman" w:hAnsi="Times New Roman"/>
          <w:i w:val="false"/>
          <w:iCs w:val="false"/>
          <w:sz w:val="24"/>
          <w:szCs w:val="24"/>
          <w:lang w:val="fr-CI"/>
        </w:rPr>
        <w:t xml:space="preserve">Site d’implantation : </w:t>
      </w:r>
    </w:p>
    <w:p>
      <w:pPr>
        <w:pStyle w:val="Normal"/>
        <w:jc w:val="both"/>
        <w:rPr>
          <w:sz w:val="22"/>
          <w:szCs w:val="22"/>
        </w:rPr>
      </w:pPr>
      <w:r>
        <w:rPr>
          <w:sz w:val="22"/>
          <w:szCs w:val="22"/>
        </w:rPr>
        <w:t>Le projet sera réalisé sur une superficie de 0,5 hectare à Sévaré, village de Diondionri, dans la Région de Mopti. Le site du projet est accessible par des routes généralement praticables, sous réserve de la situation sécuritaire de la région, cela facilitera le transport de la production pour la livraison aux clients.</w:t>
      </w:r>
    </w:p>
    <w:p>
      <w:pPr>
        <w:pStyle w:val="Normal"/>
        <w:jc w:val="both"/>
        <w:rPr>
          <w:sz w:val="22"/>
          <w:szCs w:val="22"/>
        </w:rPr>
      </w:pPr>
      <w:r>
        <w:rPr>
          <w:sz w:val="22"/>
          <w:szCs w:val="22"/>
        </w:rPr>
        <w:t>Le titre de propriété de la superficie est détenu par un membre de la famille qui en autorise l’exploitation par le promoteur pour une durée de 7 ans, renouvelable. L’acte de mise à disposition du terrain, dûment signé et légalisé, sera joint en annexe du présent plan d’affaires.</w:t>
      </w:r>
    </w:p>
    <w:p>
      <w:pPr>
        <w:pStyle w:val="Normal"/>
        <w:jc w:val="both"/>
        <w:rPr>
          <w:sz w:val="22"/>
          <w:szCs w:val="22"/>
          <w:lang w:val="fr-CI"/>
        </w:rPr>
      </w:pPr>
      <w:r>
        <w:rPr>
          <w:sz w:val="22"/>
          <w:szCs w:val="22"/>
          <w:lang w:val="fr-CI"/>
        </w:rPr>
      </w:r>
    </w:p>
    <w:p>
      <w:pPr>
        <w:pStyle w:val="Normal"/>
        <w:rPr>
          <w:sz w:val="22"/>
          <w:szCs w:val="22"/>
          <w:lang w:val="fr-CI"/>
        </w:rPr>
      </w:pPr>
      <w:r>
        <w:rPr>
          <w:sz w:val="22"/>
          <w:szCs w:val="22"/>
          <w:lang w:val="fr-CI"/>
        </w:rPr>
      </w:r>
    </w:p>
    <w:p>
      <w:pPr>
        <w:pStyle w:val="Heading2"/>
        <w:keepLines/>
        <w:numPr>
          <w:ilvl w:val="0"/>
          <w:numId w:val="12"/>
        </w:numPr>
        <w:spacing w:before="120" w:after="0"/>
        <w:ind w:hanging="360" w:left="720" w:right="0"/>
        <w:jc w:val="both"/>
        <w:rPr>
          <w:rFonts w:ascii="Times New Roman" w:hAnsi="Times New Roman" w:cs="Times New Roman"/>
          <w:i w:val="false"/>
          <w:i w:val="false"/>
          <w:iCs w:val="false"/>
          <w:sz w:val="24"/>
          <w:szCs w:val="24"/>
          <w:lang w:val="fr-CI"/>
        </w:rPr>
      </w:pPr>
      <w:bookmarkStart w:id="10" w:name="__RefHeading___Toc234831709"/>
      <w:bookmarkEnd w:id="10"/>
      <w:r>
        <w:rPr>
          <w:rFonts w:cs="Times New Roman" w:ascii="Times New Roman" w:hAnsi="Times New Roman"/>
          <w:i w:val="false"/>
          <w:iCs w:val="false"/>
          <w:sz w:val="24"/>
          <w:szCs w:val="24"/>
          <w:lang w:val="fr-CI"/>
        </w:rPr>
        <w:t>Locaux, aménagements / installations et équipements</w:t>
      </w:r>
    </w:p>
    <w:p>
      <w:pPr>
        <w:pStyle w:val="Normal"/>
        <w:ind w:left="720" w:right="0"/>
        <w:rPr/>
      </w:pPr>
      <w:r>
        <w:rPr/>
        <w:t xml:space="preserve">2.1 Constructions </w:t>
      </w:r>
    </w:p>
    <w:tbl>
      <w:tblPr>
        <w:tblW w:w="7420" w:type="dxa"/>
        <w:jc w:val="left"/>
        <w:tblInd w:w="80" w:type="dxa"/>
        <w:tblLayout w:type="fixed"/>
        <w:tblCellMar>
          <w:top w:w="0" w:type="dxa"/>
          <w:left w:w="70" w:type="dxa"/>
          <w:bottom w:w="0" w:type="dxa"/>
          <w:right w:w="70" w:type="dxa"/>
        </w:tblCellMar>
      </w:tblPr>
      <w:tblGrid>
        <w:gridCol w:w="3250"/>
        <w:gridCol w:w="992"/>
        <w:gridCol w:w="1417"/>
        <w:gridCol w:w="1760"/>
      </w:tblGrid>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992"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417"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76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0</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left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0</w:t>
            </w:r>
          </w:p>
        </w:tc>
      </w:tr>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7"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76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0</w:t>
            </w:r>
          </w:p>
        </w:tc>
      </w:tr>
    </w:tbl>
    <w:p>
      <w:pPr>
        <w:pStyle w:val="Normal"/>
        <w:ind w:left="720" w:right="0"/>
        <w:rPr>
          <w:lang w:val="fr-CI"/>
        </w:rPr>
      </w:pPr>
      <w:r>
        <w:rPr>
          <w:lang w:val="fr-CI"/>
        </w:rPr>
      </w:r>
    </w:p>
    <w:p>
      <w:pPr>
        <w:pStyle w:val="Normal"/>
        <w:ind w:left="720" w:right="0"/>
        <w:rPr>
          <w:lang w:val="fr-CI"/>
        </w:rPr>
      </w:pPr>
      <w:r>
        <w:rPr>
          <w:lang w:val="fr-CI"/>
        </w:rPr>
        <w:t>2.2 Aménagements /installations</w:t>
      </w:r>
    </w:p>
    <w:p>
      <w:pPr>
        <w:pStyle w:val="Normal"/>
        <w:rPr/>
      </w:pPr>
      <w:r>
        <w:rPr/>
        <w:t> </w:t>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999"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520"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Préparation du terrain et confection des billons</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99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20 000</w:t>
            </w:r>
          </w:p>
        </w:tc>
        <w:tc>
          <w:tcPr>
            <w:tcW w:w="1520"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20 000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Bassin de rétention d’eau</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99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350 000</w:t>
            </w:r>
          </w:p>
        </w:tc>
        <w:tc>
          <w:tcPr>
            <w:tcW w:w="1520"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350 000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Plastique pour paillage 1 500 m²</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300 000</w:t>
            </w:r>
          </w:p>
        </w:tc>
        <w:tc>
          <w:tcPr>
            <w:tcW w:w="1520"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300 000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Panneaux solaires 550 W</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6</w:t>
            </w:r>
          </w:p>
        </w:tc>
        <w:tc>
          <w:tcPr>
            <w:tcW w:w="999" w:type="dxa"/>
            <w:tcBorders>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30 000</w:t>
            </w:r>
          </w:p>
        </w:tc>
        <w:tc>
          <w:tcPr>
            <w:tcW w:w="1520" w:type="dxa"/>
            <w:tcBorders>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180 000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Pompe de surface et accessoires</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450 000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450 000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Tuyaux polyéthylène D50</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80 000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80 000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Bouchons, coudes, vannes, joints</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50 000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Injecteur d’engrais</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25 000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Filtre et accessoires</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50 000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Tuyaux à pression D63</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5</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12 500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62 500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Gaine goutte-à-goutte</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2</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75 000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150 000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99"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520"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1 717 500</w:t>
            </w:r>
          </w:p>
        </w:tc>
      </w:tr>
    </w:tbl>
    <w:p>
      <w:pPr>
        <w:pStyle w:val="Heading3"/>
        <w:numPr>
          <w:ilvl w:val="1"/>
          <w:numId w:val="10"/>
        </w:numPr>
        <w:ind w:hanging="360" w:left="1211" w:right="0"/>
        <w:rPr>
          <w:rFonts w:ascii="Times New Roman" w:hAnsi="Times New Roman" w:cs="Times New Roman"/>
          <w:sz w:val="24"/>
          <w:szCs w:val="24"/>
        </w:rPr>
      </w:pPr>
      <w:bookmarkStart w:id="11" w:name="__RefHeading___Toc234831710"/>
      <w:bookmarkEnd w:id="11"/>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left"/>
        <w:tblInd w:w="60" w:type="dxa"/>
        <w:tblLayout w:type="fixed"/>
        <w:tblCellMar>
          <w:top w:w="0" w:type="dxa"/>
          <w:left w:w="70" w:type="dxa"/>
          <w:bottom w:w="0" w:type="dxa"/>
          <w:right w:w="70" w:type="dxa"/>
        </w:tblCellMar>
      </w:tblPr>
      <w:tblGrid>
        <w:gridCol w:w="3899"/>
        <w:gridCol w:w="1001"/>
        <w:gridCol w:w="1346"/>
        <w:gridCol w:w="1418"/>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346"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418"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Matériel divers (dabas, pelles, râteaux, brouettes, mètre, houes, gants, bottes, pulvérisateur)</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169 000</w:t>
            </w:r>
          </w:p>
        </w:tc>
        <w:tc>
          <w:tcPr>
            <w:tcW w:w="1418" w:type="dxa"/>
            <w:tcBorders>
              <w:top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169 000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346"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8"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169 000</w:t>
            </w:r>
          </w:p>
        </w:tc>
      </w:tr>
    </w:tbl>
    <w:p>
      <w:pPr>
        <w:pStyle w:val="Normal"/>
        <w:rPr>
          <w:b/>
          <w:bCs/>
          <w:sz w:val="22"/>
          <w:szCs w:val="22"/>
          <w:lang w:eastAsia="fr-CA"/>
        </w:rPr>
      </w:pPr>
      <w:r>
        <w:rPr>
          <w:b/>
          <w:bCs/>
          <w:sz w:val="22"/>
          <w:szCs w:val="22"/>
          <w:lang w:eastAsia="fr-CA"/>
        </w:rPr>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55" w:hRule="atLeast"/>
        </w:trPr>
        <w:tc>
          <w:tcPr>
            <w:tcW w:w="3899"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1" w:type="dxa"/>
            <w:tcBorders/>
            <w:shd w:fill="FFFFFF" w:val="clear"/>
            <w:vAlign w:val="bottom"/>
          </w:tcPr>
          <w:p>
            <w:pPr>
              <w:pStyle w:val="Normal"/>
              <w:rPr>
                <w:rFonts w:ascii="Cambria" w:hAnsi="Cambria" w:cs="Calibri"/>
                <w:sz w:val="20"/>
                <w:szCs w:val="20"/>
              </w:rPr>
            </w:pPr>
            <w:r>
              <w:rPr/>
            </w:r>
          </w:p>
        </w:tc>
        <w:tc>
          <w:tcPr>
            <w:tcW w:w="999" w:type="dxa"/>
            <w:tcBorders/>
            <w:shd w:fill="FFFFFF" w:val="clear"/>
            <w:vAlign w:val="bottom"/>
          </w:tcPr>
          <w:p>
            <w:pPr>
              <w:pStyle w:val="Normal"/>
              <w:rPr>
                <w:rFonts w:ascii="Cambria" w:hAnsi="Cambria" w:cs="Calibri"/>
                <w:sz w:val="20"/>
                <w:szCs w:val="20"/>
              </w:rPr>
            </w:pPr>
            <w:r>
              <w:rPr/>
            </w:r>
          </w:p>
        </w:tc>
        <w:tc>
          <w:tcPr>
            <w:tcW w:w="1520" w:type="dxa"/>
            <w:tcBorders/>
            <w:shd w:fill="FFFFFF" w:val="clear"/>
            <w:vAlign w:val="bottom"/>
          </w:tcPr>
          <w:p>
            <w:pPr>
              <w:pStyle w:val="Normal"/>
              <w:rPr>
                <w:rFonts w:ascii="Cambria" w:hAnsi="Cambria" w:cs="Calibri"/>
                <w:sz w:val="20"/>
                <w:szCs w:val="20"/>
              </w:rPr>
            </w:pPr>
            <w:r>
              <w:rPr/>
            </w:r>
          </w:p>
        </w:tc>
      </w:tr>
    </w:tbl>
    <w:p>
      <w:pPr>
        <w:pStyle w:val="Heading2"/>
        <w:keepLines/>
        <w:numPr>
          <w:ilvl w:val="0"/>
          <w:numId w:val="12"/>
        </w:numPr>
        <w:spacing w:before="120" w:after="120"/>
        <w:ind w:hanging="360" w:left="720" w:right="0"/>
        <w:jc w:val="both"/>
        <w:rPr>
          <w:rFonts w:ascii="Times New Roman" w:hAnsi="Times New Roman" w:cs="Times New Roman"/>
          <w:b w:val="false"/>
          <w:bCs w:val="false"/>
          <w:i w:val="false"/>
          <w:i w:val="false"/>
          <w:sz w:val="22"/>
          <w:szCs w:val="22"/>
          <w:lang w:val="fr-CI"/>
        </w:rPr>
      </w:pPr>
      <w:bookmarkStart w:id="12" w:name="__RefHeading___Toc234831711"/>
      <w:bookmarkEnd w:id="12"/>
      <w:r>
        <w:rPr>
          <w:rFonts w:cs="Times New Roman" w:ascii="Times New Roman" w:hAnsi="Times New Roman"/>
          <w:i w:val="false"/>
          <w:iCs w:val="false"/>
          <w:sz w:val="24"/>
          <w:szCs w:val="24"/>
          <w:lang w:val="fr-CI"/>
        </w:rPr>
        <w:t>Le processus de production :</w:t>
      </w:r>
      <w:r>
        <w:rPr>
          <w:rFonts w:cs="Times New Roman" w:ascii="Times New Roman" w:hAnsi="Times New Roman"/>
          <w:i w:val="false"/>
          <w:iCs w:val="false"/>
          <w:sz w:val="22"/>
          <w:szCs w:val="22"/>
          <w:lang w:val="fr-CI"/>
        </w:rPr>
        <w:t xml:space="preserve"> </w:t>
      </w:r>
      <w:r>
        <w:rPr>
          <w:rFonts w:cs="Times New Roman" w:ascii="Times New Roman" w:hAnsi="Times New Roman"/>
          <w:b w:val="false"/>
          <w:bCs w:val="false"/>
          <w:i w:val="false"/>
          <w:sz w:val="22"/>
          <w:szCs w:val="22"/>
          <w:lang w:val="fr-CI"/>
        </w:rPr>
        <w:t>(définir le process et la capacité de production de l’entreprise)</w:t>
      </w:r>
    </w:p>
    <w:p>
      <w:pPr>
        <w:pStyle w:val="Normal"/>
        <w:rPr>
          <w:b/>
          <w:bCs/>
        </w:rPr>
      </w:pPr>
      <w:r>
        <w:rPr/>
        <w:t>Préparation du sol → Semis en alvéoles → Repiquage → Irrigation → Fertilisation → Entretien → Floraison/Pollinisation → Récolte → Tri → Conditionnement</w:t>
      </w:r>
      <w:r>
        <w:rPr>
          <w:b/>
          <w:bCs/>
        </w:rPr>
        <w:t>.</w:t>
      </w:r>
    </w:p>
    <w:p>
      <w:pPr>
        <w:pStyle w:val="Normal"/>
        <w:rPr/>
      </w:pPr>
      <w:r>
        <w:rPr/>
        <w:t>Le processus de production au niveau de la parcelle maraîchère ZÉRÉ DÉLICE DE MOPTI comprend :</w:t>
      </w:r>
    </w:p>
    <w:p>
      <w:pPr>
        <w:pStyle w:val="Normal"/>
        <w:numPr>
          <w:ilvl w:val="0"/>
          <w:numId w:val="2"/>
        </w:numPr>
        <w:rPr/>
      </w:pPr>
      <w:r>
        <w:rPr>
          <w:b/>
          <w:bCs/>
        </w:rPr>
        <w:t>Préparation et amélioration du sol</w:t>
        <w:br/>
      </w:r>
      <w:r>
        <w:rPr/>
        <w:t>Le sol est enrichi principalement par des apports organiques, notamment du compost et du fumier bien décomposé, afin d’améliorer la fertilité avec l’appui modéré d’engrais chimiques.</w:t>
      </w:r>
    </w:p>
    <w:p>
      <w:pPr>
        <w:pStyle w:val="Normal"/>
        <w:numPr>
          <w:ilvl w:val="0"/>
          <w:numId w:val="2"/>
        </w:numPr>
        <w:rPr/>
      </w:pPr>
      <w:r>
        <w:rPr>
          <w:b/>
          <w:bCs/>
        </w:rPr>
        <w:t>Gestion durable de l’eau</w:t>
      </w:r>
      <w:r>
        <w:rPr/>
        <w:br/>
        <w:t>L’entreprise utilisera un puits/bassin équipé d’une pompe solaire et d’un système d’irrigation goutte-à-goutte pour assurer un approvisionnement constant en eau. Ces techniques permettront de réduire la consommation d’eau tout en augmentant les rendements.</w:t>
      </w:r>
    </w:p>
    <w:p>
      <w:pPr>
        <w:pStyle w:val="Normal"/>
        <w:numPr>
          <w:ilvl w:val="0"/>
          <w:numId w:val="2"/>
        </w:numPr>
        <w:rPr/>
      </w:pPr>
      <w:r>
        <w:rPr>
          <w:b/>
          <w:bCs/>
        </w:rPr>
        <w:t>Semis et repiquage</w:t>
        <w:br/>
      </w:r>
      <w:r>
        <w:rPr/>
        <w:t>Les semences de variétés adaptées (Koloss, Sugar Baby, Crimson Sweet, Charleston Grey, Malali, Kaolack) sont semées en alvéoles, puis repiquées sur la parcelle après préparation du sol.</w:t>
      </w:r>
    </w:p>
    <w:p>
      <w:pPr>
        <w:pStyle w:val="Normal"/>
        <w:numPr>
          <w:ilvl w:val="0"/>
          <w:numId w:val="2"/>
        </w:numPr>
        <w:rPr/>
      </w:pPr>
      <w:r>
        <w:rPr>
          <w:b/>
          <w:bCs/>
        </w:rPr>
        <w:t>Suivi et optimisation des intrants</w:t>
      </w:r>
      <w:r>
        <w:rPr/>
        <w:br/>
        <w:t>L’utilisation d’outils pour mieux doser les apports en eau et en nutriments en fonction des besoins réels des cultures, optimisant ainsi la production tout en limitant les pertes.</w:t>
      </w:r>
    </w:p>
    <w:p>
      <w:pPr>
        <w:pStyle w:val="Normal"/>
        <w:numPr>
          <w:ilvl w:val="0"/>
          <w:numId w:val="2"/>
        </w:numPr>
        <w:rPr/>
      </w:pPr>
      <w:r>
        <w:rPr>
          <w:b/>
          <w:bCs/>
        </w:rPr>
        <w:t>Récolte et commercialisation</w:t>
      </w:r>
      <w:r>
        <w:rPr/>
        <w:br/>
        <w:t>La récolte est effectuée au moment optimal pour garantir la qualité et la fraîcheur des pastèques. Le tri permet de séparer les fruits selon trois calibres (gros, moyen, petit) avant conditionnement et livraison aux clients.</w:t>
      </w:r>
    </w:p>
    <w:p>
      <w:pPr>
        <w:pStyle w:val="Normal"/>
        <w:rPr>
          <w:sz w:val="22"/>
          <w:szCs w:val="22"/>
        </w:rPr>
      </w:pPr>
      <w:r>
        <w:rPr>
          <w:sz w:val="22"/>
          <w:szCs w:val="22"/>
        </w:rPr>
        <w:t xml:space="preserve">La capacité de production de </w:t>
      </w:r>
      <w:r>
        <w:rPr>
          <w:b/>
          <w:bCs/>
          <w:sz w:val="22"/>
          <w:szCs w:val="22"/>
        </w:rPr>
        <w:t>ZÉRÉ DÉLICE DE MOPTI</w:t>
      </w:r>
      <w:r>
        <w:rPr>
          <w:sz w:val="22"/>
          <w:szCs w:val="22"/>
        </w:rPr>
        <w:t xml:space="preserve"> est définie dans la projection de vente ci-dessous :</w:t>
      </w:r>
    </w:p>
    <w:tbl>
      <w:tblPr>
        <w:tblW w:w="9291" w:type="dxa"/>
        <w:jc w:val="left"/>
        <w:tblInd w:w="-5" w:type="dxa"/>
        <w:tblLayout w:type="fixed"/>
        <w:tblCellMar>
          <w:top w:w="150" w:type="dxa"/>
          <w:left w:w="5" w:type="dxa"/>
          <w:bottom w:w="150" w:type="dxa"/>
          <w:right w:w="235" w:type="dxa"/>
        </w:tblCellMar>
      </w:tblPr>
      <w:tblGrid>
        <w:gridCol w:w="3680"/>
        <w:gridCol w:w="994"/>
        <w:gridCol w:w="1116"/>
        <w:gridCol w:w="1683"/>
        <w:gridCol w:w="1818"/>
      </w:tblGrid>
      <w:tr>
        <w:trPr>
          <w:tblHeader w:val="true"/>
        </w:trPr>
        <w:tc>
          <w:tcPr>
            <w:tcW w:w="3680" w:type="dxa"/>
            <w:tcBorders>
              <w:top w:val="single" w:sz="4" w:space="0" w:color="000000"/>
              <w:left w:val="single" w:sz="4" w:space="0" w:color="000000"/>
              <w:bottom w:val="single" w:sz="4" w:space="0" w:color="000000"/>
              <w:right w:val="single" w:sz="4" w:space="0" w:color="000000"/>
            </w:tcBorders>
            <w:vAlign w:val="center"/>
          </w:tcPr>
          <w:p>
            <w:pPr>
              <w:pStyle w:val="Normal"/>
              <w:jc w:val="both"/>
              <w:rPr>
                <w:b/>
                <w:bCs/>
                <w:sz w:val="22"/>
                <w:szCs w:val="22"/>
              </w:rPr>
            </w:pPr>
            <w:r>
              <w:rPr>
                <w:b/>
                <w:bCs/>
                <w:sz w:val="22"/>
                <w:szCs w:val="22"/>
              </w:rPr>
              <w:t>Désignation</w:t>
            </w:r>
          </w:p>
        </w:tc>
        <w:tc>
          <w:tcPr>
            <w:tcW w:w="99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sz w:val="22"/>
                <w:szCs w:val="22"/>
              </w:rPr>
            </w:pPr>
            <w:r>
              <w:rPr>
                <w:b/>
                <w:bCs/>
                <w:sz w:val="22"/>
                <w:szCs w:val="22"/>
              </w:rPr>
              <w:t>Unité</w:t>
            </w:r>
          </w:p>
        </w:tc>
        <w:tc>
          <w:tcPr>
            <w:tcW w:w="111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sz w:val="22"/>
                <w:szCs w:val="22"/>
              </w:rPr>
            </w:pPr>
            <w:r>
              <w:rPr>
                <w:b/>
                <w:bCs/>
                <w:sz w:val="22"/>
                <w:szCs w:val="22"/>
              </w:rPr>
              <w:t>Qté/an</w:t>
            </w:r>
          </w:p>
        </w:tc>
        <w:tc>
          <w:tcPr>
            <w:tcW w:w="168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sz w:val="22"/>
                <w:szCs w:val="22"/>
              </w:rPr>
            </w:pPr>
            <w:r>
              <w:rPr>
                <w:b/>
                <w:bCs/>
                <w:sz w:val="22"/>
                <w:szCs w:val="22"/>
              </w:rPr>
              <w:t>Prix unitaire</w:t>
            </w:r>
          </w:p>
        </w:tc>
        <w:tc>
          <w:tcPr>
            <w:tcW w:w="181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sz w:val="22"/>
                <w:szCs w:val="22"/>
              </w:rPr>
            </w:pPr>
            <w:r>
              <w:rPr>
                <w:b/>
                <w:bCs/>
                <w:sz w:val="22"/>
                <w:szCs w:val="22"/>
              </w:rPr>
              <w:t>Montant</w:t>
            </w:r>
          </w:p>
        </w:tc>
      </w:tr>
      <w:tr>
        <w:trPr/>
        <w:tc>
          <w:tcPr>
            <w:tcW w:w="3680"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sz w:val="22"/>
                <w:szCs w:val="22"/>
              </w:rPr>
              <w:t>Vente Pastèque gros calibre (6-8 kg)</w:t>
            </w:r>
          </w:p>
        </w:tc>
        <w:tc>
          <w:tcPr>
            <w:tcW w:w="99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Unité</w:t>
            </w:r>
          </w:p>
        </w:tc>
        <w:tc>
          <w:tcPr>
            <w:tcW w:w="111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1 800</w:t>
            </w:r>
          </w:p>
        </w:tc>
        <w:tc>
          <w:tcPr>
            <w:tcW w:w="168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750 F</w:t>
            </w:r>
          </w:p>
        </w:tc>
        <w:tc>
          <w:tcPr>
            <w:tcW w:w="181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sz w:val="22"/>
                <w:szCs w:val="22"/>
              </w:rPr>
              <w:t>1 350 000 F</w:t>
            </w:r>
          </w:p>
        </w:tc>
      </w:tr>
      <w:tr>
        <w:trPr/>
        <w:tc>
          <w:tcPr>
            <w:tcW w:w="3680"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sz w:val="22"/>
                <w:szCs w:val="22"/>
              </w:rPr>
              <w:t>Vente Pastèque moyen calibre (4-5 kg)</w:t>
            </w:r>
          </w:p>
        </w:tc>
        <w:tc>
          <w:tcPr>
            <w:tcW w:w="99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Unité</w:t>
            </w:r>
          </w:p>
        </w:tc>
        <w:tc>
          <w:tcPr>
            <w:tcW w:w="111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3 000</w:t>
            </w:r>
          </w:p>
        </w:tc>
        <w:tc>
          <w:tcPr>
            <w:tcW w:w="168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500 F</w:t>
            </w:r>
          </w:p>
        </w:tc>
        <w:tc>
          <w:tcPr>
            <w:tcW w:w="181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sz w:val="22"/>
                <w:szCs w:val="22"/>
              </w:rPr>
              <w:t>1 500 000 F</w:t>
            </w:r>
          </w:p>
        </w:tc>
      </w:tr>
      <w:tr>
        <w:trPr/>
        <w:tc>
          <w:tcPr>
            <w:tcW w:w="3680"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sz w:val="22"/>
                <w:szCs w:val="22"/>
              </w:rPr>
              <w:t>Vente Pastèque petit calibre (2-3 kg)</w:t>
            </w:r>
          </w:p>
        </w:tc>
        <w:tc>
          <w:tcPr>
            <w:tcW w:w="99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Unité</w:t>
            </w:r>
          </w:p>
        </w:tc>
        <w:tc>
          <w:tcPr>
            <w:tcW w:w="111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1 200</w:t>
            </w:r>
          </w:p>
        </w:tc>
        <w:tc>
          <w:tcPr>
            <w:tcW w:w="168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250 F</w:t>
            </w:r>
          </w:p>
        </w:tc>
        <w:tc>
          <w:tcPr>
            <w:tcW w:w="181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sz w:val="22"/>
                <w:szCs w:val="22"/>
              </w:rPr>
              <w:t>300 000 F</w:t>
            </w:r>
          </w:p>
        </w:tc>
      </w:tr>
      <w:tr>
        <w:trPr/>
        <w:tc>
          <w:tcPr>
            <w:tcW w:w="3680"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b/>
                <w:bCs/>
                <w:sz w:val="22"/>
                <w:szCs w:val="22"/>
              </w:rPr>
              <w:t>TOTAL</w:t>
            </w:r>
          </w:p>
        </w:tc>
        <w:tc>
          <w:tcPr>
            <w:tcW w:w="99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b/>
                <w:bCs/>
                <w:sz w:val="22"/>
                <w:szCs w:val="22"/>
              </w:rPr>
              <w:t>Unité</w:t>
            </w:r>
          </w:p>
        </w:tc>
        <w:tc>
          <w:tcPr>
            <w:tcW w:w="111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b/>
                <w:bCs/>
                <w:sz w:val="22"/>
                <w:szCs w:val="22"/>
              </w:rPr>
              <w:t>6 000</w:t>
            </w:r>
          </w:p>
        </w:tc>
        <w:tc>
          <w:tcPr>
            <w:tcW w:w="168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napToGrid w:val="false"/>
              <w:jc w:val="both"/>
              <w:rPr>
                <w:sz w:val="22"/>
                <w:szCs w:val="22"/>
              </w:rPr>
            </w:pPr>
            <w:r>
              <w:rPr>
                <w:sz w:val="22"/>
                <w:szCs w:val="22"/>
              </w:rPr>
            </w:r>
          </w:p>
        </w:tc>
        <w:tc>
          <w:tcPr>
            <w:tcW w:w="181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b/>
                <w:bCs/>
                <w:sz w:val="22"/>
                <w:szCs w:val="22"/>
              </w:rPr>
              <w:t>3 150 000 F CFA</w:t>
            </w:r>
          </w:p>
        </w:tc>
      </w:tr>
    </w:tbl>
    <w:p>
      <w:pPr>
        <w:pStyle w:val="Normal"/>
        <w:jc w:val="both"/>
        <w:rPr>
          <w:sz w:val="22"/>
          <w:szCs w:val="22"/>
        </w:rPr>
      </w:pPr>
      <w:r>
        <w:rPr>
          <w:i/>
          <w:iCs/>
          <w:sz w:val="22"/>
          <w:szCs w:val="22"/>
        </w:rPr>
        <w:t>(Soit 6 000 fruits par an, correspondant à environ 29 tonnes de pastèques (poids moyen pondéré de 4,85 kg), soit un rendement de 58 t/ha sur 0,5 hectare. Le plan financier repose sur une campagne unique par an.)</w:t>
      </w:r>
    </w:p>
    <w:p>
      <w:pPr>
        <w:pStyle w:val="Normal"/>
        <w:jc w:val="both"/>
        <w:rPr>
          <w:sz w:val="22"/>
          <w:szCs w:val="22"/>
        </w:rPr>
      </w:pPr>
      <w:r>
        <w:rPr>
          <w:sz w:val="22"/>
          <w:szCs w:val="22"/>
        </w:rPr>
      </w:r>
    </w:p>
    <w:p>
      <w:pPr>
        <w:pStyle w:val="Heading2"/>
        <w:keepLines/>
        <w:numPr>
          <w:ilvl w:val="0"/>
          <w:numId w:val="12"/>
        </w:numPr>
        <w:spacing w:before="120" w:after="120"/>
        <w:ind w:hanging="360" w:left="720" w:right="0"/>
        <w:jc w:val="both"/>
        <w:rPr>
          <w:rFonts w:ascii="Times New Roman" w:hAnsi="Times New Roman" w:cs="Times New Roman"/>
          <w:sz w:val="24"/>
          <w:szCs w:val="24"/>
          <w:lang w:val="fr-CI"/>
        </w:rPr>
      </w:pPr>
      <w:bookmarkStart w:id="13" w:name="__RefHeading___Toc234831712"/>
      <w:bookmarkEnd w:id="13"/>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emploiera trois (3) hommes : le promoteur (emploi permanent en auto-emploi, sans salaire fixe) et deux salariés recrutés de façon saisonnière pour la campagne de 3 mois (un gardien et un technicien). Le promoteur ne perçoit pas de rémunération fixe ; ses revenus proviendront des bénéfices de l’exploitation. </w:t>
      </w:r>
    </w:p>
    <w:tbl>
      <w:tblPr>
        <w:tblW w:w="4750" w:type="pct"/>
        <w:jc w:val="center"/>
        <w:tblInd w:w="0" w:type="dxa"/>
        <w:tblLayout w:type="fixed"/>
        <w:tblCellMar>
          <w:top w:w="0" w:type="dxa"/>
          <w:left w:w="70" w:type="dxa"/>
          <w:bottom w:w="0" w:type="dxa"/>
          <w:right w:w="70" w:type="dxa"/>
        </w:tblCellMar>
      </w:tblPr>
      <w:tblGrid>
        <w:gridCol w:w="2549"/>
        <w:gridCol w:w="963"/>
        <w:gridCol w:w="1002"/>
        <w:gridCol w:w="2269"/>
        <w:gridCol w:w="1072"/>
        <w:gridCol w:w="1302"/>
      </w:tblGrid>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Sexe</w:t>
            </w:r>
          </w:p>
        </w:tc>
        <w:tc>
          <w:tcPr>
            <w:tcW w:w="10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 (3 mois)</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Amadou Alassane TRAORÉ</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Promoteur (non salarié)</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Gardien</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Gardien (saisonnier)</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30 000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90 000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Technicien</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Technicien (saisonnier)</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150 000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
          </w:p>
        </w:tc>
        <w:tc>
          <w:tcPr>
            <w:tcW w:w="10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3</w:t>
            </w:r>
          </w:p>
        </w:tc>
        <w:tc>
          <w:tcPr>
            <w:tcW w:w="2269" w:type="dxa"/>
            <w:tcBorders>
              <w:top w:val="single" w:sz="4" w:space="0" w:color="000000"/>
              <w:left w:val="single" w:sz="4" w:space="0" w:color="000000"/>
              <w:bottom w:val="single" w:sz="4" w:space="0" w:color="000000"/>
              <w:right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80 000</w:t>
            </w:r>
          </w:p>
        </w:tc>
        <w:tc>
          <w:tcPr>
            <w:tcW w:w="13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240 000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9" w:type="dxa"/>
            <w:tcBorders>
              <w:top w:val="single" w:sz="4" w:space="0" w:color="000000"/>
              <w:left w:val="single" w:sz="4" w:space="0" w:color="000000"/>
              <w:bottom w:val="single" w:sz="4" w:space="0" w:color="000000"/>
              <w:right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80 000</w:t>
            </w:r>
          </w:p>
        </w:tc>
        <w:tc>
          <w:tcPr>
            <w:tcW w:w="13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240 000</w:t>
            </w:r>
          </w:p>
        </w:tc>
      </w:tr>
    </w:tbl>
    <w:p>
      <w:pPr>
        <w:pStyle w:val="Heading1"/>
        <w:keepLines/>
        <w:numPr>
          <w:ilvl w:val="0"/>
          <w:numId w:val="3"/>
        </w:numPr>
        <w:spacing w:before="240" w:after="120"/>
        <w:ind w:hanging="431" w:left="431" w:right="0"/>
        <w:jc w:val="both"/>
        <w:rPr>
          <w:rFonts w:ascii="Times New Roman" w:hAnsi="Times New Roman" w:cs="Times New Roman"/>
          <w:caps/>
          <w:color w:val="166B7F"/>
          <w:kern w:val="0"/>
          <w:lang w:eastAsia="en-US"/>
        </w:rPr>
      </w:pPr>
      <w:bookmarkStart w:id="14" w:name="__RefHeading___Toc234831713"/>
      <w:bookmarkEnd w:id="14"/>
      <w:r>
        <w:rPr>
          <w:rFonts w:cs="Times New Roman" w:ascii="Times New Roman" w:hAnsi="Times New Roman"/>
          <w:caps/>
          <w:color w:val="166B7F"/>
          <w:kern w:val="0"/>
          <w:lang w:eastAsia="en-US"/>
        </w:rPr>
        <w:t>ÉTUDE ÉCONOMIQUE ET FINANCIÈRE</w:t>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15" w:name="__RefHeading___Toc234831714"/>
      <w:bookmarkEnd w:id="15"/>
      <w:r>
        <w:rPr>
          <w:rFonts w:cs="Times New Roman" w:ascii="Times New Roman" w:hAnsi="Times New Roman"/>
          <w:i w:val="false"/>
          <w:iCs w:val="false"/>
          <w:lang w:val="fr-CI"/>
        </w:rPr>
        <w:t xml:space="preserve">Hypothèses de base </w:t>
      </w:r>
    </w:p>
    <w:p>
      <w:pPr>
        <w:pStyle w:val="Heading3"/>
        <w:numPr>
          <w:ilvl w:val="2"/>
          <w:numId w:val="3"/>
        </w:numPr>
        <w:ind w:hanging="720" w:left="720" w:right="0"/>
        <w:rPr>
          <w:rFonts w:ascii="Times New Roman" w:hAnsi="Times New Roman" w:cs="Times New Roman"/>
          <w:sz w:val="24"/>
          <w:szCs w:val="24"/>
        </w:rPr>
      </w:pPr>
      <w:bookmarkStart w:id="16" w:name="__RefHeading___Toc234831715"/>
      <w:bookmarkEnd w:id="16"/>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left"/>
        <w:tblInd w:w="60" w:type="dxa"/>
        <w:tblLayout w:type="fixed"/>
        <w:tblCellMar>
          <w:top w:w="0" w:type="dxa"/>
          <w:left w:w="70" w:type="dxa"/>
          <w:bottom w:w="0" w:type="dxa"/>
          <w:right w:w="70" w:type="dxa"/>
        </w:tblCellMar>
      </w:tblPr>
      <w:tblGrid>
        <w:gridCol w:w="3271"/>
        <w:gridCol w:w="1274"/>
        <w:gridCol w:w="1276"/>
        <w:gridCol w:w="1277"/>
        <w:gridCol w:w="1276"/>
        <w:gridCol w:w="1416"/>
      </w:tblGrid>
      <w:tr>
        <w:trPr>
          <w:trHeight w:val="360" w:hRule="atLeast"/>
        </w:trPr>
        <w:tc>
          <w:tcPr>
            <w:tcW w:w="3271"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4"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7"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41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4"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4"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7"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gros calibre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1 350 000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1 377 000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1 404 540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1 432 631</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1 461 283</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moyen calibre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1 500 000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1 530 000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1 560 600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1 591 812</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1 623 648</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petit calibre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306 000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312 120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318 362</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324 730</w:t>
            </w:r>
          </w:p>
        </w:tc>
      </w:tr>
      <w:tr>
        <w:trPr>
          <w:trHeight w:val="285" w:hRule="atLeast"/>
        </w:trPr>
        <w:tc>
          <w:tcPr>
            <w:tcW w:w="3271"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recettes</w:t>
            </w:r>
          </w:p>
        </w:tc>
        <w:tc>
          <w:tcPr>
            <w:tcW w:w="1274"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3 150 000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3 213 000</w:t>
            </w:r>
          </w:p>
        </w:tc>
        <w:tc>
          <w:tcPr>
            <w:tcW w:w="1277"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3 277 260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3 342 805</w:t>
            </w:r>
          </w:p>
        </w:tc>
        <w:tc>
          <w:tcPr>
            <w:tcW w:w="141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3 409 661</w:t>
            </w:r>
          </w:p>
        </w:tc>
      </w:tr>
    </w:tbl>
    <w:p>
      <w:pPr>
        <w:pStyle w:val="Heading3"/>
        <w:numPr>
          <w:ilvl w:val="2"/>
          <w:numId w:val="3"/>
        </w:numPr>
        <w:spacing w:before="0" w:after="60"/>
        <w:ind w:hanging="720" w:left="720" w:right="0"/>
        <w:rPr>
          <w:rFonts w:ascii="Times New Roman" w:hAnsi="Times New Roman" w:cs="Times New Roman"/>
          <w:sz w:val="24"/>
          <w:szCs w:val="24"/>
        </w:rPr>
      </w:pPr>
      <w:bookmarkStart w:id="17" w:name="__RefHeading___Toc234831716"/>
      <w:bookmarkEnd w:id="17"/>
      <w:r>
        <w:rPr>
          <w:rFonts w:cs="Times New Roman" w:ascii="Times New Roman" w:hAnsi="Times New Roman"/>
          <w:sz w:val="24"/>
          <w:szCs w:val="24"/>
        </w:rPr>
        <w:t xml:space="preserve">Données prévisionnelles sur les achats </w:t>
      </w:r>
    </w:p>
    <w:p>
      <w:pPr>
        <w:pStyle w:val="Heading3"/>
        <w:tabs>
          <w:tab w:val="clear" w:pos="0"/>
        </w:tabs>
        <w:spacing w:before="0" w:after="60"/>
        <w:ind w:hanging="720" w:left="720" w:right="0"/>
        <w:rPr>
          <w:rFonts w:ascii="Times New Roman" w:hAnsi="Times New Roman" w:cs="Times New Roman"/>
          <w:sz w:val="24"/>
          <w:szCs w:val="24"/>
        </w:rPr>
      </w:pPr>
      <w:bookmarkStart w:id="18" w:name="__RefHeading___Toc234831717"/>
      <w:bookmarkEnd w:id="18"/>
      <w:r>
        <w:rPr>
          <w:rFonts w:cs="Times New Roman" w:ascii="Times New Roman" w:hAnsi="Times New Roman"/>
          <w:sz w:val="24"/>
          <w:szCs w:val="24"/>
        </w:rPr>
        <w:t>Achats de matières premières</w:t>
      </w:r>
    </w:p>
    <w:p>
      <w:pPr>
        <w:pStyle w:val="Normal"/>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jc w:val="both"/>
        <w:rPr>
          <w:b/>
          <w:bCs/>
          <w:iCs/>
          <w:sz w:val="22"/>
          <w:szCs w:val="22"/>
          <w:lang w:eastAsia="fr-CA"/>
        </w:rPr>
      </w:pPr>
      <w:r>
        <w:rPr>
          <w:b/>
          <w:bCs/>
          <w:iCs/>
          <w:sz w:val="22"/>
          <w:szCs w:val="22"/>
          <w:lang w:eastAsia="fr-CA"/>
        </w:rPr>
        <w:t>ACHAT DE MATIERES PREMIERES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Semence pastèque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Boîte</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Engrais minéraux</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9</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225 000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Fumure organique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120</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120 000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Insecticide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Bidon</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5</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1 500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7 500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Fongicide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Bidon</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5</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1 500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7 500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560 000</w:t>
            </w:r>
          </w:p>
        </w:tc>
      </w:tr>
    </w:tbl>
    <w:p>
      <w:pPr>
        <w:pStyle w:val="Normal"/>
        <w:jc w:val="both"/>
        <w:rPr>
          <w:b/>
          <w:bCs/>
          <w:iCs/>
          <w:sz w:val="22"/>
          <w:szCs w:val="22"/>
          <w:lang w:eastAsia="fr-CA"/>
        </w:rPr>
      </w:pPr>
      <w:r>
        <w:rPr>
          <w:b/>
          <w:bCs/>
          <w:iCs/>
          <w:sz w:val="22"/>
          <w:szCs w:val="22"/>
          <w:lang w:eastAsia="fr-CA"/>
        </w:rPr>
        <w:t>AUTRES ACHATS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Emballages (sacs, caisses)</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Eau d'irrigation</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200 000</w:t>
            </w:r>
          </w:p>
        </w:tc>
      </w:tr>
    </w:tbl>
    <w:p>
      <w:pPr>
        <w:pStyle w:val="Heading3"/>
        <w:numPr>
          <w:ilvl w:val="2"/>
          <w:numId w:val="3"/>
        </w:numPr>
        <w:ind w:hanging="720" w:left="720" w:right="0"/>
        <w:rPr>
          <w:rFonts w:ascii="Times New Roman" w:hAnsi="Times New Roman" w:cs="Times New Roman"/>
          <w:sz w:val="24"/>
          <w:szCs w:val="24"/>
        </w:rPr>
      </w:pPr>
      <w:bookmarkStart w:id="19" w:name="__RefHeading___Toc234831718"/>
      <w:bookmarkEnd w:id="19"/>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transports/déplacements, communication/publicité et maintenance. Le montant est évalué à 140 000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left w:w="70" w:type="dxa"/>
          <w:bottom w:w="0" w:type="dxa"/>
          <w:right w:w="70" w:type="dxa"/>
        </w:tblCellMar>
      </w:tblPr>
      <w:tblGrid>
        <w:gridCol w:w="3546"/>
        <w:gridCol w:w="920"/>
        <w:gridCol w:w="1545"/>
        <w:gridCol w:w="1392"/>
        <w:gridCol w:w="1069"/>
        <w:gridCol w:w="1355"/>
      </w:tblGrid>
      <w:tr>
        <w:trPr>
          <w:trHeight w:val="573" w:hRule="atLeast"/>
        </w:trPr>
        <w:tc>
          <w:tcPr>
            <w:tcW w:w="3546" w:type="dxa"/>
            <w:tcBorders>
              <w:top w:val="single" w:sz="8" w:space="0" w:color="000000"/>
              <w:left w:val="single" w:sz="8" w:space="0" w:color="000000"/>
              <w:bottom w:val="single" w:sz="8" w:space="0" w:color="000000"/>
              <w:right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2"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69"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right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5 000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60 000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Communication / publicité</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5 000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60 000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Maintenance</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20 000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20 000</w:t>
            </w:r>
          </w:p>
        </w:tc>
      </w:tr>
      <w:tr>
        <w:trPr>
          <w:trHeight w:val="295" w:hRule="atLeast"/>
        </w:trPr>
        <w:tc>
          <w:tcPr>
            <w:tcW w:w="3546" w:type="dxa"/>
            <w:tcBorders>
              <w:top w:val="single" w:sz="4" w:space="0" w:color="000000"/>
              <w:left w:val="single" w:sz="4" w:space="0" w:color="000000"/>
              <w:bottom w:val="single" w:sz="8" w:space="0" w:color="000000"/>
              <w:right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545"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92"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069"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55" w:type="dxa"/>
            <w:tcBorders>
              <w:bottom w:val="single" w:sz="8" w:space="0" w:color="000000"/>
              <w:right w:val="single" w:sz="4" w:space="0" w:color="000000"/>
            </w:tcBorders>
            <w:shd w:fill="ACB9CA" w:val="clear"/>
            <w:vAlign w:val="center"/>
          </w:tcPr>
          <w:p>
            <w:pPr>
              <w:pStyle w:val="Normal"/>
              <w:jc w:val="center"/>
              <w:rPr>
                <w:sz w:val="22"/>
                <w:szCs w:val="22"/>
                <w:lang w:eastAsia="fr-CA"/>
              </w:rPr>
            </w:pPr>
            <w:r>
              <w:rPr>
                <w:sz w:val="22"/>
                <w:szCs w:val="22"/>
                <w:lang w:eastAsia="fr-CA"/>
              </w:rPr>
              <w:t>140 000</w:t>
            </w:r>
          </w:p>
        </w:tc>
      </w:tr>
    </w:tbl>
    <w:p>
      <w:pPr>
        <w:pStyle w:val="Heading3"/>
        <w:numPr>
          <w:ilvl w:val="2"/>
          <w:numId w:val="3"/>
        </w:numPr>
        <w:ind w:hanging="720" w:left="720" w:right="0"/>
        <w:rPr>
          <w:rFonts w:ascii="Times New Roman" w:hAnsi="Times New Roman" w:cs="Times New Roman"/>
          <w:sz w:val="24"/>
          <w:szCs w:val="24"/>
        </w:rPr>
      </w:pPr>
      <w:bookmarkStart w:id="20" w:name="__RefHeading___Toc234831719"/>
      <w:bookmarkEnd w:id="20"/>
      <w:r>
        <w:rPr>
          <w:rFonts w:cs="Times New Roman" w:ascii="Times New Roman" w:hAnsi="Times New Roman"/>
          <w:sz w:val="24"/>
          <w:szCs w:val="24"/>
        </w:rPr>
        <w:t>Dotations aux amortissements</w:t>
      </w:r>
    </w:p>
    <w:p>
      <w:pPr>
        <w:pStyle w:val="Normal"/>
        <w:spacing w:before="120" w:after="0"/>
        <w:jc w:val="both"/>
        <w:rPr>
          <w:iCs/>
          <w:sz w:val="22"/>
          <w:szCs w:val="22"/>
        </w:rPr>
      </w:pPr>
      <w:r>
        <w:rPr>
          <w:iCs/>
          <w:sz w:val="22"/>
          <w:szCs w:val="22"/>
        </w:rPr>
        <w:t>Les dotations aux amortissements sont calculées dans le tableau ci-dessous sur les cinq prochaines années.</w:t>
      </w:r>
    </w:p>
    <w:tbl>
      <w:tblPr>
        <w:tblW w:w="9644" w:type="dxa"/>
        <w:jc w:val="left"/>
        <w:tblInd w:w="65" w:type="dxa"/>
        <w:tblLayout w:type="fixed"/>
        <w:tblCellMar>
          <w:top w:w="0" w:type="dxa"/>
          <w:left w:w="70" w:type="dxa"/>
          <w:bottom w:w="0" w:type="dxa"/>
          <w:right w:w="70" w:type="dxa"/>
        </w:tblCellMar>
      </w:tblPr>
      <w:tblGrid>
        <w:gridCol w:w="2511"/>
        <w:gridCol w:w="1005"/>
        <w:gridCol w:w="1105"/>
        <w:gridCol w:w="1004"/>
        <w:gridCol w:w="1005"/>
        <w:gridCol w:w="1005"/>
        <w:gridCol w:w="1004"/>
        <w:gridCol w:w="1003"/>
      </w:tblGrid>
      <w:tr>
        <w:trPr>
          <w:trHeight w:val="315" w:hRule="atLeast"/>
        </w:trPr>
        <w:tc>
          <w:tcPr>
            <w:tcW w:w="2511"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3"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2511"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AN3</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AN4</w:t>
            </w:r>
          </w:p>
        </w:tc>
        <w:tc>
          <w:tcPr>
            <w:tcW w:w="1003"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AN5</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d'établissement</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100,00%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10 000</w:t>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2.1 Constructions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3"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Préparation du terrain et confection des billons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Bassin de rétention d’eau</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87 500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87 500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87 500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87 500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Plastique pour paillage 1 500 m²</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Panneaux solaires 550 W</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180 000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45 000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45 000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Pompe de surface et accessoires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112 500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112 500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112 500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112 500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Système d’irrigation goutte-à-goutte (tuyaux, vannes, injecteur, filtre, gaine)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417 500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104 375</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104 375</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104 375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104 375</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2.3 Mobiliers et matériels</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Matériel divers (dabas, pelles, râteaux, brouettes, mètre, houes, gants, bottes, pulvérisateur)</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169 000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33 800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33 800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33 800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33 800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33 800</w:t>
            </w:r>
          </w:p>
        </w:tc>
      </w:tr>
      <w:tr>
        <w:trPr>
          <w:trHeight w:val="285" w:hRule="atLeast"/>
        </w:trPr>
        <w:tc>
          <w:tcPr>
            <w:tcW w:w="2511"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1 896 500</w:t>
            </w:r>
          </w:p>
        </w:tc>
        <w:tc>
          <w:tcPr>
            <w:tcW w:w="1105" w:type="dxa"/>
            <w:tcBorders>
              <w:bottom w:val="single" w:sz="4" w:space="0" w:color="000000"/>
              <w:right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473 175</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463 175</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463 175</w:t>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463 175</w:t>
            </w:r>
          </w:p>
        </w:tc>
        <w:tc>
          <w:tcPr>
            <w:tcW w:w="1003"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33 800</w:t>
            </w:r>
          </w:p>
        </w:tc>
      </w:tr>
      <w:tr>
        <w:trPr>
          <w:trHeight w:val="285" w:hRule="atLeast"/>
        </w:trPr>
        <w:tc>
          <w:tcPr>
            <w:tcW w:w="2511" w:type="dxa"/>
            <w:tcBorders/>
            <w:vAlign w:val="bottom"/>
          </w:tcPr>
          <w:p>
            <w:pPr>
              <w:pStyle w:val="Normal"/>
              <w:snapToGrid w:val="false"/>
              <w:jc w:val="right"/>
              <w:rPr>
                <w:b/>
                <w:bCs/>
                <w:i/>
                <w:i/>
                <w:iCs/>
                <w:sz w:val="22"/>
                <w:szCs w:val="22"/>
              </w:rPr>
            </w:pPr>
            <w:r>
              <w:rPr>
                <w:b/>
                <w:bCs/>
                <w:i/>
                <w:iCs/>
                <w:sz w:val="22"/>
                <w:szCs w:val="22"/>
              </w:rPr>
            </w:r>
          </w:p>
        </w:tc>
        <w:tc>
          <w:tcPr>
            <w:tcW w:w="1005" w:type="dxa"/>
            <w:tcBorders/>
            <w:vAlign w:val="bottom"/>
          </w:tcPr>
          <w:p>
            <w:pPr>
              <w:pStyle w:val="Normal"/>
              <w:snapToGrid w:val="false"/>
              <w:jc w:val="right"/>
              <w:rPr>
                <w:b/>
                <w:bCs/>
                <w:i/>
                <w:i/>
                <w:iCs/>
                <w:sz w:val="22"/>
                <w:szCs w:val="22"/>
              </w:rPr>
            </w:pPr>
            <w:r>
              <w:rPr>
                <w:b/>
                <w:bCs/>
                <w:i/>
                <w:iCs/>
                <w:sz w:val="22"/>
                <w:szCs w:val="22"/>
              </w:rPr>
            </w:r>
          </w:p>
        </w:tc>
        <w:tc>
          <w:tcPr>
            <w:tcW w:w="11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3" w:type="dxa"/>
            <w:tcBorders/>
            <w:vAlign w:val="bottom"/>
          </w:tcPr>
          <w:p>
            <w:pPr>
              <w:pStyle w:val="Normal"/>
              <w:snapToGrid w:val="false"/>
              <w:jc w:val="right"/>
              <w:rPr>
                <w:sz w:val="22"/>
                <w:szCs w:val="22"/>
              </w:rPr>
            </w:pPr>
            <w:r>
              <w:rPr>
                <w:sz w:val="22"/>
                <w:szCs w:val="22"/>
              </w:rPr>
            </w:r>
          </w:p>
        </w:tc>
      </w:tr>
    </w:tbl>
    <w:p>
      <w:pPr>
        <w:pStyle w:val="Heading3"/>
        <w:numPr>
          <w:ilvl w:val="2"/>
          <w:numId w:val="3"/>
        </w:numPr>
        <w:spacing w:before="120" w:after="120"/>
        <w:ind w:hanging="720" w:left="720" w:right="0"/>
        <w:jc w:val="both"/>
        <w:rPr>
          <w:rFonts w:ascii="Times New Roman" w:hAnsi="Times New Roman" w:cs="Times New Roman"/>
          <w:iCs/>
          <w:sz w:val="22"/>
          <w:szCs w:val="22"/>
        </w:rPr>
      </w:pPr>
      <w:bookmarkStart w:id="21" w:name="__RefHeading___Toc234831720"/>
      <w:bookmarkEnd w:id="21"/>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porte sur 36 mois, dont un différé de 3 mois pendant lequel seuls les intérêts sont payés, soit 33 échéances mensuelles.</w:t>
      </w:r>
    </w:p>
    <w:tbl>
      <w:tblPr>
        <w:tblW w:w="10070" w:type="dxa"/>
        <w:jc w:val="left"/>
        <w:tblInd w:w="65" w:type="dxa"/>
        <w:tblLayout w:type="fixed"/>
        <w:tblCellMar>
          <w:top w:w="0" w:type="dxa"/>
          <w:left w:w="70" w:type="dxa"/>
          <w:bottom w:w="0" w:type="dxa"/>
          <w:right w:w="70" w:type="dxa"/>
        </w:tblCellMar>
      </w:tblPr>
      <w:tblGrid>
        <w:gridCol w:w="997"/>
        <w:gridCol w:w="1417"/>
        <w:gridCol w:w="1134"/>
        <w:gridCol w:w="1134"/>
        <w:gridCol w:w="1135"/>
        <w:gridCol w:w="1701"/>
        <w:gridCol w:w="1276"/>
        <w:gridCol w:w="1274"/>
      </w:tblGrid>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2 210 850</w:t>
            </w:r>
          </w:p>
        </w:tc>
        <w:tc>
          <w:tcPr>
            <w:tcW w:w="1134" w:type="dxa"/>
            <w:tcBorders>
              <w:top w:val="single" w:sz="4" w:space="0" w:color="000000"/>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5"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 soit</w:t>
            </w:r>
          </w:p>
        </w:tc>
        <w:tc>
          <w:tcPr>
            <w:tcW w:w="1135" w:type="dxa"/>
            <w:tcBorders>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9,36%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33</w:t>
            </w:r>
          </w:p>
        </w:tc>
        <w:tc>
          <w:tcPr>
            <w:tcW w:w="1134"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7"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5"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4"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TAF</w:t>
            </w:r>
          </w:p>
        </w:tc>
        <w:tc>
          <w:tcPr>
            <w:tcW w:w="1135"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4"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5"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4"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2 210 850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14 739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2 506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17 245</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17 245</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2 210 850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14 739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2 506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17 245</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17 245</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2 210 850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14 739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2 506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17 245</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17 245</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2 210 850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14 739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2 506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17 245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84 240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2 143 855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14 292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2 430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16 722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83 718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2 076 859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13 846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2 354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16 200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83 195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2 009 864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13 399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2 278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15 677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82 672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1 942 868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12 952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2 202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15 154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82 150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1 875 873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12 506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2 126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14 632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81 627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1 808 877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12 059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2 050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14 109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81 105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1 741 882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11 613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1 974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13 587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80 582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1 674 886</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11 166</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1 898</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13 064</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66 995</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80 060</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1 607 891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10 719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1 822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12 542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79 537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1 540 895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1 746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12 019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79 014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1 473 900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9 826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1 670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11 496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78 492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1 406 905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9 379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1 594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10 974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77 969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1 339 909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8 933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1 519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10 451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1 272 914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8 486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1 443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9 929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76 924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1 205 918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8 039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1 367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9 406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76 402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1 138 923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7 593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1 291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8 884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75 879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1 071 927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7 146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1 215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8 361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75 356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1 004 932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6 700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1 139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7 838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74 834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937 936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6 253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1 063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7 316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74 311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870 941</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5 806</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987</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6 793</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66 995</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73 789</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803 945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5 360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911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6 271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73 266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736 950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4 913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835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5 748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72 744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669 955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4 466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759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5 226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72 221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602 959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4 020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683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4 703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71 699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535 964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3 573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607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4 181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71 176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468 968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3 126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531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3 658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70 653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401 973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2 680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456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3 135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70 131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334 977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380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2 613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69 608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267 982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1 787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2 090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69 086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200 986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1 340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1 568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68 563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133 991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893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1 045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68 041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66 995</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447</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76</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523</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66 995</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67 518</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5"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344 893</w:t>
            </w:r>
          </w:p>
        </w:tc>
        <w:tc>
          <w:tcPr>
            <w:tcW w:w="1701"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2 210 850</w:t>
            </w:r>
          </w:p>
        </w:tc>
        <w:tc>
          <w:tcPr>
            <w:tcW w:w="1276"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2 555 743</w:t>
            </w:r>
          </w:p>
        </w:tc>
        <w:tc>
          <w:tcPr>
            <w:tcW w:w="1274"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2 555 743</w:t>
            </w:r>
          </w:p>
        </w:tc>
      </w:tr>
    </w:tbl>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2" w:name="__RefHeading___Toc234831721"/>
      <w:bookmarkEnd w:id="22"/>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2 456 500 </w:t>
      </w:r>
      <w:r>
        <w:rPr>
          <w:iCs/>
          <w:sz w:val="22"/>
          <w:szCs w:val="22"/>
        </w:rPr>
        <w:t xml:space="preserve">FCFA. Ce montant est composé par : les frais d’investissement </w:t>
      </w:r>
      <w:r>
        <w:rPr>
          <w:b/>
          <w:bCs/>
          <w:iCs/>
          <w:sz w:val="22"/>
          <w:szCs w:val="22"/>
          <w:lang w:eastAsia="fr-CA"/>
        </w:rPr>
        <w:t xml:space="preserve">1 886 500 </w:t>
      </w:r>
      <w:r>
        <w:rPr>
          <w:iCs/>
          <w:sz w:val="22"/>
          <w:szCs w:val="22"/>
        </w:rPr>
        <w:t xml:space="preserve">FCFA (76,8%) , le besoin en fonds de roulement </w:t>
      </w:r>
      <w:r>
        <w:rPr>
          <w:b/>
          <w:bCs/>
          <w:iCs/>
          <w:sz w:val="22"/>
          <w:szCs w:val="22"/>
          <w:lang w:eastAsia="fr-CA"/>
        </w:rPr>
        <w:t xml:space="preserve">560 000 </w:t>
      </w:r>
      <w:r>
        <w:rPr>
          <w:iCs/>
          <w:sz w:val="22"/>
          <w:szCs w:val="22"/>
        </w:rPr>
        <w:t xml:space="preserve"> FCFA (22,8%) et les frais d’établissement 10 000 FCFA (0,4%).</w:t>
      </w:r>
    </w:p>
    <w:tbl>
      <w:tblPr>
        <w:tblW w:w="9600" w:type="dxa"/>
        <w:jc w:val="left"/>
        <w:tblInd w:w="65" w:type="dxa"/>
        <w:tblLayout w:type="fixed"/>
        <w:tblCellMar>
          <w:top w:w="0" w:type="dxa"/>
          <w:left w:w="70" w:type="dxa"/>
          <w:bottom w:w="0" w:type="dxa"/>
          <w:right w:w="70" w:type="dxa"/>
        </w:tblCellMar>
      </w:tblPr>
      <w:tblGrid>
        <w:gridCol w:w="5940"/>
        <w:gridCol w:w="1289"/>
        <w:gridCol w:w="1551"/>
        <w:gridCol w:w="819"/>
      </w:tblGrid>
      <w:tr>
        <w:trPr>
          <w:trHeight w:val="405" w:hRule="atLeast"/>
        </w:trPr>
        <w:tc>
          <w:tcPr>
            <w:tcW w:w="5940" w:type="dxa"/>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19" w:type="dxa"/>
            <w:tcBorders>
              <w:top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left w:val="single" w:sz="4" w:space="0" w:color="000000"/>
            </w:tcBorders>
            <w:vAlign w:val="bottom"/>
          </w:tcPr>
          <w:p>
            <w:pPr>
              <w:pStyle w:val="Normal"/>
              <w:rPr>
                <w:color w:val="000000"/>
                <w:sz w:val="22"/>
                <w:szCs w:val="22"/>
              </w:rPr>
            </w:pPr>
            <w:r>
              <w:rPr/>
            </w:r>
          </w:p>
        </w:tc>
        <w:tc>
          <w:tcPr>
            <w:tcW w:w="1289" w:type="dxa"/>
            <w:tcBorders/>
            <w:vAlign w:val="center"/>
          </w:tcPr>
          <w:p>
            <w:pPr>
              <w:pStyle w:val="Normal"/>
              <w:snapToGrid w:val="false"/>
              <w:jc w:val="center"/>
              <w:rPr>
                <w:color w:val="000000"/>
                <w:sz w:val="22"/>
                <w:szCs w:val="22"/>
              </w:rPr>
            </w:pPr>
            <w:r>
              <w:rPr>
                <w:color w:val="000000"/>
                <w:sz w:val="22"/>
                <w:szCs w:val="22"/>
              </w:rPr>
            </w:r>
          </w:p>
        </w:tc>
        <w:tc>
          <w:tcPr>
            <w:tcW w:w="1551" w:type="dxa"/>
            <w:tcBorders/>
            <w:vAlign w:val="center"/>
          </w:tcPr>
          <w:p>
            <w:pPr>
              <w:pStyle w:val="Normal"/>
              <w:snapToGrid w:val="false"/>
              <w:jc w:val="center"/>
              <w:rPr>
                <w:color w:val="000000"/>
                <w:sz w:val="22"/>
                <w:szCs w:val="22"/>
              </w:rPr>
            </w:pPr>
            <w:r>
              <w:rPr>
                <w:color w:val="000000"/>
                <w:sz w:val="22"/>
                <w:szCs w:val="22"/>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8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0,4%</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de constitution</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1 886 500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76,8%</w:t>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1 717 500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Préparation du terrain et confection des billons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pPr>
            <w:r>
              <w:rPr>
                <w:color w:val="000000"/>
                <w:sz w:val="22"/>
                <w:szCs w:val="22"/>
              </w:rPr>
              <w:t>Bassin de rétention d’eau</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Plastique pour paillage 1 500 m²</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Panneaux solaires 550 W</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180 000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Pompe de surface et accessoires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Système d’irrigation goutte-à-goutte (tuyaux, vannes, injecteur, filtre, gaine)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417 500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169 000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Matériel divers (dabas, pelles, râteaux, brouettes, mètre, houes, gants, bottes, pulvérisateur)</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169 000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560 000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22,8%</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Achats de matières premières (3 mois)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190 000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Sécurité de caisse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370 000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447" w:hRule="atLeast"/>
        </w:trPr>
        <w:tc>
          <w:tcPr>
            <w:tcW w:w="7229" w:type="dxa"/>
            <w:gridSpan w:val="2"/>
            <w:tcBorders>
              <w:top w:val="single" w:sz="4" w:space="0" w:color="000000"/>
              <w:left w:val="single" w:sz="4" w:space="0" w:color="000000"/>
              <w:bottom w:val="single" w:sz="4" w:space="0" w:color="000000"/>
              <w:right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1" w:type="dxa"/>
            <w:tcBorders>
              <w:bottom w:val="single" w:sz="4" w:space="0" w:color="000000"/>
              <w:right w:val="single" w:sz="4" w:space="0" w:color="000000"/>
            </w:tcBorders>
            <w:shd w:fill="CCFFFF" w:val="clear"/>
            <w:vAlign w:val="center"/>
          </w:tcPr>
          <w:p>
            <w:pPr>
              <w:pStyle w:val="Normal"/>
              <w:jc w:val="right"/>
              <w:rPr>
                <w:b/>
                <w:bCs/>
                <w:color w:val="000000"/>
                <w:sz w:val="22"/>
                <w:szCs w:val="22"/>
              </w:rPr>
            </w:pPr>
            <w:r>
              <w:rPr>
                <w:b/>
                <w:bCs/>
                <w:color w:val="000000"/>
                <w:sz w:val="22"/>
                <w:szCs w:val="22"/>
              </w:rPr>
              <w:t>2 456 500</w:t>
            </w:r>
          </w:p>
        </w:tc>
        <w:tc>
          <w:tcPr>
            <w:tcW w:w="819" w:type="dxa"/>
            <w:tcBorders>
              <w:bottom w:val="single" w:sz="4" w:space="0" w:color="000000"/>
              <w:right w:val="single" w:sz="4" w:space="0" w:color="000000"/>
            </w:tcBorders>
            <w:shd w:fill="CCFFFF" w:val="clear"/>
            <w:vAlign w:val="center"/>
          </w:tcPr>
          <w:p>
            <w:pPr>
              <w:pStyle w:val="Normal"/>
              <w:rPr>
                <w:b/>
                <w:bCs/>
                <w:color w:val="000000"/>
                <w:sz w:val="22"/>
                <w:szCs w:val="22"/>
              </w:rPr>
            </w:pPr>
            <w:r>
              <w:rPr/>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3" w:name="__RefHeading___Toc234831722"/>
      <w:bookmarkEnd w:id="23"/>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2 456 500</w:t>
      </w:r>
      <w:r>
        <w:rPr>
          <w:iCs/>
          <w:sz w:val="22"/>
          <w:szCs w:val="22"/>
        </w:rPr>
        <w:t xml:space="preserve"> FCFA, le promoteur s’engage à contribuer à hauteur de 10% de ce montant, soit </w:t>
      </w:r>
      <w:r>
        <w:rPr>
          <w:rFonts w:cs="Calibri" w:ascii="Cambria" w:hAnsi="Cambria"/>
          <w:b/>
          <w:iCs/>
          <w:color w:val="000000"/>
          <w:sz w:val="22"/>
          <w:szCs w:val="22"/>
        </w:rPr>
        <w:t>245 650</w:t>
      </w:r>
      <w:r>
        <w:rPr>
          <w:rFonts w:cs="Calibri" w:ascii="Cambria" w:hAnsi="Cambria"/>
          <w:iCs/>
          <w:color w:val="000000"/>
          <w:sz w:val="22"/>
          <w:szCs w:val="22"/>
        </w:rPr>
        <w:t xml:space="preserve"> </w:t>
      </w:r>
      <w:r>
        <w:rPr>
          <w:iCs/>
          <w:sz w:val="22"/>
          <w:szCs w:val="22"/>
        </w:rPr>
        <w:t>FCFA, le crédit sollicité (90 %) s’élevant à 2 210 850 FCFA.</w:t>
      </w:r>
    </w:p>
    <w:tbl>
      <w:tblPr>
        <w:tblW w:w="8580" w:type="dxa"/>
        <w:jc w:val="left"/>
        <w:tblInd w:w="65" w:type="dxa"/>
        <w:tblLayout w:type="fixed"/>
        <w:tblCellMar>
          <w:top w:w="0" w:type="dxa"/>
          <w:left w:w="70" w:type="dxa"/>
          <w:bottom w:w="0" w:type="dxa"/>
          <w:right w:w="70" w:type="dxa"/>
        </w:tblCellMar>
      </w:tblPr>
      <w:tblGrid>
        <w:gridCol w:w="5860"/>
        <w:gridCol w:w="1199"/>
        <w:gridCol w:w="1521"/>
      </w:tblGrid>
      <w:tr>
        <w:trPr>
          <w:trHeight w:val="420" w:hRule="atLeast"/>
        </w:trPr>
        <w:tc>
          <w:tcPr>
            <w:tcW w:w="5860"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b/>
                <w:bCs/>
                <w:color w:val="FFFFFF"/>
                <w:sz w:val="22"/>
                <w:szCs w:val="22"/>
              </w:rPr>
              <w:t>PLAN DE FINANCEMENT</w:t>
            </w:r>
          </w:p>
        </w:tc>
        <w:tc>
          <w:tcPr>
            <w:tcW w:w="1199" w:type="dxa"/>
            <w:tcBorders>
              <w:top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r>
          </w:p>
        </w:tc>
        <w:tc>
          <w:tcPr>
            <w:tcW w:w="1521" w:type="dxa"/>
            <w:tcBorders>
              <w:top w:val="single" w:sz="4"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r>
      <w:tr>
        <w:trPr>
          <w:trHeight w:val="360" w:hRule="atLeast"/>
        </w:trPr>
        <w:tc>
          <w:tcPr>
            <w:tcW w:w="5860"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199" w:type="dxa"/>
            <w:tcBorders>
              <w:top w:val="single" w:sz="8"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100%</w:t>
            </w:r>
          </w:p>
        </w:tc>
        <w:tc>
          <w:tcPr>
            <w:tcW w:w="1521" w:type="dxa"/>
            <w:tcBorders>
              <w:top w:val="single" w:sz="8"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2 456 500</w:t>
            </w:r>
          </w:p>
        </w:tc>
      </w:tr>
      <w:tr>
        <w:trPr>
          <w:trHeight w:val="360" w:hRule="atLeast"/>
        </w:trPr>
        <w:tc>
          <w:tcPr>
            <w:tcW w:w="5860" w:type="dxa"/>
            <w:tcBorders>
              <w:top w:val="single" w:sz="4"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199"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r>
          </w:p>
        </w:tc>
        <w:tc>
          <w:tcPr>
            <w:tcW w:w="1521" w:type="dxa"/>
            <w:tcBorders>
              <w:top w:val="single" w:sz="4"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245 650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en numéraire</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245 650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création emploi »</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innovants»</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90%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2 210 850</w:t>
            </w:r>
          </w:p>
        </w:tc>
      </w:tr>
      <w:tr>
        <w:trPr>
          <w:trHeight w:val="300" w:hRule="atLeast"/>
        </w:trPr>
        <w:tc>
          <w:tcPr>
            <w:tcW w:w="5860" w:type="dxa"/>
            <w:tcBorders>
              <w:left w:val="single" w:sz="8" w:space="0" w:color="000000"/>
              <w:bottom w:val="single" w:sz="8" w:space="0" w:color="000000"/>
              <w:right w:val="single" w:sz="4" w:space="0" w:color="000000"/>
            </w:tcBorders>
            <w:vAlign w:val="bottom"/>
          </w:tcPr>
          <w:p>
            <w:pPr>
              <w:pStyle w:val="Normal"/>
              <w:rPr>
                <w:color w:val="000000"/>
                <w:sz w:val="22"/>
                <w:szCs w:val="22"/>
              </w:rPr>
            </w:pPr>
            <w:r>
              <w:rPr>
                <w:color w:val="000000"/>
                <w:sz w:val="22"/>
                <w:szCs w:val="22"/>
              </w:rPr>
              <w:t>Financement</w:t>
            </w:r>
          </w:p>
        </w:tc>
        <w:tc>
          <w:tcPr>
            <w:tcW w:w="1199" w:type="dxa"/>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90%</w:t>
            </w:r>
          </w:p>
        </w:tc>
        <w:tc>
          <w:tcPr>
            <w:tcW w:w="1521" w:type="dxa"/>
            <w:tcBorders>
              <w:bottom w:val="single" w:sz="8" w:space="0" w:color="000000"/>
              <w:right w:val="single" w:sz="8" w:space="0" w:color="000000"/>
            </w:tcBorders>
            <w:shd w:fill="E2EFD9" w:val="clear"/>
            <w:vAlign w:val="center"/>
          </w:tcPr>
          <w:p>
            <w:pPr>
              <w:pStyle w:val="Normal"/>
              <w:jc w:val="center"/>
              <w:rPr>
                <w:b/>
                <w:bCs/>
                <w:color w:val="000000"/>
                <w:sz w:val="22"/>
                <w:szCs w:val="22"/>
              </w:rPr>
            </w:pPr>
            <w:r>
              <w:rPr>
                <w:b/>
                <w:bCs/>
                <w:color w:val="000000"/>
                <w:sz w:val="22"/>
                <w:szCs w:val="22"/>
              </w:rPr>
              <w:t>2 210 850</w:t>
            </w:r>
          </w:p>
        </w:tc>
      </w:tr>
      <w:tr>
        <w:trPr>
          <w:trHeight w:val="285" w:hRule="atLeast"/>
        </w:trPr>
        <w:tc>
          <w:tcPr>
            <w:tcW w:w="5860" w:type="dxa"/>
            <w:tcBorders>
              <w:left w:val="single" w:sz="8" w:space="0" w:color="000000"/>
              <w:bottom w:val="single" w:sz="4" w:space="0" w:color="000000"/>
              <w:right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199" w:type="dxa"/>
            <w:tcBorders>
              <w:bottom w:val="single" w:sz="4" w:space="0" w:color="000000"/>
              <w:right w:val="single" w:sz="4" w:space="0" w:color="000000"/>
            </w:tcBorders>
            <w:shd w:fill="D63431" w:val="clear"/>
            <w:vAlign w:val="bottom"/>
          </w:tcPr>
          <w:p>
            <w:pPr>
              <w:pStyle w:val="Normal"/>
              <w:rPr>
                <w:b/>
                <w:bCs/>
                <w:i/>
                <w:i/>
                <w:iCs/>
                <w:color w:val="FFFFFF"/>
                <w:sz w:val="22"/>
                <w:szCs w:val="22"/>
              </w:rPr>
            </w:pPr>
            <w:r>
              <w:rPr/>
            </w:r>
          </w:p>
        </w:tc>
        <w:tc>
          <w:tcPr>
            <w:tcW w:w="1521" w:type="dxa"/>
            <w:tcBorders>
              <w:bottom w:val="single" w:sz="4" w:space="0" w:color="000000"/>
              <w:right w:val="single" w:sz="8" w:space="0" w:color="000000"/>
            </w:tcBorders>
            <w:shd w:fill="D63431" w:val="clear"/>
            <w:vAlign w:val="bottom"/>
          </w:tcPr>
          <w:p>
            <w:pPr>
              <w:pStyle w:val="Normal"/>
              <w:rPr>
                <w:b/>
                <w:bCs/>
                <w:i/>
                <w:i/>
                <w:iCs/>
                <w:color w:val="FFFFFF"/>
                <w:sz w:val="22"/>
                <w:szCs w:val="22"/>
              </w:rPr>
            </w:pPr>
            <w:r>
              <w:rPr/>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33</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échéances</w:t>
            </w:r>
          </w:p>
        </w:tc>
      </w:tr>
      <w:tr>
        <w:trPr>
          <w:trHeight w:val="300" w:hRule="atLeast"/>
        </w:trPr>
        <w:tc>
          <w:tcPr>
            <w:tcW w:w="5860" w:type="dxa"/>
            <w:tcBorders>
              <w:left w:val="single" w:sz="8" w:space="0" w:color="000000"/>
              <w:bottom w:val="single" w:sz="8" w:space="0" w:color="000000"/>
              <w:right w:val="single" w:sz="4" w:space="0" w:color="000000"/>
            </w:tcBorders>
            <w:shd w:fill="FFFFFF" w:val="clear"/>
            <w:vAlign w:val="center"/>
          </w:tcPr>
          <w:p>
            <w:pPr>
              <w:pStyle w:val="Normal"/>
              <w:rPr>
                <w:color w:val="000000"/>
                <w:sz w:val="22"/>
                <w:szCs w:val="22"/>
              </w:rPr>
            </w:pPr>
            <w:r>
              <w:rPr>
                <w:color w:val="000000"/>
                <w:sz w:val="22"/>
                <w:szCs w:val="22"/>
              </w:rPr>
              <w:t>TAF</w:t>
            </w:r>
          </w:p>
        </w:tc>
        <w:tc>
          <w:tcPr>
            <w:tcW w:w="1199" w:type="dxa"/>
            <w:tcBorders>
              <w:bottom w:val="single" w:sz="8"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1" w:type="dxa"/>
            <w:tcBorders>
              <w:bottom w:val="single" w:sz="8" w:space="0" w:color="000000"/>
              <w:right w:val="single" w:sz="8" w:space="0" w:color="000000"/>
            </w:tcBorders>
            <w:shd w:fill="FFFFFF" w:val="clear"/>
            <w:vAlign w:val="center"/>
          </w:tcPr>
          <w:p>
            <w:pPr>
              <w:pStyle w:val="Normal"/>
              <w:jc w:val="center"/>
              <w:rPr>
                <w:color w:val="000000"/>
                <w:sz w:val="22"/>
                <w:szCs w:val="22"/>
              </w:rPr>
            </w:pPr>
            <w:r>
              <w:rPr/>
            </w:r>
          </w:p>
        </w:tc>
      </w:tr>
    </w:tbl>
    <w:p>
      <w:pPr>
        <w:pStyle w:val="Normal"/>
        <w:jc w:val="center"/>
        <w:rPr/>
      </w:pPr>
      <w:r>
        <w:rPr/>
        <w:drawing>
          <wp:inline distT="0" distB="0" distL="0" distR="0">
            <wp:extent cx="5400040" cy="200533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2"/>
                    <a:stretch>
                      <a:fillRect/>
                    </a:stretch>
                  </pic:blipFill>
                  <pic:spPr bwMode="auto">
                    <a:xfrm>
                      <a:off x="0" y="0"/>
                      <a:ext cx="5400040" cy="2005330"/>
                    </a:xfrm>
                    <a:prstGeom prst="rect">
                      <a:avLst/>
                    </a:prstGeom>
                  </pic:spPr>
                </pic:pic>
              </a:graphicData>
            </a:graphic>
          </wp:inline>
        </w:drawing>
      </w:r>
    </w:p>
    <w:p>
      <w:pPr>
        <w:pStyle w:val="Normal"/>
        <w:jc w:val="center"/>
        <w:rPr/>
      </w:pPr>
      <w:r>
        <w:rPr>
          <w:i/>
          <w:sz w:val="18"/>
        </w:rPr>
        <w:t>Graphique 1 – Emplois et ressources du projet (millions de F CFA)</w:t>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4" w:name="__RefHeading___Toc234831723"/>
      <w:bookmarkEnd w:id="24"/>
      <w:r>
        <w:rPr>
          <w:rFonts w:cs="Times New Roman" w:ascii="Times New Roman" w:hAnsi="Times New Roman"/>
          <w:i w:val="false"/>
          <w:iCs w:val="false"/>
          <w:lang w:val="fr-CI"/>
        </w:rPr>
        <w:t>Compte d'exploitation prévisionnel</w:t>
      </w:r>
    </w:p>
    <w:tbl>
      <w:tblPr>
        <w:tblW w:w="9928" w:type="dxa"/>
        <w:jc w:val="left"/>
        <w:tblInd w:w="65" w:type="dxa"/>
        <w:tblLayout w:type="fixed"/>
        <w:tblCellMar>
          <w:top w:w="0" w:type="dxa"/>
          <w:left w:w="70" w:type="dxa"/>
          <w:bottom w:w="0" w:type="dxa"/>
          <w:right w:w="70" w:type="dxa"/>
        </w:tblCellMar>
      </w:tblPr>
      <w:tblGrid>
        <w:gridCol w:w="3124"/>
        <w:gridCol w:w="1276"/>
        <w:gridCol w:w="1416"/>
        <w:gridCol w:w="1418"/>
        <w:gridCol w:w="1418"/>
        <w:gridCol w:w="284"/>
        <w:gridCol w:w="991"/>
      </w:tblGrid>
      <w:tr>
        <w:trPr>
          <w:trHeight w:val="405" w:hRule="atLeast"/>
        </w:trPr>
        <w:tc>
          <w:tcPr>
            <w:tcW w:w="7234" w:type="dxa"/>
            <w:gridSpan w:val="4"/>
            <w:tcBorders>
              <w:top w:val="single" w:sz="4" w:space="0" w:color="000000"/>
              <w:lef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2"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1"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5" w:type="dxa"/>
            <w:gridSpan w:val="2"/>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3 150 000</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3 213 000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3 277 260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3 342 805</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3 409 661</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Achats (matières premières et autres achats)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760 000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805 600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870 048</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939 652</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1 014 824</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240 000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252 000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252 000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252 000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252 000</w:t>
            </w:r>
          </w:p>
        </w:tc>
      </w:tr>
      <w:tr>
        <w:trPr>
          <w:trHeight w:val="570"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140 000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147 000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147 000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147 000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147 000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188 123</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116 009</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40 760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right w:val="single" w:sz="4" w:space="0" w:color="000000"/>
            </w:tcBorders>
            <w:vAlign w:val="bottom"/>
          </w:tcPr>
          <w:p>
            <w:pPr>
              <w:pStyle w:val="Normal"/>
              <w:jc w:val="center"/>
              <w:rPr>
                <w:sz w:val="22"/>
                <w:szCs w:val="22"/>
              </w:rPr>
            </w:pPr>
            <w:r>
              <w:rPr>
                <w:sz w:val="22"/>
                <w:szCs w:val="22"/>
              </w:rPr>
              <w:t>473 175</w:t>
            </w:r>
          </w:p>
        </w:tc>
        <w:tc>
          <w:tcPr>
            <w:tcW w:w="1416" w:type="dxa"/>
            <w:tcBorders>
              <w:bottom w:val="single" w:sz="4" w:space="0" w:color="000000"/>
              <w:right w:val="single" w:sz="4" w:space="0" w:color="000000"/>
            </w:tcBorders>
            <w:vAlign w:val="bottom"/>
          </w:tcPr>
          <w:p>
            <w:pPr>
              <w:pStyle w:val="Normal"/>
              <w:jc w:val="center"/>
              <w:rPr>
                <w:sz w:val="22"/>
                <w:szCs w:val="22"/>
              </w:rPr>
            </w:pPr>
            <w:r>
              <w:rPr>
                <w:sz w:val="22"/>
                <w:szCs w:val="22"/>
              </w:rPr>
              <w:t>463 175</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463 175</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463 175</w:t>
            </w:r>
          </w:p>
        </w:tc>
        <w:tc>
          <w:tcPr>
            <w:tcW w:w="1275" w:type="dxa"/>
            <w:gridSpan w:val="2"/>
            <w:tcBorders>
              <w:bottom w:val="single" w:sz="4" w:space="0" w:color="000000"/>
              <w:right w:val="single" w:sz="4" w:space="0" w:color="000000"/>
            </w:tcBorders>
            <w:vAlign w:val="bottom"/>
          </w:tcPr>
          <w:p>
            <w:pPr>
              <w:pStyle w:val="Normal"/>
              <w:jc w:val="center"/>
              <w:rPr>
                <w:sz w:val="22"/>
                <w:szCs w:val="22"/>
              </w:rPr>
            </w:pPr>
            <w:r>
              <w:rPr>
                <w:sz w:val="22"/>
                <w:szCs w:val="22"/>
              </w:rPr>
              <w:t>33 800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1 801 298</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1 783 784</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1 772 983</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1 801 827</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1 447 624</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1 348 702</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1 429 216</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1 504 277</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1 540 978</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1 962 037</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21 600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22 680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22 680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22 680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22 680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1 327 102</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1 406 536</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1 481 597</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1 518 298</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1 939 357</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1 800 277</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1 869 711</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1 944 772</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1 981 473</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1 973 157</w:t>
            </w:r>
          </w:p>
        </w:tc>
      </w:tr>
      <w:tr>
        <w:trPr>
          <w:trHeight w:val="360" w:hRule="atLeast"/>
        </w:trPr>
        <w:tc>
          <w:tcPr>
            <w:tcW w:w="3124" w:type="dxa"/>
            <w:tcBorders>
              <w:left w:val="single" w:sz="4" w:space="0" w:color="000000"/>
              <w:bottom w:val="single" w:sz="4" w:space="0" w:color="000000"/>
              <w:right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1 800 277</w:t>
            </w:r>
          </w:p>
        </w:tc>
        <w:tc>
          <w:tcPr>
            <w:tcW w:w="141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3 669 987</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5 614 759</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7 596 233</w:t>
            </w:r>
          </w:p>
        </w:tc>
        <w:tc>
          <w:tcPr>
            <w:tcW w:w="1275" w:type="dxa"/>
            <w:gridSpan w:val="2"/>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9 569 390</w:t>
            </w:r>
          </w:p>
        </w:tc>
      </w:tr>
    </w:tbl>
    <w:p>
      <w:pPr>
        <w:pStyle w:val="Normal"/>
        <w:jc w:val="center"/>
        <w:rPr/>
      </w:pPr>
      <w:r>
        <w:rPr/>
        <w:drawing>
          <wp:inline distT="0" distB="0" distL="0" distR="0">
            <wp:extent cx="5400040" cy="262318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3"/>
                    <a:stretch>
                      <a:fillRect/>
                    </a:stretch>
                  </pic:blipFill>
                  <pic:spPr bwMode="auto">
                    <a:xfrm>
                      <a:off x="0" y="0"/>
                      <a:ext cx="5400040" cy="2623185"/>
                    </a:xfrm>
                    <a:prstGeom prst="rect">
                      <a:avLst/>
                    </a:prstGeom>
                  </pic:spPr>
                </pic:pic>
              </a:graphicData>
            </a:graphic>
          </wp:inline>
        </w:drawing>
      </w:r>
    </w:p>
    <w:p>
      <w:pPr>
        <w:pStyle w:val="Normal"/>
        <w:jc w:val="center"/>
        <w:rPr/>
      </w:pPr>
      <w:r>
        <w:rPr>
          <w:i/>
          <w:sz w:val="18"/>
        </w:rPr>
        <w:t>Graphique 2 – Chiffre d'affaires et résultat net sur 5 ans (millions de F CFA)</w:t>
      </w:r>
    </w:p>
    <w:p>
      <w:pPr>
        <w:pStyle w:val="Normal"/>
        <w:jc w:val="center"/>
        <w:rPr>
          <w:sz w:val="22"/>
          <w:szCs w:val="22"/>
          <w:lang w:val="fr-CI"/>
        </w:rPr>
      </w:pPr>
      <w:r>
        <w:rPr>
          <w:sz w:val="22"/>
          <w:szCs w:val="22"/>
          <w:lang w:val="fr-CI"/>
        </w:rPr>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5" w:name="__RefHeading___Toc234831724"/>
      <w:bookmarkEnd w:id="25"/>
      <w:r>
        <w:rPr>
          <w:rFonts w:cs="Times New Roman" w:ascii="Times New Roman" w:hAnsi="Times New Roman"/>
          <w:i w:val="false"/>
          <w:iCs w:val="false"/>
          <w:lang w:val="fr-CI"/>
        </w:rPr>
        <w:t>Tableau de financement annuel</w:t>
      </w:r>
    </w:p>
    <w:tbl>
      <w:tblPr>
        <w:tblW w:w="10070" w:type="dxa"/>
        <w:jc w:val="left"/>
        <w:tblInd w:w="65" w:type="dxa"/>
        <w:tblLayout w:type="fixed"/>
        <w:tblCellMar>
          <w:top w:w="0" w:type="dxa"/>
          <w:left w:w="70" w:type="dxa"/>
          <w:bottom w:w="0" w:type="dxa"/>
          <w:right w:w="70" w:type="dxa"/>
        </w:tblCellMar>
      </w:tblPr>
      <w:tblGrid>
        <w:gridCol w:w="2556"/>
        <w:gridCol w:w="1276"/>
        <w:gridCol w:w="1134"/>
        <w:gridCol w:w="1135"/>
        <w:gridCol w:w="1275"/>
        <w:gridCol w:w="142"/>
        <w:gridCol w:w="1276"/>
        <w:gridCol w:w="1275"/>
      </w:tblGrid>
      <w:tr>
        <w:trPr>
          <w:trHeight w:val="405" w:hRule="atLeast"/>
        </w:trPr>
        <w:tc>
          <w:tcPr>
            <w:tcW w:w="3832" w:type="dxa"/>
            <w:gridSpan w:val="2"/>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135"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276" w:type="dxa"/>
            <w:tcBorders>
              <w:top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32"/>
                <w:szCs w:val="32"/>
              </w:rPr>
            </w:pPr>
            <w:r>
              <w:rPr/>
            </w:r>
          </w:p>
        </w:tc>
        <w:tc>
          <w:tcPr>
            <w:tcW w:w="1275"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
          </w:p>
        </w:tc>
      </w:tr>
      <w:tr>
        <w:trPr>
          <w:trHeight w:val="375" w:hRule="atLeast"/>
        </w:trPr>
        <w:tc>
          <w:tcPr>
            <w:tcW w:w="255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5"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245 650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Crédit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2 210 850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473 175</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463 175</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463 175</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463 175</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33 800</w:t>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1 327 102</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1 406 536</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1 481 597</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1 518 298</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1 939 357</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2 456 500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1 800 277</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1 869 711</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1 944 772</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1 981 473</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1 973 157</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1 886 500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560 000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602 959</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803 945</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803 945</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2 456 500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602 959</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803 945</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803 945</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r>
      <w:tr>
        <w:trPr>
          <w:trHeight w:val="300" w:hRule="atLeast"/>
        </w:trPr>
        <w:tc>
          <w:tcPr>
            <w:tcW w:w="2556"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5"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1 197 318</w:t>
            </w:r>
          </w:p>
        </w:tc>
        <w:tc>
          <w:tcPr>
            <w:tcW w:w="113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1 065 765</w:t>
            </w:r>
          </w:p>
        </w:tc>
        <w:tc>
          <w:tcPr>
            <w:tcW w:w="127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1 140 827</w:t>
            </w:r>
          </w:p>
        </w:tc>
        <w:tc>
          <w:tcPr>
            <w:tcW w:w="1418" w:type="dxa"/>
            <w:gridSpan w:val="2"/>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1 981 473</w:t>
            </w:r>
          </w:p>
        </w:tc>
        <w:tc>
          <w:tcPr>
            <w:tcW w:w="1275"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i/>
                <w:color w:val="FFFFFF"/>
                <w:sz w:val="22"/>
              </w:rPr>
              <w:t>1 973 157</w:t>
            </w:r>
          </w:p>
        </w:tc>
      </w:tr>
      <w:tr>
        <w:trPr>
          <w:trHeight w:val="315" w:hRule="atLeast"/>
        </w:trPr>
        <w:tc>
          <w:tcPr>
            <w:tcW w:w="2556"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1 197 318</w:t>
            </w:r>
          </w:p>
        </w:tc>
        <w:tc>
          <w:tcPr>
            <w:tcW w:w="113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2 263 083</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3 403 909</w:t>
            </w:r>
          </w:p>
        </w:tc>
        <w:tc>
          <w:tcPr>
            <w:tcW w:w="1418" w:type="dxa"/>
            <w:gridSpan w:val="2"/>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5 385 383</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7 358 540</w:t>
            </w:r>
          </w:p>
        </w:tc>
      </w:tr>
    </w:tbl>
    <w:p>
      <w:pPr>
        <w:pStyle w:val="Normal"/>
        <w:jc w:val="center"/>
        <w:rPr/>
      </w:pPr>
      <w:r>
        <w:rPr/>
        <w:drawing>
          <wp:inline distT="0" distB="0" distL="0" distR="0">
            <wp:extent cx="5400040" cy="246824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4"/>
                    <a:stretch>
                      <a:fillRect/>
                    </a:stretch>
                  </pic:blipFill>
                  <pic:spPr bwMode="auto">
                    <a:xfrm>
                      <a:off x="0" y="0"/>
                      <a:ext cx="5400040" cy="2468245"/>
                    </a:xfrm>
                    <a:prstGeom prst="rect">
                      <a:avLst/>
                    </a:prstGeom>
                  </pic:spPr>
                </pic:pic>
              </a:graphicData>
            </a:graphic>
          </wp:inline>
        </w:drawing>
      </w:r>
    </w:p>
    <w:p>
      <w:pPr>
        <w:pStyle w:val="Normal"/>
        <w:jc w:val="center"/>
        <w:rPr/>
      </w:pPr>
      <w:r>
        <w:rPr>
          <w:i/>
          <w:sz w:val="18"/>
        </w:rPr>
        <w:t>Graphique 3 – Trésorerie cumulée sur 5 ans (millions de F CFA)</w:t>
      </w:r>
    </w:p>
    <w:p>
      <w:pPr>
        <w:pStyle w:val="Normal"/>
        <w:rPr>
          <w:lang w:val="fr-CI"/>
        </w:rPr>
      </w:pPr>
      <w:r>
        <w:rPr>
          <w:lang w:val="fr-CI"/>
        </w:rPr>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6" w:name="__RefHeading___Toc234831725"/>
      <w:bookmarkEnd w:id="26"/>
      <w:r>
        <w:rPr>
          <w:rFonts w:cs="Times New Roman" w:ascii="Times New Roman" w:hAnsi="Times New Roman"/>
          <w:i w:val="false"/>
          <w:iCs w:val="false"/>
          <w:lang w:val="fr-CI"/>
        </w:rPr>
        <w:t>Bilan de départ</w:t>
      </w:r>
    </w:p>
    <w:tbl>
      <w:tblPr>
        <w:tblW w:w="16240" w:type="dxa"/>
        <w:jc w:val="left"/>
        <w:tblInd w:w="65" w:type="dxa"/>
        <w:tblLayout w:type="fixed"/>
        <w:tblCellMar>
          <w:top w:w="0" w:type="dxa"/>
          <w:left w:w="70" w:type="dxa"/>
          <w:bottom w:w="0" w:type="dxa"/>
          <w:right w:w="70" w:type="dxa"/>
        </w:tblCellMar>
      </w:tblPr>
      <w:tblGrid>
        <w:gridCol w:w="9860"/>
        <w:gridCol w:w="1559"/>
        <w:gridCol w:w="3403"/>
        <w:gridCol w:w="1417"/>
      </w:tblGrid>
      <w:tr>
        <w:trPr>
          <w:trHeight w:val="300" w:hRule="atLeast"/>
        </w:trPr>
        <w:tc>
          <w:tcPr>
            <w:tcW w:w="9860" w:type="dxa"/>
            <w:tcBorders/>
            <w:shd w:fill="FFFFFF" w:val="clear"/>
            <w:vAlign w:val="bottom"/>
          </w:tcPr>
          <w:tbl>
            <w:tblPr>
              <w:tblW w:w="9711" w:type="dxa"/>
              <w:jc w:val="left"/>
              <w:tblInd w:w="225" w:type="dxa"/>
              <w:tblLayout w:type="fixed"/>
              <w:tblCellMar>
                <w:top w:w="0" w:type="dxa"/>
                <w:left w:w="70" w:type="dxa"/>
                <w:bottom w:w="0" w:type="dxa"/>
                <w:right w:w="70" w:type="dxa"/>
              </w:tblCellMar>
            </w:tblPr>
            <w:tblGrid>
              <w:gridCol w:w="3540"/>
              <w:gridCol w:w="1560"/>
              <w:gridCol w:w="3260"/>
              <w:gridCol w:w="1350"/>
            </w:tblGrid>
            <w:tr>
              <w:trPr>
                <w:trHeight w:val="360" w:hRule="atLeast"/>
              </w:trPr>
              <w:tc>
                <w:tcPr>
                  <w:tcW w:w="9710" w:type="dxa"/>
                  <w:gridSpan w:val="4"/>
                  <w:tcBorders>
                    <w:top w:val="single" w:sz="4" w:space="0" w:color="000000"/>
                    <w:lef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IMMOBILISE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incorporelles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(a)+(b)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245 650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Nature (a)</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Espèces (b)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245 650</w:t>
                  </w:r>
                </w:p>
              </w:tc>
            </w:tr>
            <w:tr>
              <w:trPr>
                <w:trHeight w:val="349"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Frais de constitution</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Résultat net de l'exercice (bénéfice + ou perte -)</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Autres capitaux propres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Préparation du terrain et confection des billons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20 000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CAPITAUX PROPRES (I)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245 650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Bassin de rétention d’eau</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350 000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DETTES FINANCIERES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Plastique pour paillage 1 500 m²</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Emprunts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2 210 850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Panneaux solaires 550 W</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180 000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de crédit-bail et contrats assimilés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Pompe de surface et accessoires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450 000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financières diverses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Système d’irrigation goutte-à-goutte (tuyaux, vannes, injecteur, filtre, gaine)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417 500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2 210 850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Matériel divers (dabas, pelles, râteaux, brouettes, mètre, houes, gants, bottes, pulvérisateur)</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169 000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2 456 500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1 896 500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CIRCULANT</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PASSIF CIRCULANT</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Stocks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Matières premières et autres approvisionnements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190 000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En-cours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Créances et emplois assimilés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Clients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TRESORERIE – PASSIF</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190 000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TRESORERIE - ACTIF</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Banques, caisse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rPr>
                    <w:t>370 000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370 000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0" w:type="dxa"/>
                  <w:tcBorders>
                    <w:top w:val="single" w:sz="4" w:space="0" w:color="000000"/>
                    <w:left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6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2 456 500</w:t>
                  </w:r>
                </w:p>
              </w:tc>
              <w:tc>
                <w:tcPr>
                  <w:tcW w:w="3260" w:type="dxa"/>
                  <w:tcBorders>
                    <w:top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2 456 500</w:t>
                  </w:r>
                </w:p>
              </w:tc>
            </w:tr>
            <w:tr>
              <w:trPr>
                <w:trHeight w:val="390" w:hRule="atLeast"/>
              </w:trPr>
              <w:tc>
                <w:tcPr>
                  <w:tcW w:w="354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6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0"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
          </w:p>
        </w:tc>
        <w:tc>
          <w:tcPr>
            <w:tcW w:w="1559" w:type="dxa"/>
            <w:tcBorders/>
            <w:shd w:fill="FFFFFF" w:val="clear"/>
            <w:vAlign w:val="bottom"/>
          </w:tcPr>
          <w:p>
            <w:pPr>
              <w:pStyle w:val="Normal"/>
              <w:rPr>
                <w:rFonts w:ascii="Cambria" w:hAnsi="Cambria" w:cs="Calibri"/>
                <w:color w:val="000000"/>
                <w:sz w:val="22"/>
                <w:szCs w:val="22"/>
              </w:rPr>
            </w:pPr>
            <w:r>
              <w:rPr/>
            </w:r>
          </w:p>
        </w:tc>
        <w:tc>
          <w:tcPr>
            <w:tcW w:w="3403" w:type="dxa"/>
            <w:tcBorders/>
            <w:shd w:fill="FFFFFF" w:val="clear"/>
            <w:vAlign w:val="bottom"/>
          </w:tcPr>
          <w:p>
            <w:pPr>
              <w:pStyle w:val="Normal"/>
              <w:rPr>
                <w:rFonts w:ascii="Cambria" w:hAnsi="Cambria" w:cs="Calibri"/>
                <w:color w:val="000000"/>
                <w:sz w:val="22"/>
                <w:szCs w:val="22"/>
              </w:rPr>
            </w:pPr>
            <w:r>
              <w:rPr/>
            </w:r>
          </w:p>
        </w:tc>
        <w:tc>
          <w:tcPr>
            <w:tcW w:w="1417" w:type="dxa"/>
            <w:tcBorders/>
            <w:shd w:fill="FFFFFF" w:val="clear"/>
            <w:vAlign w:val="bottom"/>
          </w:tcPr>
          <w:p>
            <w:pPr>
              <w:pStyle w:val="Normal"/>
              <w:rPr>
                <w:rFonts w:ascii="Cambria" w:hAnsi="Cambria" w:cs="Calibri"/>
                <w:color w:val="000000"/>
                <w:sz w:val="22"/>
                <w:szCs w:val="22"/>
              </w:rPr>
            </w:pPr>
            <w:r>
              <w:rPr/>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2 456 500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3"/>
        </w:numPr>
        <w:spacing w:before="0" w:after="120"/>
        <w:ind w:hanging="491" w:left="851" w:right="0"/>
        <w:jc w:val="both"/>
        <w:rPr>
          <w:rFonts w:ascii="Times New Roman" w:hAnsi="Times New Roman" w:cs="Times New Roman"/>
          <w:i w:val="false"/>
          <w:i w:val="false"/>
          <w:iCs w:val="false"/>
          <w:lang w:val="fr-CI"/>
        </w:rPr>
      </w:pPr>
      <w:bookmarkStart w:id="27" w:name="__RefHeading___Toc234831726"/>
      <w:bookmarkEnd w:id="27"/>
      <w:r>
        <w:rPr>
          <w:rFonts w:cs="Times New Roman" w:ascii="Times New Roman" w:hAnsi="Times New Roman"/>
          <w:i w:val="false"/>
          <w:iCs w:val="false"/>
          <w:lang w:val="fr-CI"/>
        </w:rPr>
        <w:t>Calcul de rentabilité</w:t>
      </w:r>
    </w:p>
    <w:tbl>
      <w:tblPr>
        <w:tblW w:w="9923" w:type="dxa"/>
        <w:jc w:val="left"/>
        <w:tblInd w:w="70" w:type="dxa"/>
        <w:tblLayout w:type="fixed"/>
        <w:tblCellMar>
          <w:top w:w="0" w:type="dxa"/>
          <w:left w:w="70" w:type="dxa"/>
          <w:bottom w:w="0" w:type="dxa"/>
          <w:right w:w="70" w:type="dxa"/>
        </w:tblCellMar>
      </w:tblPr>
      <w:tblGrid>
        <w:gridCol w:w="3544"/>
        <w:gridCol w:w="284"/>
        <w:gridCol w:w="2552"/>
        <w:gridCol w:w="142"/>
        <w:gridCol w:w="1559"/>
        <w:gridCol w:w="142"/>
        <w:gridCol w:w="1419"/>
        <w:gridCol w:w="280"/>
      </w:tblGrid>
      <w:tr>
        <w:trPr>
          <w:trHeight w:val="405" w:hRule="atLeast"/>
        </w:trPr>
        <w:tc>
          <w:tcPr>
            <w:tcW w:w="9642" w:type="dxa"/>
            <w:gridSpan w:val="7"/>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0" w:type="dxa"/>
            <w:tcBorders/>
            <w:shd w:fill="166B7F" w:val="clear"/>
            <w:vAlign w:val="bottom"/>
          </w:tcPr>
          <w:p>
            <w:pPr>
              <w:pStyle w:val="Normal"/>
              <w:rPr>
                <w:rFonts w:ascii="Cambria" w:hAnsi="Cambria" w:cs="Calibri"/>
                <w:b/>
                <w:bCs/>
                <w:color w:val="FFFFFF"/>
                <w:sz w:val="22"/>
                <w:szCs w:val="22"/>
              </w:rPr>
            </w:pPr>
            <w:r>
              <w:rPr/>
            </w:r>
          </w:p>
        </w:tc>
      </w:tr>
      <w:tr>
        <w:trPr>
          <w:trHeight w:val="300" w:hRule="atLeast"/>
        </w:trPr>
        <w:tc>
          <w:tcPr>
            <w:tcW w:w="3544" w:type="dxa"/>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0" w:type="dxa"/>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699" w:type="dxa"/>
            <w:gridSpan w:val="2"/>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240 000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252 000</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252 000</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473 175</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463 175</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463 175</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188 123</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116 009</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40 760</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1 348 702</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1 429 216</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1 504 277</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2 250 000</w:t>
            </w:r>
          </w:p>
        </w:tc>
        <w:tc>
          <w:tcPr>
            <w:tcW w:w="1843" w:type="dxa"/>
            <w:gridSpan w:val="3"/>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2 260 400</w:t>
            </w:r>
          </w:p>
        </w:tc>
        <w:tc>
          <w:tcPr>
            <w:tcW w:w="1699" w:type="dxa"/>
            <w:gridSpan w:val="2"/>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2 260 212</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3 150 000</w:t>
            </w:r>
          </w:p>
        </w:tc>
        <w:tc>
          <w:tcPr>
            <w:tcW w:w="1843" w:type="dxa"/>
            <w:gridSpan w:val="3"/>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3 213 000</w:t>
            </w:r>
          </w:p>
        </w:tc>
        <w:tc>
          <w:tcPr>
            <w:tcW w:w="1699"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3 277 260</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71%</w:t>
            </w:r>
          </w:p>
        </w:tc>
        <w:tc>
          <w:tcPr>
            <w:tcW w:w="1843" w:type="dxa"/>
            <w:gridSpan w:val="3"/>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70%</w:t>
            </w:r>
          </w:p>
        </w:tc>
        <w:tc>
          <w:tcPr>
            <w:tcW w:w="1699"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69%</w:t>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70%</w:t>
            </w:r>
          </w:p>
        </w:tc>
        <w:tc>
          <w:tcPr>
            <w:tcW w:w="1843" w:type="dxa"/>
            <w:gridSpan w:val="3"/>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70%</w:t>
            </w:r>
          </w:p>
        </w:tc>
        <w:tc>
          <w:tcPr>
            <w:tcW w:w="1699" w:type="dxa"/>
            <w:gridSpan w:val="2"/>
            <w:tcBorders/>
            <w:shd w:fill="F4C9C8" w:val="clear"/>
            <w:vAlign w:val="bottom"/>
          </w:tcPr>
          <w:p>
            <w:pPr>
              <w:pStyle w:val="Normal"/>
              <w:jc w:val="center"/>
              <w:rPr>
                <w:rFonts w:ascii="Cambria" w:hAnsi="Cambria" w:cs="Calibri"/>
                <w:b/>
                <w:bCs/>
                <w:i/>
                <w:i/>
                <w:iCs/>
                <w:sz w:val="22"/>
                <w:szCs w:val="22"/>
              </w:rPr>
            </w:pPr>
            <w:r>
              <w:rPr/>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870 048</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252 000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22 680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45"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147 000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40 760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463 175</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w:t>
            </w:r>
          </w:p>
        </w:tc>
        <w:tc>
          <w:tcPr>
            <w:tcW w:w="2836" w:type="dxa"/>
            <w:gridSpan w:val="2"/>
            <w:tcBorders>
              <w:bottom w:val="single" w:sz="4" w:space="0" w:color="000000"/>
            </w:tcBorders>
            <w:shd w:fill="F4C9C8" w:val="clear"/>
            <w:vAlign w:val="bottom"/>
          </w:tcPr>
          <w:p>
            <w:pPr>
              <w:pStyle w:val="Normal"/>
              <w:jc w:val="right"/>
              <w:rPr>
                <w:rFonts w:ascii="Cambria" w:hAnsi="Cambria" w:cs="Calibri"/>
                <w:b/>
                <w:bCs/>
                <w:i/>
                <w:i/>
                <w:iCs/>
                <w:sz w:val="22"/>
                <w:szCs w:val="22"/>
              </w:rPr>
            </w:pPr>
            <w:r>
              <w:rPr>
                <w:rFonts w:cs="Calibri" w:ascii="Cambria" w:hAnsi="Cambria"/>
                <w:b/>
                <w:bCs/>
                <w:i/>
                <w:iCs/>
                <w:sz w:val="22"/>
                <w:szCs w:val="22"/>
              </w:rPr>
              <w:t>778 615</w:t>
            </w:r>
          </w:p>
        </w:tc>
        <w:tc>
          <w:tcPr>
            <w:tcW w:w="1843" w:type="dxa"/>
            <w:gridSpan w:val="3"/>
            <w:tcBorders>
              <w:left w:val="single" w:sz="4" w:space="0" w:color="000000"/>
              <w:bottom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1 017 048</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 (année 3)</w:t>
            </w:r>
          </w:p>
        </w:tc>
        <w:tc>
          <w:tcPr>
            <w:tcW w:w="2836" w:type="dxa"/>
            <w:gridSpan w:val="2"/>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34%</w:t>
            </w:r>
          </w:p>
        </w:tc>
        <w:tc>
          <w:tcPr>
            <w:tcW w:w="1843" w:type="dxa"/>
            <w:gridSpan w:val="3"/>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xml:space="preserve">    </w:t>
            </w:r>
            <w:r>
              <w:rPr>
                <w:rFonts w:cs="Calibri" w:ascii="Cambria" w:hAnsi="Cambria"/>
                <w:b/>
                <w:bCs/>
                <w:i/>
                <w:iCs/>
                <w:color w:val="FFFFFF"/>
                <w:sz w:val="22"/>
                <w:szCs w:val="22"/>
              </w:rPr>
              <w:t>Seuil de rentabilité (année 1)</w:t>
            </w:r>
          </w:p>
        </w:tc>
        <w:tc>
          <w:tcPr>
            <w:tcW w:w="2836" w:type="dxa"/>
            <w:gridSpan w:val="2"/>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41%</w:t>
            </w:r>
          </w:p>
        </w:tc>
        <w:tc>
          <w:tcPr>
            <w:tcW w:w="1843" w:type="dxa"/>
            <w:gridSpan w:val="3"/>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18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70,7%</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shd w:fill="21A6C9" w:val="clear"/>
            <w:vAlign w:val="bottom"/>
          </w:tcPr>
          <w:p>
            <w:pPr>
              <w:pStyle w:val="Normal"/>
              <w:ind w:firstLine="212" w:left="-212" w:right="0"/>
              <w:jc w:val="center"/>
              <w:rPr>
                <w:rFonts w:ascii="Cambria" w:hAnsi="Cambria" w:cs="Cambria"/>
                <w:b/>
                <w:i/>
                <w:i/>
                <w:color w:val="FFFFFF"/>
                <w:sz w:val="22"/>
              </w:rPr>
            </w:pPr>
            <w:r>
              <w:rPr>
                <w:rFonts w:cs="Cambria" w:ascii="Cambria" w:hAnsi="Cambria"/>
                <w:b/>
                <w:i/>
                <w:color w:val="FFFFFF"/>
                <w:sz w:val="22"/>
              </w:rPr>
              <w:t>5 156 561</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135"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6380" w:type="dxa"/>
            <w:gridSpan w:val="3"/>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1 an et 4 mois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1 an et 6 mois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2552" w:type="dxa"/>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585" w:hRule="atLeast"/>
        </w:trPr>
        <w:tc>
          <w:tcPr>
            <w:tcW w:w="3828" w:type="dxa"/>
            <w:gridSpan w:val="2"/>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marge nette de la troisième année</w:t>
              <w:br/>
            </w:r>
            <w:r>
              <w:rPr>
                <w:rFonts w:cs="Calibri" w:ascii="Cambira;Cambria;Cambria" w:hAnsi="Cambira;Cambria;Cambria"/>
                <w:i/>
                <w:iCs/>
                <w:sz w:val="22"/>
                <w:szCs w:val="22"/>
              </w:rPr>
              <w:t>(résultat net/Chiffres d'affaires)</w:t>
            </w:r>
          </w:p>
        </w:tc>
        <w:tc>
          <w:tcPr>
            <w:tcW w:w="2552" w:type="dxa"/>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45%</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90" w:hRule="atLeast"/>
        </w:trPr>
        <w:tc>
          <w:tcPr>
            <w:tcW w:w="3828" w:type="dxa"/>
            <w:gridSpan w:val="2"/>
            <w:tcBorders/>
            <w:shd w:fill="FFFFFF" w:val="clear"/>
            <w:vAlign w:val="center"/>
          </w:tcPr>
          <w:p>
            <w:pPr>
              <w:pStyle w:val="Normal"/>
              <w:rPr>
                <w:rFonts w:ascii="Cambira;Cambria;Cambria" w:hAnsi="Cambira;Cambria;Cambria" w:cs="Calibri"/>
                <w:b/>
                <w:bCs/>
                <w:color w:val="000080"/>
                <w:sz w:val="22"/>
                <w:szCs w:val="22"/>
              </w:rPr>
            </w:pPr>
            <w:r>
              <w:rPr/>
            </w:r>
          </w:p>
        </w:tc>
        <w:tc>
          <w:tcPr>
            <w:tcW w:w="2694" w:type="dxa"/>
            <w:gridSpan w:val="2"/>
            <w:tcBorders/>
            <w:shd w:fill="FFFFFF" w:val="clear"/>
            <w:vAlign w:val="center"/>
          </w:tcPr>
          <w:p>
            <w:pPr>
              <w:pStyle w:val="Normal"/>
              <w:rPr>
                <w:rFonts w:ascii="Cambira;Cambria;Cambria" w:hAnsi="Cambira;Cambria;Cambria" w:cs="Calibri"/>
                <w:b/>
                <w:bCs/>
                <w:color w:val="000080"/>
                <w:sz w:val="22"/>
                <w:szCs w:val="22"/>
              </w:rPr>
            </w:pPr>
            <w:r>
              <w:rPr/>
            </w:r>
          </w:p>
        </w:tc>
        <w:tc>
          <w:tcPr>
            <w:tcW w:w="1559" w:type="dxa"/>
            <w:tcBorders/>
            <w:shd w:fill="FFFFFF" w:val="clear"/>
            <w:vAlign w:val="bottom"/>
          </w:tcPr>
          <w:p>
            <w:pPr>
              <w:pStyle w:val="Normal"/>
              <w:jc w:val="center"/>
              <w:rPr>
                <w:rFonts w:ascii="Cambira;Cambria;Cambria" w:hAnsi="Cambira;Cambria;Cambria" w:cs="Calibri"/>
                <w:color w:val="000000"/>
                <w:sz w:val="22"/>
                <w:szCs w:val="22"/>
              </w:rPr>
            </w:pPr>
            <w:r>
              <w:rPr/>
            </w:r>
          </w:p>
        </w:tc>
        <w:tc>
          <w:tcPr>
            <w:tcW w:w="1841" w:type="dxa"/>
            <w:gridSpan w:val="3"/>
            <w:tcBorders/>
            <w:shd w:fill="FFFFFF" w:val="clear"/>
            <w:vAlign w:val="bottom"/>
          </w:tcPr>
          <w:p>
            <w:pPr>
              <w:pStyle w:val="Normal"/>
              <w:rPr>
                <w:rFonts w:ascii="Cambira;Cambria;Cambria" w:hAnsi="Cambira;Cambria;Cambria" w:cs="Calibri"/>
                <w:color w:val="000000"/>
                <w:sz w:val="22"/>
                <w:szCs w:val="22"/>
              </w:rPr>
            </w:pPr>
            <w:r>
              <w:rPr/>
            </w:r>
          </w:p>
        </w:tc>
      </w:tr>
    </w:tbl>
    <w:p>
      <w:pPr>
        <w:pStyle w:val="Normal"/>
        <w:rPr/>
      </w:pPr>
      <w:r>
        <w:rPr>
          <w:b/>
          <w:i w:val="false"/>
          <w:sz w:val="22"/>
        </w:rPr>
        <w:t>Analyse de sensibilité</w:t>
      </w:r>
    </w:p>
    <w:p>
      <w:pPr>
        <w:pStyle w:val="Normal"/>
        <w:rPr/>
      </w:pPr>
      <w:r>
        <w:rPr>
          <w:b w:val="false"/>
          <w:i w:val="false"/>
          <w:sz w:val="20"/>
        </w:rPr>
        <w:t>Les indicateurs ont été recalculés dans l’hypothèse d’une baisse de 20 % puis de 30 % des quantités vendues (rendement) ou des prix de vente, toutes les charges étant maintenues.</w:t>
      </w:r>
    </w:p>
    <w:tbl>
      <w:tblPr>
        <w:tblW w:w="9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8"/>
        <w:gridCol w:w="1928"/>
        <w:gridCol w:w="1928"/>
        <w:gridCol w:w="1928"/>
        <w:gridCol w:w="1928"/>
      </w:tblGrid>
      <w:tr>
        <w:trPr/>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Scénario</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Chiffre d’affaires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Résultat net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TRI</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Couverture du principal an 2 (CAF / principal)</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Scénario de base</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3 150 000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1 327 102</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70,7%</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2,33</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−20 %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2 520 000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697 102</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41,3%</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1,53</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−30 %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2 205 000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382 102</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25,2%</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1,13</w:t>
            </w:r>
          </w:p>
        </w:tc>
      </w:tr>
    </w:tbl>
    <w:p>
      <w:pPr>
        <w:pStyle w:val="Normal"/>
        <w:rPr/>
      </w:pPr>
      <w:r>
        <w:rPr>
          <w:b w:val="false"/>
          <w:i/>
          <w:sz w:val="18"/>
        </w:rPr>
        <w:t>Valeur actuelle nette du scénario de base : 5 156 561 F CFA à 8 % (taux du prêt), 4 765 015 F CFA à 10 % et 4 404 547 F CFA à 12 % (coût d’opportunité du capital). Le coefficient de couverture rapporte la capacité d’autofinancement de l’année 2 au principal remboursé la même année ; il doit rester supérieur à 1,2 pour que le remboursement soit assuré.</w:t>
      </w:r>
    </w:p>
    <w:p>
      <w:pPr>
        <w:pStyle w:val="Normal"/>
        <w:rPr/>
      </w:pPr>
      <w:r>
        <w:rPr/>
      </w:r>
    </w:p>
    <w:p>
      <w:pPr>
        <w:pStyle w:val="Heading1"/>
        <w:keepLines/>
        <w:numPr>
          <w:ilvl w:val="0"/>
          <w:numId w:val="3"/>
        </w:numPr>
        <w:spacing w:before="240" w:after="0"/>
        <w:ind w:hanging="431" w:left="431" w:right="0"/>
        <w:jc w:val="both"/>
        <w:rPr>
          <w:rFonts w:ascii="Times New Roman" w:hAnsi="Times New Roman" w:cs="Times New Roman"/>
          <w:caps/>
          <w:color w:val="166B7F"/>
          <w:kern w:val="0"/>
          <w:sz w:val="24"/>
          <w:szCs w:val="24"/>
          <w:lang w:eastAsia="en-US"/>
        </w:rPr>
      </w:pPr>
      <w:bookmarkStart w:id="28" w:name="__RefHeading___Toc234831727"/>
      <w:bookmarkEnd w:id="28"/>
      <w:r>
        <w:rPr>
          <w:rFonts w:cs="Times New Roman" w:ascii="Times New Roman" w:hAnsi="Times New Roman"/>
          <w:caps/>
          <w:color w:val="166B7F"/>
          <w:kern w:val="0"/>
          <w:sz w:val="24"/>
          <w:szCs w:val="24"/>
          <w:lang w:eastAsia="en-US"/>
        </w:rPr>
        <w:t>ANALYSE DES FORCES, FAIBLESSES, OPPORTUNITÉS ET MENACES</w:t>
      </w:r>
    </w:p>
    <w:p>
      <w:pPr>
        <w:pStyle w:val="Normal"/>
        <w:rPr>
          <w:sz w:val="22"/>
          <w:szCs w:val="22"/>
          <w:lang w:val="fr-CI"/>
        </w:rPr>
      </w:pPr>
      <w:r>
        <w:rPr>
          <w:sz w:val="22"/>
          <w:szCs w:val="22"/>
        </w:rPr>
        <w:t xml:space="preserve">L’analyse FFOM montre que l’entreprise </w:t>
      </w:r>
      <w:r>
        <w:rPr>
          <w:b/>
          <w:bCs/>
          <w:sz w:val="22"/>
          <w:szCs w:val="22"/>
        </w:rPr>
        <w:t>ZÉRÉ DÉLICE DE MOPTI</w:t>
      </w:r>
      <w:r>
        <w:rPr>
          <w:sz w:val="22"/>
          <w:szCs w:val="22"/>
        </w:rPr>
        <w:t xml:space="preserve"> dispose d’importantes forces qu’elle doit bien exploiter et mettre en valeur pour mieux se positionner face aux concurrents informels. L’expérience du promoteur Amadou Alassane TRAORÉ, sa formation modulaire de 3 mois en production horticole durable chez SIDIBE Agrotechnique</w:t>
      </w:r>
      <w:r>
        <w:rPr>
          <w:b/>
          <w:bCs/>
          <w:sz w:val="22"/>
          <w:szCs w:val="22"/>
        </w:rPr>
        <w:t>s</w:t>
      </w:r>
      <w:r>
        <w:rPr>
          <w:sz w:val="22"/>
          <w:szCs w:val="22"/>
        </w:rPr>
        <w:t xml:space="preserve">, la maîtrise des itinéraires techniques de la pastèque, l’accès à l’eau (bassin de rétention, pompe solaire, système goutte-à-goutte) et la bonne planification de la campagne constituent des atouts majeurs. La marque </w:t>
      </w:r>
      <w:r>
        <w:rPr>
          <w:b/>
          <w:bCs/>
          <w:sz w:val="22"/>
          <w:szCs w:val="22"/>
        </w:rPr>
        <w:t>ZÉRÉ DÉLICE DE MOPTI</w:t>
      </w:r>
      <w:r>
        <w:rPr>
          <w:sz w:val="22"/>
          <w:szCs w:val="22"/>
        </w:rPr>
        <w:t xml:space="preserve"> véhicule une image de fraîcheur, de qualité et de plaisir. Les opportunités doivent être bien analysées et saisies à temps, notamment la forte demande en pastèque à Mopti, Sévaré et environs, l’existence de marchés de gros, de détaillants et de revendeurs, l’appui de l’APEJ/OIT, la politique de substitution aux importations et la possibilité d’extension progressive de la superficie exploitée. Les faiblesses identifiées (insuffisance de financement propre, superficie limitée à 0,5 hectare, équipement encore faible, notoriété de la marque à construire) doivent être atténuées à travers des actions efficaces de communication, de recherche de partenariats et d’épargne sur les bénéfices. Les menaces qui sont réelles (concurrence des produits importés, aléas climatiques, ravageurs et maladies, volatilité des prix, pannes d’équipements, cherté des intrants) sont des signaux à suivre et analyser afin de mieux anticiper leurs effets néfastes pour le projet.</w:t>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tbl>
      <w:tblPr>
        <w:tblW w:w="10101" w:type="dxa"/>
        <w:jc w:val="left"/>
        <w:tblInd w:w="0" w:type="dxa"/>
        <w:tblLayout w:type="fixed"/>
        <w:tblCellMar>
          <w:top w:w="0" w:type="dxa"/>
          <w:left w:w="108" w:type="dxa"/>
          <w:bottom w:w="0" w:type="dxa"/>
          <w:right w:w="108" w:type="dxa"/>
        </w:tblCellMar>
      </w:tblPr>
      <w:tblGrid>
        <w:gridCol w:w="6486"/>
        <w:gridCol w:w="3614"/>
      </w:tblGrid>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FORCES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FAIBLESSE</w:t>
            </w:r>
          </w:p>
        </w:tc>
      </w:tr>
      <w:tr>
        <w:trPr>
          <w:trHeight w:val="2325" w:hRule="atLeast"/>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Formation technique récente du promoteur en production horticole durable (3 mois, SIDIBE Agrotechniques) ;</w:t>
            </w:r>
            <w:r>
              <w:rPr>
                <w:rStyle w:val="Strong"/>
                <w:sz w:val="22"/>
                <w:szCs w:val="22"/>
              </w:rPr>
              <w:t xml:space="preserve"> </w:t>
            </w:r>
            <w:r>
              <w:rPr>
                <w:rStyle w:val="Strong"/>
                <w:b w:val="false"/>
                <w:bCs w:val="false"/>
                <w:sz w:val="22"/>
                <w:szCs w:val="22"/>
              </w:rPr>
              <w:t>Amadou Alassane TRAORÉ</w:t>
            </w:r>
            <w:r>
              <w:rPr>
                <w:rStyle w:val="Strong"/>
                <w:sz w:val="22"/>
                <w:szCs w:val="22"/>
              </w:rPr>
              <w:t xml:space="preserve"> </w:t>
            </w:r>
            <w:r>
              <w:rPr>
                <w:rStyle w:val="Strong"/>
                <w:b w:val="false"/>
                <w:bCs w:val="false"/>
                <w:sz w:val="22"/>
                <w:szCs w:val="22"/>
              </w:rPr>
              <w:t>dans la production maraîchère, notamment la pastèque ;</w:t>
            </w:r>
          </w:p>
          <w:p>
            <w:pPr>
              <w:pStyle w:val="Normal"/>
              <w:numPr>
                <w:ilvl w:val="0"/>
                <w:numId w:val="14"/>
              </w:numPr>
              <w:rPr>
                <w:rStyle w:val="Strong"/>
                <w:b w:val="false"/>
                <w:bCs w:val="false"/>
                <w:sz w:val="22"/>
                <w:szCs w:val="22"/>
              </w:rPr>
            </w:pPr>
            <w:r>
              <w:rPr>
                <w:rStyle w:val="Strong"/>
                <w:b w:val="false"/>
                <w:bCs w:val="false"/>
                <w:sz w:val="22"/>
                <w:szCs w:val="22"/>
              </w:rPr>
              <w:t>Maîtrise du processus de production et des itinéraires techniques de la pastèque ;</w:t>
            </w:r>
          </w:p>
          <w:p>
            <w:pPr>
              <w:pStyle w:val="Normal"/>
              <w:numPr>
                <w:ilvl w:val="0"/>
                <w:numId w:val="14"/>
              </w:numPr>
              <w:rPr>
                <w:rStyle w:val="Strong"/>
                <w:b w:val="false"/>
                <w:bCs w:val="false"/>
                <w:sz w:val="22"/>
                <w:szCs w:val="22"/>
              </w:rPr>
            </w:pPr>
            <w:r>
              <w:rPr>
                <w:rStyle w:val="Strong"/>
                <w:b w:val="false"/>
                <w:bCs w:val="false"/>
                <w:sz w:val="22"/>
                <w:szCs w:val="22"/>
              </w:rPr>
              <w:t>Bonne planification et anticipation de la campagne de production ;</w:t>
            </w:r>
          </w:p>
          <w:p>
            <w:pPr>
              <w:pStyle w:val="Normal"/>
              <w:numPr>
                <w:ilvl w:val="0"/>
                <w:numId w:val="14"/>
              </w:numPr>
              <w:rPr>
                <w:rStyle w:val="Strong"/>
                <w:b w:val="false"/>
                <w:bCs w:val="false"/>
                <w:sz w:val="22"/>
                <w:szCs w:val="22"/>
              </w:rPr>
            </w:pPr>
            <w:r>
              <w:rPr>
                <w:rStyle w:val="Strong"/>
                <w:b w:val="false"/>
                <w:bCs w:val="false"/>
                <w:sz w:val="22"/>
                <w:szCs w:val="22"/>
              </w:rPr>
              <w:t>Volonté de fidéliser la clientèle et de lui offrir un bon accueil ;</w:t>
            </w:r>
          </w:p>
          <w:p>
            <w:pPr>
              <w:pStyle w:val="Normal"/>
              <w:numPr>
                <w:ilvl w:val="0"/>
                <w:numId w:val="14"/>
              </w:numPr>
              <w:rPr>
                <w:rStyle w:val="Strong"/>
                <w:b w:val="false"/>
                <w:bCs w:val="false"/>
                <w:sz w:val="22"/>
                <w:szCs w:val="22"/>
              </w:rPr>
            </w:pPr>
            <w:r>
              <w:rPr>
                <w:rStyle w:val="Strong"/>
                <w:b w:val="false"/>
                <w:bCs w:val="false"/>
                <w:sz w:val="22"/>
                <w:szCs w:val="22"/>
              </w:rPr>
              <w:t>Bonne connaissance des marchés de Mopti, Sévaré et environs ;</w:t>
            </w:r>
          </w:p>
          <w:p>
            <w:pPr>
              <w:pStyle w:val="Normal"/>
              <w:numPr>
                <w:ilvl w:val="0"/>
                <w:numId w:val="14"/>
              </w:numPr>
              <w:rPr>
                <w:rStyle w:val="Strong"/>
                <w:b w:val="false"/>
                <w:bCs w:val="false"/>
                <w:sz w:val="22"/>
                <w:szCs w:val="22"/>
              </w:rPr>
            </w:pPr>
            <w:r>
              <w:rPr>
                <w:rStyle w:val="Strong"/>
                <w:b w:val="false"/>
                <w:bCs w:val="false"/>
                <w:sz w:val="22"/>
                <w:szCs w:val="22"/>
              </w:rPr>
              <w:t>Recrutement prévu d’un technicien saisonnier qualifié ;</w:t>
            </w:r>
          </w:p>
          <w:p>
            <w:pPr>
              <w:pStyle w:val="Normal"/>
              <w:numPr>
                <w:ilvl w:val="0"/>
                <w:numId w:val="14"/>
              </w:numPr>
              <w:rPr>
                <w:rStyle w:val="Strong"/>
                <w:b w:val="false"/>
                <w:bCs w:val="false"/>
                <w:sz w:val="22"/>
                <w:szCs w:val="22"/>
              </w:rPr>
            </w:pPr>
            <w:r>
              <w:rPr>
                <w:rStyle w:val="Strong"/>
                <w:b w:val="false"/>
                <w:bCs w:val="false"/>
                <w:sz w:val="22"/>
                <w:szCs w:val="22"/>
              </w:rPr>
              <w:t>Utilisation raisonnée de fumure organique et d’engrais minéraux ;</w:t>
            </w:r>
          </w:p>
          <w:p>
            <w:pPr>
              <w:pStyle w:val="Normal"/>
              <w:numPr>
                <w:ilvl w:val="0"/>
                <w:numId w:val="14"/>
              </w:numPr>
              <w:rPr>
                <w:rStyle w:val="Strong"/>
                <w:sz w:val="22"/>
                <w:szCs w:val="22"/>
              </w:rPr>
            </w:pPr>
            <w:r>
              <w:rPr>
                <w:rStyle w:val="Strong"/>
                <w:b w:val="false"/>
                <w:bCs w:val="false"/>
                <w:sz w:val="22"/>
                <w:szCs w:val="22"/>
              </w:rPr>
              <w:t>Marque porteuse de sens : ZÉRÉ DÉLICE DE MOPTI (</w:t>
            </w:r>
            <w:r>
              <w:rPr>
                <w:rStyle w:val="Strong"/>
                <w:b w:val="false"/>
                <w:bCs w:val="false"/>
                <w:i/>
                <w:iCs/>
                <w:sz w:val="22"/>
                <w:szCs w:val="22"/>
              </w:rPr>
              <w:t>Zéré</w:t>
            </w:r>
            <w:r>
              <w:rPr>
                <w:rStyle w:val="Strong"/>
                <w:b w:val="false"/>
                <w:bCs w:val="false"/>
                <w:sz w:val="22"/>
                <w:szCs w:val="22"/>
              </w:rPr>
              <w:t xml:space="preserve"> = pastèque en bambara ; </w:t>
            </w:r>
            <w:r>
              <w:rPr>
                <w:rStyle w:val="Strong"/>
                <w:b w:val="false"/>
                <w:bCs w:val="false"/>
                <w:i/>
                <w:iCs/>
                <w:sz w:val="22"/>
                <w:szCs w:val="22"/>
              </w:rPr>
              <w:t>Délice de Mopti</w:t>
            </w:r>
            <w:r>
              <w:rPr>
                <w:rStyle w:val="Strong"/>
                <w:sz w:val="22"/>
                <w:szCs w:val="22"/>
              </w:rPr>
              <w:t>).</w:t>
            </w:r>
          </w:p>
          <w:p>
            <w:pPr>
              <w:pStyle w:val="Normal"/>
              <w:numPr>
                <w:ilvl w:val="0"/>
                <w:numId w:val="14"/>
              </w:numPr>
              <w:rPr>
                <w:rStyle w:val="Strong"/>
                <w:b w:val="false"/>
                <w:bCs w:val="false"/>
                <w:sz w:val="22"/>
                <w:szCs w:val="22"/>
              </w:rPr>
            </w:pPr>
            <w:r>
              <w:rPr>
                <w:rStyle w:val="Strong"/>
                <w:b w:val="false"/>
                <w:bCs w:val="false"/>
                <w:sz w:val="22"/>
                <w:szCs w:val="22"/>
              </w:rPr>
              <w:t>Amélioration de la fertilité du sol et du rendement agricole ;</w:t>
            </w:r>
          </w:p>
          <w:p>
            <w:pPr>
              <w:pStyle w:val="Normal"/>
              <w:numPr>
                <w:ilvl w:val="0"/>
                <w:numId w:val="14"/>
              </w:numPr>
              <w:rPr>
                <w:rStyle w:val="Strong"/>
                <w:b w:val="false"/>
                <w:bCs w:val="false"/>
                <w:sz w:val="22"/>
                <w:szCs w:val="22"/>
              </w:rPr>
            </w:pPr>
            <w:r>
              <w:rPr>
                <w:rStyle w:val="Strong"/>
                <w:b w:val="false"/>
                <w:bCs w:val="false"/>
                <w:sz w:val="22"/>
                <w:szCs w:val="22"/>
              </w:rPr>
              <w:t>Production de pastèques de bonne qualité ;</w:t>
            </w:r>
          </w:p>
          <w:p>
            <w:pPr>
              <w:pStyle w:val="Normal"/>
              <w:numPr>
                <w:ilvl w:val="0"/>
                <w:numId w:val="14"/>
              </w:numPr>
              <w:rPr>
                <w:rStyle w:val="Strong"/>
                <w:bCs/>
                <w:sz w:val="22"/>
                <w:szCs w:val="22"/>
              </w:rPr>
            </w:pPr>
            <w:r>
              <w:rPr>
                <w:bCs/>
                <w:sz w:val="22"/>
                <w:szCs w:val="22"/>
              </w:rPr>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Insuffisance de financement propre (apport limité à 10 %) ;</w:t>
            </w:r>
          </w:p>
          <w:p>
            <w:pPr>
              <w:pStyle w:val="Normal"/>
              <w:numPr>
                <w:ilvl w:val="0"/>
                <w:numId w:val="14"/>
              </w:numPr>
              <w:rPr>
                <w:rStyle w:val="Strong"/>
                <w:b w:val="false"/>
                <w:bCs w:val="false"/>
                <w:sz w:val="22"/>
                <w:szCs w:val="22"/>
              </w:rPr>
            </w:pPr>
            <w:r>
              <w:rPr>
                <w:rStyle w:val="Strong"/>
                <w:b w:val="false"/>
                <w:bCs w:val="false"/>
                <w:sz w:val="22"/>
                <w:szCs w:val="22"/>
              </w:rPr>
              <w:t>Superficie exploitée encore limitée (0,5 hectare) et non possédée en propre ;</w:t>
            </w:r>
          </w:p>
          <w:p>
            <w:pPr>
              <w:pStyle w:val="Normal"/>
              <w:numPr>
                <w:ilvl w:val="0"/>
                <w:numId w:val="14"/>
              </w:numPr>
              <w:rPr>
                <w:rStyle w:val="Strong"/>
                <w:b w:val="false"/>
                <w:bCs w:val="false"/>
                <w:sz w:val="22"/>
                <w:szCs w:val="22"/>
              </w:rPr>
            </w:pPr>
            <w:r>
              <w:rPr>
                <w:rStyle w:val="Strong"/>
                <w:b w:val="false"/>
                <w:bCs w:val="false"/>
                <w:sz w:val="22"/>
                <w:szCs w:val="22"/>
              </w:rPr>
              <w:t>Faible niveau d’équipement de l’exploitation au démarrage ;</w:t>
            </w:r>
          </w:p>
          <w:p>
            <w:pPr>
              <w:pStyle w:val="Normal"/>
              <w:numPr>
                <w:ilvl w:val="0"/>
                <w:numId w:val="14"/>
              </w:numPr>
              <w:rPr>
                <w:rStyle w:val="Strong"/>
                <w:b w:val="false"/>
                <w:bCs w:val="false"/>
                <w:sz w:val="22"/>
                <w:szCs w:val="22"/>
              </w:rPr>
            </w:pPr>
            <w:r>
              <w:rPr>
                <w:rStyle w:val="Strong"/>
                <w:b w:val="false"/>
                <w:bCs w:val="false"/>
                <w:sz w:val="22"/>
                <w:szCs w:val="22"/>
              </w:rPr>
              <w:t>Qualité et disponibilité irrégulières des intrants organiques ;</w:t>
            </w:r>
          </w:p>
          <w:p>
            <w:pPr>
              <w:pStyle w:val="Normal"/>
              <w:numPr>
                <w:ilvl w:val="0"/>
                <w:numId w:val="14"/>
              </w:numPr>
              <w:rPr>
                <w:rStyle w:val="Strong"/>
                <w:b w:val="false"/>
                <w:bCs w:val="false"/>
                <w:sz w:val="22"/>
                <w:szCs w:val="22"/>
              </w:rPr>
            </w:pPr>
            <w:r>
              <w:rPr>
                <w:rStyle w:val="Strong"/>
                <w:b w:val="false"/>
                <w:bCs w:val="false"/>
                <w:sz w:val="22"/>
                <w:szCs w:val="22"/>
              </w:rPr>
              <w:t>Dépendance à l’irrigation (pompe solaire, système goutte-à-goutte) ;</w:t>
            </w:r>
          </w:p>
          <w:p>
            <w:pPr>
              <w:pStyle w:val="Normal"/>
              <w:numPr>
                <w:ilvl w:val="0"/>
                <w:numId w:val="14"/>
              </w:numPr>
              <w:rPr>
                <w:rStyle w:val="Strong"/>
                <w:b w:val="false"/>
                <w:bCs w:val="false"/>
                <w:sz w:val="22"/>
                <w:szCs w:val="22"/>
              </w:rPr>
            </w:pPr>
            <w:r>
              <w:rPr>
                <w:rStyle w:val="Strong"/>
                <w:b w:val="false"/>
                <w:bCs w:val="false"/>
                <w:sz w:val="22"/>
                <w:szCs w:val="22"/>
              </w:rPr>
              <w:t>Notoriété de la marque ZÉRÉ DÉLICE DE MOPTI encore à construire ;</w:t>
            </w:r>
          </w:p>
          <w:p>
            <w:pPr>
              <w:pStyle w:val="Normal"/>
              <w:numPr>
                <w:ilvl w:val="0"/>
                <w:numId w:val="14"/>
              </w:numPr>
              <w:rPr>
                <w:rStyle w:val="Strong"/>
                <w:b w:val="false"/>
                <w:bCs w:val="false"/>
                <w:sz w:val="22"/>
                <w:szCs w:val="22"/>
              </w:rPr>
            </w:pPr>
            <w:r>
              <w:rPr>
                <w:rStyle w:val="Strong"/>
                <w:b w:val="false"/>
                <w:bCs w:val="false"/>
                <w:sz w:val="22"/>
                <w:szCs w:val="22"/>
              </w:rPr>
              <w:t>Absence de certification formelle (hygiène, traçabilité) ;</w:t>
            </w:r>
          </w:p>
          <w:p>
            <w:pPr>
              <w:pStyle w:val="Normal"/>
              <w:numPr>
                <w:ilvl w:val="0"/>
                <w:numId w:val="14"/>
              </w:numPr>
              <w:rPr>
                <w:rStyle w:val="Strong"/>
                <w:b w:val="false"/>
                <w:bCs w:val="false"/>
                <w:sz w:val="22"/>
                <w:szCs w:val="22"/>
              </w:rPr>
            </w:pPr>
            <w:r>
              <w:rPr>
                <w:rStyle w:val="Strong"/>
                <w:b w:val="false"/>
                <w:bCs w:val="false"/>
                <w:sz w:val="22"/>
                <w:szCs w:val="22"/>
              </w:rPr>
              <w:t>Dépendance aux aléas climatiques.</w:t>
            </w:r>
          </w:p>
          <w:p>
            <w:pPr>
              <w:pStyle w:val="Normal"/>
              <w:rPr>
                <w:rStyle w:val="Strong"/>
                <w:b w:val="false"/>
                <w:bCs w:val="false"/>
                <w:sz w:val="22"/>
                <w:szCs w:val="22"/>
              </w:rPr>
            </w:pPr>
            <w:r>
              <w:rPr>
                <w:b w:val="false"/>
                <w:bCs w:val="false"/>
                <w:sz w:val="22"/>
                <w:szCs w:val="22"/>
              </w:rPr>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OPPORTUNITES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MENACES</w:t>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Existence de marchés à Mopti, Sévaré et environs ;</w:t>
            </w:r>
          </w:p>
          <w:p>
            <w:pPr>
              <w:pStyle w:val="Normal"/>
              <w:numPr>
                <w:ilvl w:val="0"/>
                <w:numId w:val="14"/>
              </w:numPr>
              <w:rPr>
                <w:rStyle w:val="Strong"/>
                <w:b w:val="false"/>
                <w:bCs w:val="false"/>
                <w:sz w:val="22"/>
                <w:szCs w:val="22"/>
              </w:rPr>
            </w:pPr>
            <w:r>
              <w:rPr>
                <w:rStyle w:val="Strong"/>
                <w:b w:val="false"/>
                <w:bCs w:val="false"/>
                <w:sz w:val="22"/>
                <w:szCs w:val="22"/>
              </w:rPr>
              <w:t>Forte demande en pastèque sur les marchés locaux ;</w:t>
            </w:r>
          </w:p>
          <w:p>
            <w:pPr>
              <w:pStyle w:val="Normal"/>
              <w:numPr>
                <w:ilvl w:val="0"/>
                <w:numId w:val="14"/>
              </w:numPr>
              <w:rPr>
                <w:rStyle w:val="Strong"/>
                <w:b w:val="false"/>
                <w:bCs w:val="false"/>
                <w:sz w:val="22"/>
                <w:szCs w:val="22"/>
              </w:rPr>
            </w:pPr>
            <w:r>
              <w:rPr>
                <w:rStyle w:val="Strong"/>
                <w:b w:val="false"/>
                <w:bCs w:val="false"/>
                <w:sz w:val="22"/>
                <w:szCs w:val="22"/>
              </w:rPr>
              <w:t>Existence de marchés de gros, détaillants, revendeurs, hôtels et restaurants ;</w:t>
            </w:r>
          </w:p>
          <w:p>
            <w:pPr>
              <w:pStyle w:val="Normal"/>
              <w:numPr>
                <w:ilvl w:val="0"/>
                <w:numId w:val="14"/>
              </w:numPr>
              <w:rPr>
                <w:rStyle w:val="Strong"/>
                <w:b w:val="false"/>
                <w:bCs w:val="false"/>
                <w:sz w:val="22"/>
                <w:szCs w:val="22"/>
              </w:rPr>
            </w:pPr>
            <w:r>
              <w:rPr>
                <w:rStyle w:val="Strong"/>
                <w:b w:val="false"/>
                <w:bCs w:val="false"/>
                <w:sz w:val="22"/>
                <w:szCs w:val="22"/>
              </w:rPr>
              <w:t>Appui de l’APEJ/OIT à travers le projet AN KA BAARA ;</w:t>
            </w:r>
          </w:p>
          <w:p>
            <w:pPr>
              <w:pStyle w:val="Normal"/>
              <w:numPr>
                <w:ilvl w:val="0"/>
                <w:numId w:val="14"/>
              </w:numPr>
              <w:rPr>
                <w:rStyle w:val="Strong"/>
                <w:b w:val="false"/>
                <w:bCs w:val="false"/>
                <w:sz w:val="22"/>
                <w:szCs w:val="22"/>
              </w:rPr>
            </w:pPr>
            <w:r>
              <w:rPr>
                <w:rStyle w:val="Strong"/>
                <w:b w:val="false"/>
                <w:bCs w:val="false"/>
                <w:sz w:val="22"/>
                <w:szCs w:val="22"/>
              </w:rPr>
              <w:t>Politique de substitution aux importations de fruits ;</w:t>
            </w:r>
          </w:p>
          <w:p>
            <w:pPr>
              <w:pStyle w:val="Normal"/>
              <w:numPr>
                <w:ilvl w:val="0"/>
                <w:numId w:val="14"/>
              </w:numPr>
              <w:rPr>
                <w:rStyle w:val="Strong"/>
                <w:b w:val="false"/>
                <w:bCs w:val="false"/>
                <w:sz w:val="22"/>
                <w:szCs w:val="22"/>
              </w:rPr>
            </w:pPr>
            <w:r>
              <w:rPr>
                <w:rStyle w:val="Strong"/>
                <w:b w:val="false"/>
                <w:bCs w:val="false"/>
                <w:sz w:val="22"/>
                <w:szCs w:val="22"/>
              </w:rPr>
              <w:t>Possibilité d’extension progressive de la superficie exploitée ;</w:t>
            </w:r>
          </w:p>
          <w:p>
            <w:pPr>
              <w:pStyle w:val="Normal"/>
              <w:numPr>
                <w:ilvl w:val="0"/>
                <w:numId w:val="14"/>
              </w:numPr>
              <w:rPr>
                <w:rStyle w:val="Strong"/>
                <w:b w:val="false"/>
                <w:bCs w:val="false"/>
                <w:sz w:val="22"/>
                <w:szCs w:val="22"/>
              </w:rPr>
            </w:pPr>
            <w:r>
              <w:rPr>
                <w:rStyle w:val="Strong"/>
                <w:b w:val="false"/>
                <w:bCs w:val="false"/>
                <w:sz w:val="22"/>
                <w:szCs w:val="22"/>
              </w:rPr>
              <w:t>Développement futur de produits dérivés (jus, séchage)</w:t>
            </w:r>
          </w:p>
          <w:p>
            <w:pPr>
              <w:pStyle w:val="Normal"/>
              <w:numPr>
                <w:ilvl w:val="0"/>
                <w:numId w:val="16"/>
              </w:numPr>
              <w:rPr>
                <w:rStyle w:val="Strong"/>
                <w:b w:val="false"/>
                <w:bCs w:val="false"/>
                <w:sz w:val="22"/>
                <w:szCs w:val="22"/>
              </w:rPr>
            </w:pPr>
            <w:r>
              <w:rPr>
                <w:b w:val="false"/>
                <w:bCs w:val="false"/>
                <w:sz w:val="22"/>
                <w:szCs w:val="22"/>
              </w:rPr>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Existence d’une forte concurrence dans la production maraîchère ;</w:t>
            </w:r>
          </w:p>
          <w:p>
            <w:pPr>
              <w:pStyle w:val="Normal"/>
              <w:numPr>
                <w:ilvl w:val="0"/>
                <w:numId w:val="14"/>
              </w:numPr>
              <w:rPr>
                <w:rStyle w:val="Strong"/>
                <w:b w:val="false"/>
                <w:bCs w:val="false"/>
                <w:sz w:val="22"/>
                <w:szCs w:val="22"/>
              </w:rPr>
            </w:pPr>
            <w:r>
              <w:rPr>
                <w:rStyle w:val="Strong"/>
                <w:b w:val="false"/>
                <w:bCs w:val="false"/>
                <w:sz w:val="22"/>
                <w:szCs w:val="22"/>
              </w:rPr>
              <w:t>Concurrence des pastèques importées ;</w:t>
            </w:r>
          </w:p>
          <w:p>
            <w:pPr>
              <w:pStyle w:val="Normal"/>
              <w:numPr>
                <w:ilvl w:val="0"/>
                <w:numId w:val="14"/>
              </w:numPr>
              <w:rPr>
                <w:rStyle w:val="Strong"/>
                <w:b w:val="false"/>
                <w:bCs w:val="false"/>
                <w:sz w:val="22"/>
                <w:szCs w:val="22"/>
              </w:rPr>
            </w:pPr>
            <w:r>
              <w:rPr>
                <w:rStyle w:val="Strong"/>
                <w:b w:val="false"/>
                <w:bCs w:val="false"/>
                <w:sz w:val="22"/>
                <w:szCs w:val="22"/>
              </w:rPr>
              <w:t>Attaques de ravageurs et maladies ;</w:t>
            </w:r>
          </w:p>
          <w:p>
            <w:pPr>
              <w:pStyle w:val="Normal"/>
              <w:numPr>
                <w:ilvl w:val="0"/>
                <w:numId w:val="14"/>
              </w:numPr>
              <w:rPr>
                <w:rStyle w:val="Strong"/>
                <w:b w:val="false"/>
                <w:bCs w:val="false"/>
                <w:sz w:val="22"/>
                <w:szCs w:val="22"/>
              </w:rPr>
            </w:pPr>
            <w:r>
              <w:rPr>
                <w:rStyle w:val="Strong"/>
                <w:b w:val="false"/>
                <w:bCs w:val="false"/>
                <w:sz w:val="22"/>
                <w:szCs w:val="22"/>
              </w:rPr>
              <w:t>Aléas climatiques (sécheresse, fortes chaleurs, pluies tardives) ;</w:t>
            </w:r>
          </w:p>
          <w:p>
            <w:pPr>
              <w:pStyle w:val="Normal"/>
              <w:numPr>
                <w:ilvl w:val="0"/>
                <w:numId w:val="14"/>
              </w:numPr>
              <w:rPr>
                <w:rStyle w:val="Strong"/>
                <w:b w:val="false"/>
                <w:bCs w:val="false"/>
                <w:sz w:val="22"/>
                <w:szCs w:val="22"/>
              </w:rPr>
            </w:pPr>
            <w:r>
              <w:rPr>
                <w:rStyle w:val="Strong"/>
                <w:b w:val="false"/>
                <w:bCs w:val="false"/>
                <w:sz w:val="22"/>
                <w:szCs w:val="22"/>
              </w:rPr>
              <w:t>Volatilité des prix en période d’abondance ;</w:t>
            </w:r>
          </w:p>
          <w:p>
            <w:pPr>
              <w:pStyle w:val="Normal"/>
              <w:numPr>
                <w:ilvl w:val="0"/>
                <w:numId w:val="14"/>
              </w:numPr>
              <w:rPr>
                <w:rStyle w:val="Strong"/>
                <w:b w:val="false"/>
                <w:bCs w:val="false"/>
                <w:sz w:val="22"/>
                <w:szCs w:val="22"/>
              </w:rPr>
            </w:pPr>
            <w:r>
              <w:rPr>
                <w:rStyle w:val="Strong"/>
                <w:b w:val="false"/>
                <w:bCs w:val="false"/>
                <w:sz w:val="22"/>
                <w:szCs w:val="22"/>
              </w:rPr>
              <w:t>Pannes d’équipements (pompe solaire, système d’irrigation) ;</w:t>
            </w:r>
          </w:p>
          <w:p>
            <w:pPr>
              <w:pStyle w:val="Normal"/>
              <w:numPr>
                <w:ilvl w:val="0"/>
                <w:numId w:val="14"/>
              </w:numPr>
              <w:rPr>
                <w:rStyle w:val="Strong"/>
                <w:b w:val="false"/>
                <w:bCs w:val="false"/>
                <w:sz w:val="22"/>
                <w:szCs w:val="22"/>
              </w:rPr>
            </w:pPr>
            <w:r>
              <w:rPr>
                <w:rStyle w:val="Strong"/>
                <w:b w:val="false"/>
                <w:bCs w:val="false"/>
                <w:sz w:val="22"/>
                <w:szCs w:val="22"/>
              </w:rPr>
              <w:t>Cherté des intrants et des équipements ;</w:t>
            </w:r>
          </w:p>
          <w:p>
            <w:pPr>
              <w:pStyle w:val="Normal"/>
              <w:numPr>
                <w:ilvl w:val="0"/>
                <w:numId w:val="14"/>
              </w:numPr>
              <w:rPr>
                <w:rStyle w:val="Strong"/>
                <w:b w:val="false"/>
                <w:bCs w:val="false"/>
                <w:sz w:val="22"/>
                <w:szCs w:val="22"/>
              </w:rPr>
            </w:pPr>
            <w:r>
              <w:rPr>
                <w:rStyle w:val="Strong"/>
                <w:b w:val="false"/>
                <w:bCs w:val="false"/>
                <w:sz w:val="22"/>
                <w:szCs w:val="22"/>
              </w:rPr>
              <w:t>Risque de mévente si la qualité ou la conservation n’est pas conforme ;</w:t>
            </w:r>
          </w:p>
          <w:p>
            <w:pPr>
              <w:pStyle w:val="Normal"/>
              <w:numPr>
                <w:ilvl w:val="0"/>
                <w:numId w:val="14"/>
              </w:numPr>
              <w:rPr>
                <w:rStyle w:val="Strong"/>
                <w:b w:val="false"/>
                <w:bCs w:val="false"/>
                <w:sz w:val="22"/>
                <w:szCs w:val="22"/>
              </w:rPr>
            </w:pPr>
            <w:r>
              <w:rPr>
                <w:rStyle w:val="Strong"/>
                <w:b w:val="false"/>
                <w:bCs w:val="false"/>
                <w:sz w:val="22"/>
                <w:szCs w:val="22"/>
              </w:rPr>
              <w:t>Contexte sécuritaire régional pouvant perturber l’accès au site, l’approvisionnement en intrants et l’écoulement de la production ;</w:t>
            </w:r>
          </w:p>
          <w:p>
            <w:pPr>
              <w:pStyle w:val="Normal"/>
              <w:numPr>
                <w:ilvl w:val="0"/>
                <w:numId w:val="14"/>
              </w:numPr>
              <w:rPr>
                <w:rStyle w:val="Strong"/>
                <w:b w:val="false"/>
                <w:bCs w:val="false"/>
                <w:sz w:val="22"/>
                <w:szCs w:val="22"/>
              </w:rPr>
            </w:pPr>
            <w:r>
              <w:rPr>
                <w:rStyle w:val="Strong"/>
                <w:b w:val="false"/>
                <w:bCs w:val="false"/>
                <w:sz w:val="22"/>
                <w:szCs w:val="22"/>
              </w:rPr>
              <w:t>Risque de remboursement du crédit en cas d’aléa.</w:t>
            </w:r>
          </w:p>
          <w:p>
            <w:pPr>
              <w:pStyle w:val="Normal"/>
              <w:rPr>
                <w:rStyle w:val="Strong"/>
                <w:b/>
                <w:bCs w:val="false"/>
                <w:sz w:val="22"/>
                <w:szCs w:val="22"/>
              </w:rPr>
            </w:pPr>
            <w:r>
              <w:rPr>
                <w:b/>
                <w:bCs w:val="false"/>
                <w:sz w:val="22"/>
                <w:szCs w:val="22"/>
              </w:rPr>
            </w:r>
          </w:p>
        </w:tc>
      </w:tr>
    </w:tbl>
    <w:p>
      <w:pPr>
        <w:pStyle w:val="Normal"/>
        <w:jc w:val="center"/>
        <w:rPr>
          <w:lang w:eastAsia="en-US"/>
        </w:rPr>
      </w:pPr>
      <w:r>
        <w:rPr>
          <w:lang w:eastAsia="en-US"/>
        </w:rPr>
      </w:r>
    </w:p>
    <w:p>
      <w:pPr>
        <w:pStyle w:val="Heading1"/>
        <w:keepLines/>
        <w:numPr>
          <w:ilvl w:val="0"/>
          <w:numId w:val="3"/>
        </w:numPr>
        <w:spacing w:before="0" w:after="0"/>
        <w:ind w:hanging="431" w:left="431" w:right="0"/>
        <w:jc w:val="both"/>
        <w:rPr>
          <w:rFonts w:ascii="Times New Roman" w:hAnsi="Times New Roman" w:cs="Times New Roman"/>
          <w:caps/>
          <w:color w:val="166B7F"/>
          <w:kern w:val="0"/>
          <w:lang w:eastAsia="en-US"/>
        </w:rPr>
      </w:pPr>
      <w:bookmarkStart w:id="29" w:name="__RefHeading___Toc234831728"/>
      <w:bookmarkEnd w:id="29"/>
      <w:r>
        <w:rPr>
          <w:rFonts w:cs="Times New Roman" w:ascii="Times New Roman" w:hAnsi="Times New Roman"/>
          <w:caps/>
          <w:color w:val="166B7F"/>
          <w:kern w:val="0"/>
          <w:lang w:eastAsia="en-US"/>
        </w:rPr>
        <w:t>CONCLUSION</w:t>
      </w:r>
    </w:p>
    <w:p>
      <w:pPr>
        <w:pStyle w:val="Normal"/>
        <w:jc w:val="both"/>
        <w:rPr/>
      </w:pPr>
      <w:r>
        <w:rPr>
          <w:sz w:val="22"/>
          <w:szCs w:val="22"/>
        </w:rPr>
        <w:t xml:space="preserve">En examinant les ratios de rentabilité économique et financière, le présent projet apparaît rentable, sous réserve de la validation des hypothèses de rendement, de prix et de besoin en fonds de roulement et contribue à la création de trois (3) emplois directs (dont l’auto-emploi du promoteur). Le taux de rentabilité interne </w:t>
      </w:r>
      <w:r>
        <w:rPr>
          <w:b/>
          <w:bCs/>
          <w:sz w:val="22"/>
          <w:szCs w:val="22"/>
        </w:rPr>
        <w:t>(</w:t>
      </w:r>
      <w:r>
        <w:rPr>
          <w:sz w:val="22"/>
          <w:szCs w:val="22"/>
        </w:rPr>
        <w:t xml:space="preserve">71 %), la valeur actuelle nette (5 156 561 F CFA) ainsi que le délai de récupération des capitaux investis (1 an et 4 mois) corroborent la rentabilité du projet de création de l’entreprise </w:t>
      </w:r>
      <w:r>
        <w:rPr>
          <w:b/>
          <w:bCs/>
          <w:sz w:val="22"/>
          <w:szCs w:val="22"/>
        </w:rPr>
        <w:t>ZÉRÉ DÉLICE DE MOPTI</w:t>
      </w:r>
      <w:r>
        <w:rPr>
          <w:sz w:val="22"/>
          <w:szCs w:val="22"/>
        </w:rPr>
        <w:t xml:space="preserve"> dans la production et la commercialisation de pastèque de qualité sur une superficie de 0,5 hectare à Sévaré, village de Diondionri, Région de Mopti. L’existence des structures d’accompagnement, notamment l’APEJ et l’OIT à travers le projet AN KA BAARA, permettra au promoteur d’investir dans sa parcelle, de bénéficier d’un accompagnement technique et de rembourser les prêts contractés. Le seuil de rentabilité représente 34 % du chiffre d’affaires en année 3 (41 % en année 1). La mise en œuvre est conditionnée à la production de l’acte de mise à disposition du terrain, des factures pro forma des équipements et d’un échéancier de remboursement adapté au cycle de production.</w:t>
      </w:r>
    </w:p>
    <w:p>
      <w:pPr>
        <w:pStyle w:val="Normal"/>
        <w:rPr/>
      </w:pPr>
      <w:r>
        <w:rPr/>
      </w:r>
    </w:p>
    <w:p>
      <w:pPr>
        <w:pStyle w:val="Normal"/>
        <w:rPr/>
      </w:pPr>
      <w:r>
        <w:rPr>
          <w:b/>
          <w:sz w:val="22"/>
        </w:rPr>
        <w:t>Pièces à joindre au dossier</w:t>
      </w:r>
    </w:p>
    <w:p>
      <w:pPr>
        <w:pStyle w:val="Normal"/>
        <w:rPr/>
      </w:pPr>
      <w:r>
        <w:rPr>
          <w:b w:val="false"/>
          <w:sz w:val="20"/>
        </w:rPr>
        <w:t xml:space="preserve">– </w:t>
      </w:r>
      <w:r>
        <w:rPr>
          <w:b w:val="false"/>
          <w:sz w:val="20"/>
        </w:rPr>
        <w:t>Copie de la pièce d’identité du promoteur (justifiant la date et le lieu de naissance, condition d’éligibilité au dispositif APEJ) ;</w:t>
      </w:r>
    </w:p>
    <w:p>
      <w:pPr>
        <w:pStyle w:val="Normal"/>
        <w:rPr/>
      </w:pPr>
      <w:r>
        <w:rPr>
          <w:b w:val="false"/>
          <w:sz w:val="20"/>
        </w:rPr>
        <w:t xml:space="preserve">– </w:t>
      </w:r>
      <w:r>
        <w:rPr>
          <w:b w:val="false"/>
          <w:sz w:val="20"/>
        </w:rPr>
        <w:t>Attestation(s) de formation du promoteur ;</w:t>
      </w:r>
    </w:p>
    <w:p>
      <w:pPr>
        <w:pStyle w:val="Normal"/>
        <w:rPr/>
      </w:pPr>
      <w:r>
        <w:rPr>
          <w:b w:val="false"/>
          <w:sz w:val="20"/>
        </w:rPr>
        <w:t xml:space="preserve">– </w:t>
      </w:r>
      <w:r>
        <w:rPr>
          <w:b w:val="false"/>
          <w:sz w:val="20"/>
        </w:rPr>
        <w:t>Acte de mise à disposition du terrain ou du local, dûment signé et légalisé (condition préalable au décaissement) ;</w:t>
      </w:r>
    </w:p>
    <w:p>
      <w:pPr>
        <w:pStyle w:val="Normal"/>
        <w:rPr/>
      </w:pPr>
      <w:r>
        <w:rPr>
          <w:b w:val="false"/>
          <w:sz w:val="20"/>
        </w:rPr>
        <w:t xml:space="preserve">– </w:t>
      </w:r>
      <w:r>
        <w:rPr>
          <w:b w:val="false"/>
          <w:sz w:val="20"/>
        </w:rPr>
        <w:t>Factures pro forma d’au moins deux fournisseurs pour les équipements principaux (kit solaire, pompe, système d’irrigation goutte-à-goutte) ;</w:t>
      </w:r>
    </w:p>
    <w:p>
      <w:pPr>
        <w:pStyle w:val="Normal"/>
        <w:rPr/>
      </w:pPr>
      <w:r>
        <w:rPr>
          <w:b w:val="false"/>
          <w:sz w:val="20"/>
        </w:rPr>
        <w:t xml:space="preserve">– </w:t>
      </w:r>
      <w:r>
        <w:rPr>
          <w:b w:val="false"/>
          <w:sz w:val="20"/>
        </w:rPr>
        <w:t>Lettres d’intention ou engagements d’achat de deux ou trois clients (grossistes, détaillants, collectivités) ;</w:t>
      </w:r>
    </w:p>
    <w:p>
      <w:pPr>
        <w:pStyle w:val="Normal"/>
        <w:rPr/>
      </w:pPr>
      <w:r>
        <w:rPr>
          <w:b w:val="false"/>
          <w:sz w:val="20"/>
        </w:rPr>
        <w:t xml:space="preserve">– </w:t>
      </w:r>
      <w:r>
        <w:rPr>
          <w:b w:val="false"/>
          <w:sz w:val="20"/>
        </w:rPr>
        <w:t>Calendrier de production (semis, repiquage et récolte, avec une campagne par an).</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Aptos">
    <w:altName w:val="Arial"/>
    <w:charset w:val="01"/>
    <w:family w:val="roman"/>
    <w:pitch w:val="variable"/>
  </w:font>
  <w:font w:name="Aptos Display">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Tahoma">
    <w:charset w:val="01"/>
    <w:family w:val="roman"/>
    <w:pitch w:val="variable"/>
  </w:font>
  <w:font w:name="Liberation Sans">
    <w:altName w:val="Arial"/>
    <w:charset w:val="01"/>
    <w:family w:val="roman"/>
    <w:pitch w:val="variable"/>
  </w:font>
  <w:font w:name="Calibri">
    <w:charset w:val="01"/>
    <w:family w:val="roman"/>
    <w:pitch w:val="variable"/>
  </w:font>
  <w:font w:name="Trebuchet MS">
    <w:charset w:val="01"/>
    <w:family w:val="roman"/>
    <w:pitch w:val="variable"/>
  </w:font>
  <w:font w:name="Garamond">
    <w:charset w:val="01"/>
    <w:family w:val="roman"/>
    <w:pitch w:val="variable"/>
  </w:font>
  <w:font w:name="Segoe UI">
    <w:charset w:val="01"/>
    <w:family w:val="roman"/>
    <w:pitch w:val="variable"/>
  </w:font>
  <w:font w:name="Cambira">
    <w:altName w:val="Cambr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19</w:t>
    </w:r>
    <w:r>
      <w:rPr/>
      <w:fldChar w:fldCharType="end"/>
    </w:r>
  </w:p>
  <w:p>
    <w:pPr>
      <w:pStyle w:val="Footer"/>
      <w:rPr>
        <w:rFonts w:ascii="Cambria" w:hAnsi="Cambria" w:cs="Cambria"/>
        <w:sz w:val="20"/>
      </w:rPr>
    </w:pPr>
    <w:r>
      <w:rPr>
        <w:rFonts w:cs="Cambria" w:ascii="Cambria" w:hAnsi="Cambria"/>
        <w:sz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ind w:hanging="0" w:left="0"/>
      <w:outlineLvl w:val="3"/>
      <w:rPr>
        <w:sz w:val="20"/>
        <w:szCs w:val="20"/>
      </w:rPr>
    </w:pPr>
    <w:r>
      <w:rPr>
        <w:sz w:val="20"/>
        <w:szCs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1" distT="0" distB="0" distL="114935" distR="114935" simplePos="0" locked="0" layoutInCell="0" allowOverlap="1" relativeHeight="11">
          <wp:simplePos x="0" y="0"/>
          <wp:positionH relativeFrom="column">
            <wp:posOffset>2243455</wp:posOffset>
          </wp:positionH>
          <wp:positionV relativeFrom="paragraph">
            <wp:posOffset>64770</wp:posOffset>
          </wp:positionV>
          <wp:extent cx="1066800" cy="815340"/>
          <wp:effectExtent l="0" t="0" r="0" b="0"/>
          <wp:wrapSquare wrapText="bothSides"/>
          <wp:docPr id="10"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descr=""/>
                  <pic:cNvPicPr>
                    <a:picLocks noChangeAspect="1" noChangeArrowheads="1"/>
                  </pic:cNvPicPr>
                </pic:nvPicPr>
                <pic:blipFill>
                  <a:blip r:embed="rId1"/>
                  <a:srcRect l="-70" t="-53" r="-70" b="-53"/>
                  <a:stretch>
                    <a:fillRect/>
                  </a:stretch>
                </pic:blipFill>
                <pic:spPr bwMode="auto">
                  <a:xfrm>
                    <a:off x="0" y="0"/>
                    <a:ext cx="1066800" cy="815340"/>
                  </a:xfrm>
                  <a:prstGeom prst="rect">
                    <a:avLst/>
                  </a:prstGeom>
                </pic:spPr>
              </pic:pic>
            </a:graphicData>
          </a:graphic>
        </wp:anchor>
      </w:drawing>
    </w:r>
    <w:r>
      <w:rPr/>
      <w:drawing>
        <wp:inline distT="0" distB="0" distL="0" distR="0">
          <wp:extent cx="925830" cy="845820"/>
          <wp:effectExtent l="0" t="0" r="0" b="0"/>
          <wp:docPr id="11"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 descr=""/>
                  <pic:cNvPicPr>
                    <a:picLocks noChangeAspect="1" noChangeArrowheads="1"/>
                  </pic:cNvPicPr>
                </pic:nvPicPr>
                <pic:blipFill>
                  <a:blip r:embed="rId2"/>
                  <a:srcRect l="-76" t="-76" r="-76" b="-76"/>
                  <a:stretch>
                    <a:fillRect/>
                  </a:stretch>
                </pic:blipFill>
                <pic:spPr bwMode="auto">
                  <a:xfrm>
                    <a:off x="0" y="0"/>
                    <a:ext cx="925830" cy="845820"/>
                  </a:xfrm>
                  <a:prstGeom prst="rect">
                    <a:avLst/>
                  </a:prstGeom>
                </pic:spPr>
              </pic:pic>
            </a:graphicData>
          </a:graphic>
        </wp:inline>
      </w:drawing>
    </w:r>
    <w:r>
      <w:rPr/>
      <w:tab/>
      <w:tab/>
      <w:tab/>
      <w:t xml:space="preserve">            </w:t>
    </w:r>
    <w:r>
      <w:rPr/>
      <w:drawing>
        <wp:inline distT="0" distB="0" distL="0" distR="0">
          <wp:extent cx="1003300" cy="773430"/>
          <wp:effectExtent l="0" t="0" r="0" b="0"/>
          <wp:docPr id="1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descr=""/>
                  <pic:cNvPicPr>
                    <a:picLocks noChangeAspect="1" noChangeArrowheads="1"/>
                  </pic:cNvPicPr>
                </pic:nvPicPr>
                <pic:blipFill>
                  <a:blip r:embed="rId3"/>
                  <a:srcRect l="-270" t="-270" r="-270" b="-270"/>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4"/>
      <w:numFmt w:val="upperRoman"/>
      <w:lvlText w:val="%1."/>
      <w:lvlJc w:val="left"/>
      <w:pPr>
        <w:tabs>
          <w:tab w:val="num" w:pos="0"/>
        </w:tabs>
        <w:ind w:left="36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4680" w:hanging="1800"/>
      </w:pPr>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upperRoman"/>
      <w:lvlText w:val="%1."/>
      <w:lvlJc w:val="left"/>
      <w:pPr>
        <w:tabs>
          <w:tab w:val="num" w:pos="0"/>
        </w:tabs>
        <w:ind w:left="1080" w:hanging="720"/>
      </w:pPr>
      <w:rPr/>
    </w:lvl>
    <w:lvl w:ilvl="1">
      <w:start w:val="1"/>
      <w:isLgl/>
      <w:numFmt w:val="decimal"/>
      <w:lvlText w:val="%1.%2"/>
      <w:lvlJc w:val="left"/>
      <w:pPr>
        <w:tabs>
          <w:tab w:val="num" w:pos="0"/>
        </w:tabs>
        <w:ind w:left="720" w:hanging="36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440" w:hanging="1080"/>
      </w:pPr>
      <w:rPr/>
    </w:lvl>
    <w:lvl w:ilvl="5">
      <w:start w:val="1"/>
      <w:isLgl/>
      <w:numFmt w:val="decimal"/>
      <w:lvlText w:val="%1.%2.%3.%4.%5.%6"/>
      <w:lvlJc w:val="left"/>
      <w:pPr>
        <w:tabs>
          <w:tab w:val="num" w:pos="0"/>
        </w:tabs>
        <w:ind w:left="1800" w:hanging="1440"/>
      </w:pPr>
      <w:rPr/>
    </w:lvl>
    <w:lvl w:ilvl="6">
      <w:start w:val="1"/>
      <w:isLgl/>
      <w:numFmt w:val="decimal"/>
      <w:lvlText w:val="%1.%2.%3.%4.%5.%6.%7"/>
      <w:lvlJc w:val="left"/>
      <w:pPr>
        <w:tabs>
          <w:tab w:val="num" w:pos="0"/>
        </w:tabs>
        <w:ind w:left="1800" w:hanging="1440"/>
      </w:pPr>
      <w:rPr/>
    </w:lvl>
    <w:lvl w:ilvl="7">
      <w:start w:val="1"/>
      <w:isLgl/>
      <w:numFmt w:val="decimal"/>
      <w:lvlText w:val="%1.%2.%3.%4.%5.%6.%7.%8"/>
      <w:lvlJc w:val="left"/>
      <w:pPr>
        <w:tabs>
          <w:tab w:val="num" w:pos="0"/>
        </w:tabs>
        <w:ind w:left="2160" w:hanging="1800"/>
      </w:pPr>
      <w:rPr/>
    </w:lvl>
    <w:lvl w:ilvl="8">
      <w:start w:val="1"/>
      <w:isLgl/>
      <w:numFmt w:val="decimal"/>
      <w:lvlText w:val="%1.%2.%3.%4.%5.%6.%7.%8.%9"/>
      <w:lvlJc w:val="left"/>
      <w:pPr>
        <w:tabs>
          <w:tab w:val="num" w:pos="0"/>
        </w:tabs>
        <w:ind w:left="2160" w:hanging="1800"/>
      </w:pPr>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10">
    <w:lvl w:ilvl="0">
      <w:start w:val="2"/>
      <w:numFmt w:val="decimal"/>
      <w:lvlText w:val="%1"/>
      <w:lvlJc w:val="left"/>
      <w:pPr>
        <w:tabs>
          <w:tab w:val="num" w:pos="0"/>
        </w:tabs>
        <w:ind w:left="360" w:hanging="360"/>
      </w:pPr>
      <w:rPr/>
    </w:lvl>
    <w:lvl w:ilvl="1">
      <w:start w:val="1"/>
      <w:numFmt w:val="decimal"/>
      <w:lvlText w:val="%1.%2"/>
      <w:lvlJc w:val="left"/>
      <w:pPr>
        <w:tabs>
          <w:tab w:val="num" w:pos="0"/>
        </w:tabs>
        <w:ind w:left="1211" w:hanging="360"/>
      </w:pPr>
      <w:rPr/>
    </w:lvl>
    <w:lvl w:ilvl="2">
      <w:start w:val="1"/>
      <w:numFmt w:val="decimal"/>
      <w:lvlText w:val="%1.%2.%3"/>
      <w:lvlJc w:val="left"/>
      <w:pPr>
        <w:tabs>
          <w:tab w:val="num" w:pos="0"/>
        </w:tabs>
        <w:ind w:left="2422" w:hanging="720"/>
      </w:pPr>
      <w:rPr/>
    </w:lvl>
    <w:lvl w:ilvl="3">
      <w:start w:val="1"/>
      <w:numFmt w:val="decimal"/>
      <w:lvlText w:val="%1.%2.%3.%4"/>
      <w:lvlJc w:val="left"/>
      <w:pPr>
        <w:tabs>
          <w:tab w:val="num" w:pos="0"/>
        </w:tabs>
        <w:ind w:left="3633" w:hanging="1080"/>
      </w:pPr>
      <w:rPr/>
    </w:lvl>
    <w:lvl w:ilvl="4">
      <w:start w:val="1"/>
      <w:numFmt w:val="decimal"/>
      <w:lvlText w:val="%1.%2.%3.%4.%5"/>
      <w:lvlJc w:val="left"/>
      <w:pPr>
        <w:tabs>
          <w:tab w:val="num" w:pos="0"/>
        </w:tabs>
        <w:ind w:left="4484" w:hanging="1080"/>
      </w:pPr>
      <w:rPr/>
    </w:lvl>
    <w:lvl w:ilvl="5">
      <w:start w:val="1"/>
      <w:numFmt w:val="decimal"/>
      <w:lvlText w:val="%1.%2.%3.%4.%5.%6"/>
      <w:lvlJc w:val="left"/>
      <w:pPr>
        <w:tabs>
          <w:tab w:val="num" w:pos="0"/>
        </w:tabs>
        <w:ind w:left="5695" w:hanging="1440"/>
      </w:pPr>
      <w:rPr/>
    </w:lvl>
    <w:lvl w:ilvl="6">
      <w:start w:val="1"/>
      <w:numFmt w:val="decimal"/>
      <w:lvlText w:val="%1.%2.%3.%4.%5.%6.%7"/>
      <w:lvlJc w:val="left"/>
      <w:pPr>
        <w:tabs>
          <w:tab w:val="num" w:pos="0"/>
        </w:tabs>
        <w:ind w:left="6546" w:hanging="1440"/>
      </w:pPr>
      <w:rPr/>
    </w:lvl>
    <w:lvl w:ilvl="7">
      <w:start w:val="1"/>
      <w:numFmt w:val="decimal"/>
      <w:lvlText w:val="%1.%2.%3.%4.%5.%6.%7.%8"/>
      <w:lvlJc w:val="left"/>
      <w:pPr>
        <w:tabs>
          <w:tab w:val="num" w:pos="0"/>
        </w:tabs>
        <w:ind w:left="7757" w:hanging="1800"/>
      </w:pPr>
      <w:rPr/>
    </w:lvl>
    <w:lvl w:ilvl="8">
      <w:start w:val="1"/>
      <w:numFmt w:val="decimal"/>
      <w:lvlText w:val="%1.%2.%3.%4.%5.%6.%7.%8.%9"/>
      <w:lvlJc w:val="left"/>
      <w:pPr>
        <w:tabs>
          <w:tab w:val="num" w:pos="0"/>
        </w:tabs>
        <w:ind w:left="8608" w:hanging="1800"/>
      </w:pPr>
      <w:rPr/>
    </w:lvl>
  </w:abstractNum>
  <w:abstractNum w:abstractNumId="11">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12">
    <w:lvl w:ilvl="0">
      <w:start w:val="1"/>
      <w:numFmt w:val="decimal"/>
      <w:lvlText w:val="%1."/>
      <w:lvlJc w:val="left"/>
      <w:pPr>
        <w:tabs>
          <w:tab w:val="num" w:pos="0"/>
        </w:tabs>
        <w:ind w:left="720" w:hanging="360"/>
      </w:pPr>
      <w:rPr>
        <w:b/>
        <w:bCs w:val="false"/>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567"/>
        </w:tabs>
        <w:ind w:left="567" w:hanging="283"/>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left="432" w:right="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left="432" w:right="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left="432" w:right="0"/>
      <w:outlineLvl w:val="3"/>
    </w:pPr>
    <w:rPr>
      <w:rFonts w:ascii="Aptos;Arial;Calibri" w:hAnsi="Aptos;Arial;Calibri" w:cs="Aptos;Arial;Calibri"/>
      <w:b/>
      <w:bCs/>
      <w:sz w:val="28"/>
      <w:szCs w:val="28"/>
    </w:rPr>
  </w:style>
  <w:style w:type="paragraph" w:styleId="Heading5">
    <w:name w:val="Heading 5"/>
    <w:basedOn w:val="Normal"/>
    <w:next w:val="Normal"/>
    <w:qFormat/>
    <w:pPr>
      <w:tabs>
        <w:tab w:val="clear" w:pos="708"/>
        <w:tab w:val="left" w:pos="0" w:leader="none"/>
      </w:tabs>
      <w:spacing w:before="240" w:after="60"/>
      <w:ind w:hanging="432" w:left="432" w:right="0"/>
      <w:outlineLvl w:val="4"/>
    </w:pPr>
    <w:rPr>
      <w:rFonts w:ascii="Aptos;Arial;Calibri" w:hAnsi="Aptos;Arial;Calibri" w:cs="Aptos;Arial;Calibri"/>
      <w:b/>
      <w:bCs/>
      <w:i/>
      <w:iCs/>
      <w:sz w:val="26"/>
      <w:szCs w:val="26"/>
    </w:rPr>
  </w:style>
  <w:style w:type="paragraph" w:styleId="Heading6">
    <w:name w:val="Heading 6"/>
    <w:basedOn w:val="Normal"/>
    <w:next w:val="Normal"/>
    <w:qFormat/>
    <w:pPr>
      <w:tabs>
        <w:tab w:val="clear" w:pos="708"/>
        <w:tab w:val="left" w:pos="0" w:leader="none"/>
      </w:tabs>
      <w:spacing w:before="240" w:after="60"/>
      <w:ind w:hanging="432" w:left="432" w:right="0"/>
      <w:outlineLvl w:val="5"/>
    </w:pPr>
    <w:rPr>
      <w:rFonts w:ascii="Aptos;Arial;Calibri" w:hAnsi="Aptos;Arial;Calibri" w:cs="Aptos;Arial;Calibri"/>
      <w:b/>
      <w:bCs/>
      <w:sz w:val="22"/>
      <w:szCs w:val="22"/>
    </w:rPr>
  </w:style>
  <w:style w:type="paragraph" w:styleId="Heading7">
    <w:name w:val="Heading 7"/>
    <w:basedOn w:val="Normal"/>
    <w:next w:val="Normal"/>
    <w:qFormat/>
    <w:pPr>
      <w:tabs>
        <w:tab w:val="clear" w:pos="708"/>
        <w:tab w:val="left" w:pos="0" w:leader="none"/>
      </w:tabs>
      <w:spacing w:before="240" w:after="60"/>
      <w:ind w:hanging="432" w:left="432" w:right="0"/>
      <w:outlineLvl w:val="6"/>
    </w:pPr>
    <w:rPr>
      <w:rFonts w:ascii="Aptos;Arial;Calibri" w:hAnsi="Aptos;Arial;Calibri" w:cs="Aptos;Arial;Calibri"/>
    </w:rPr>
  </w:style>
  <w:style w:type="paragraph" w:styleId="Heading8">
    <w:name w:val="Heading 8"/>
    <w:basedOn w:val="Normal"/>
    <w:next w:val="Normal"/>
    <w:qFormat/>
    <w:pPr>
      <w:tabs>
        <w:tab w:val="clear" w:pos="708"/>
        <w:tab w:val="left" w:pos="0" w:leader="none"/>
      </w:tabs>
      <w:spacing w:before="240" w:after="60"/>
      <w:ind w:hanging="432" w:left="432" w:right="0"/>
      <w:outlineLvl w:val="7"/>
    </w:pPr>
    <w:rPr>
      <w:rFonts w:ascii="Aptos;Arial;Calibri" w:hAnsi="Aptos;Arial;Calibri" w:cs="Aptos;Arial;Calibri"/>
      <w:i/>
      <w:iCs/>
    </w:rPr>
  </w:style>
  <w:style w:type="paragraph" w:styleId="Heading9">
    <w:name w:val="Heading 9"/>
    <w:basedOn w:val="Normal"/>
    <w:next w:val="Normal"/>
    <w:qFormat/>
    <w:pPr>
      <w:tabs>
        <w:tab w:val="clear" w:pos="708"/>
        <w:tab w:val="left" w:pos="0" w:leader="none"/>
      </w:tabs>
      <w:spacing w:before="240" w:after="60"/>
      <w:ind w:hanging="432" w:left="432" w:right="0"/>
      <w:outlineLvl w:val="8"/>
    </w:pPr>
    <w:rPr>
      <w:rFonts w:ascii="Aptos Display" w:hAnsi="Aptos Display" w:cs="Aptos Display"/>
      <w:sz w:val="22"/>
      <w:szCs w:val="22"/>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3z0">
    <w:name w:val="WW8Num3z0"/>
    <w:qFormat/>
    <w:rPr>
      <w:rFonts w:ascii="Symbol" w:hAnsi="Symbol" w:cs="Symbol"/>
    </w:rPr>
  </w:style>
  <w:style w:type="character" w:styleId="WW8Num4z0">
    <w:name w:val="WW8Num4z0"/>
    <w:qFormat/>
    <w:rPr>
      <w:rFonts w:ascii="Symbol" w:hAnsi="Symbol" w:cs="Symbol"/>
      <w:sz w:val="20"/>
    </w:rPr>
  </w:style>
  <w:style w:type="character" w:styleId="WW8Num4z1">
    <w:name w:val="WW8Num4z1"/>
    <w:qFormat/>
    <w:rPr>
      <w:rFonts w:ascii="Courier New" w:hAnsi="Courier New" w:cs="Courier New"/>
      <w:sz w:val="20"/>
    </w:rPr>
  </w:style>
  <w:style w:type="character" w:styleId="WW8Num4z2">
    <w:name w:val="WW8Num4z2"/>
    <w:qFormat/>
    <w:rPr>
      <w:rFonts w:ascii="Wingdings" w:hAnsi="Wingdings" w:cs="Wingdings"/>
      <w:sz w:val="20"/>
    </w:rPr>
  </w:style>
  <w:style w:type="character" w:styleId="WW8Num5z0">
    <w:name w:val="WW8Num5z0"/>
    <w:qFormat/>
    <w:rPr>
      <w:rFonts w:ascii="Symbol" w:hAnsi="Symbol" w:cs="Symbol"/>
    </w:rPr>
  </w:style>
  <w:style w:type="character" w:styleId="WW8Num6z0">
    <w:name w:val="WW8Num6z0"/>
    <w:qFormat/>
    <w:rPr>
      <w:rFonts w:ascii="Symbol" w:hAnsi="Symbol" w:cs="Symbol"/>
      <w:sz w:val="20"/>
    </w:rPr>
  </w:style>
  <w:style w:type="character" w:styleId="WW8Num6z1">
    <w:name w:val="WW8Num6z1"/>
    <w:qFormat/>
    <w:rPr>
      <w:rFonts w:ascii="Courier New" w:hAnsi="Courier New" w:cs="Courier New"/>
      <w:sz w:val="20"/>
    </w:rPr>
  </w:style>
  <w:style w:type="character" w:styleId="WW8Num6z2">
    <w:name w:val="WW8Num6z2"/>
    <w:qFormat/>
    <w:rPr>
      <w:rFonts w:ascii="Wingdings" w:hAnsi="Wingdings" w:cs="Wingdings"/>
      <w:sz w:val="20"/>
    </w:rPr>
  </w:style>
  <w:style w:type="character" w:styleId="WW8Num9z0">
    <w:name w:val="WW8Num9z0"/>
    <w:qFormat/>
    <w:rPr>
      <w:rFonts w:ascii="Symbol" w:hAnsi="Symbol" w:cs="Symbol"/>
      <w:sz w:val="20"/>
    </w:rPr>
  </w:style>
  <w:style w:type="character" w:styleId="WW8Num9z1">
    <w:name w:val="WW8Num9z1"/>
    <w:qFormat/>
    <w:rPr>
      <w:rFonts w:ascii="Courier New" w:hAnsi="Courier New" w:cs="Courier New"/>
      <w:sz w:val="20"/>
    </w:rPr>
  </w:style>
  <w:style w:type="character" w:styleId="WW8Num9z2">
    <w:name w:val="WW8Num9z2"/>
    <w:qFormat/>
    <w:rPr>
      <w:rFonts w:ascii="Wingdings" w:hAnsi="Wingdings" w:cs="Wingdings"/>
      <w:sz w:val="20"/>
    </w:rPr>
  </w:style>
  <w:style w:type="character" w:styleId="WW8Num11z0">
    <w:name w:val="WW8Num11z0"/>
    <w:qFormat/>
    <w:rPr>
      <w:rFonts w:ascii="Symbol" w:hAnsi="Symbol" w:cs="Symbol"/>
      <w:sz w:val="20"/>
    </w:rPr>
  </w:style>
  <w:style w:type="character" w:styleId="WW8Num11z1">
    <w:name w:val="WW8Num11z1"/>
    <w:qFormat/>
    <w:rPr>
      <w:rFonts w:ascii="Courier New" w:hAnsi="Courier New" w:cs="Courier New"/>
      <w:sz w:val="20"/>
    </w:rPr>
  </w:style>
  <w:style w:type="character" w:styleId="WW8Num11z2">
    <w:name w:val="WW8Num11z2"/>
    <w:qFormat/>
    <w:rPr>
      <w:rFonts w:ascii="Wingdings" w:hAnsi="Wingdings" w:cs="Wingdings"/>
      <w:sz w:val="20"/>
    </w:rPr>
  </w:style>
  <w:style w:type="character" w:styleId="WW8Num12z0">
    <w:name w:val="WW8Num12z0"/>
    <w:qFormat/>
    <w:rPr>
      <w:rFonts w:ascii="Symbol" w:hAnsi="Symbol" w:cs="Symbol"/>
    </w:rPr>
  </w:style>
  <w:style w:type="character" w:styleId="WW8Num13z0">
    <w:name w:val="WW8Num13z0"/>
    <w:qFormat/>
    <w:rPr>
      <w:rFonts w:ascii="Symbol" w:hAnsi="Symbol" w:cs="Symbol"/>
      <w:sz w:val="20"/>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sz w:val="20"/>
    </w:rPr>
  </w:style>
  <w:style w:type="character" w:styleId="WW8Num16z1">
    <w:name w:val="WW8Num16z1"/>
    <w:qFormat/>
    <w:rPr>
      <w:rFonts w:ascii="Courier New" w:hAnsi="Courier New" w:cs="Courier New"/>
      <w:sz w:val="20"/>
    </w:rPr>
  </w:style>
  <w:style w:type="character" w:styleId="WW8Num16z2">
    <w:name w:val="WW8Num16z2"/>
    <w:qFormat/>
    <w:rPr>
      <w:rFonts w:ascii="Wingdings" w:hAnsi="Wingdings" w:cs="Wingdings"/>
      <w:sz w:val="20"/>
    </w:rPr>
  </w:style>
  <w:style w:type="character" w:styleId="WW8Num17z0">
    <w:name w:val="WW8Num17z0"/>
    <w:qFormat/>
    <w:rPr>
      <w:rFonts w:ascii="Symbol" w:hAnsi="Symbol" w:cs="Symbol"/>
    </w:rPr>
  </w:style>
  <w:style w:type="character" w:styleId="WW8Num19z0">
    <w:name w:val="WW8Num19z0"/>
    <w:qFormat/>
    <w:rPr>
      <w:rFonts w:ascii="Symbol" w:hAnsi="Symbol" w:cs="Symbol"/>
    </w:rPr>
  </w:style>
  <w:style w:type="character" w:styleId="WW8Num23z0">
    <w:name w:val="WW8Num23z0"/>
    <w:qFormat/>
    <w:rPr>
      <w:b/>
      <w:bCs w:val="false"/>
    </w:rPr>
  </w:style>
  <w:style w:type="character" w:styleId="WW8Num24z0">
    <w:name w:val="WW8Num24z0"/>
    <w:qFormat/>
    <w:rPr>
      <w:rFonts w:ascii="Symbol" w:hAnsi="Symbol" w:cs="Symbol"/>
      <w:sz w:val="20"/>
    </w:rPr>
  </w:style>
  <w:style w:type="character" w:styleId="WW8Num24z1">
    <w:name w:val="WW8Num24z1"/>
    <w:qFormat/>
    <w:rPr>
      <w:rFonts w:ascii="Courier New" w:hAnsi="Courier New" w:cs="Courier New"/>
      <w:sz w:val="20"/>
    </w:rPr>
  </w:style>
  <w:style w:type="character" w:styleId="WW8Num24z2">
    <w:name w:val="WW8Num24z2"/>
    <w:qFormat/>
    <w:rPr>
      <w:rFonts w:ascii="Wingdings" w:hAnsi="Wingdings" w:cs="Wingdings"/>
      <w:sz w:val="20"/>
    </w:rPr>
  </w:style>
  <w:style w:type="character" w:styleId="WW8Num25z0">
    <w:name w:val="WW8Num25z0"/>
    <w:qFormat/>
    <w:rPr>
      <w:rFonts w:ascii="Symbol" w:hAnsi="Symbol" w:cs="Symbol"/>
    </w:rPr>
  </w:style>
  <w:style w:type="character" w:styleId="WW8Num26z0">
    <w:name w:val="WW8Num26z0"/>
    <w:qFormat/>
    <w:rPr>
      <w:rFonts w:ascii="Symbol" w:hAnsi="Symbol" w:cs="Symbol"/>
      <w:sz w:val="20"/>
    </w:rPr>
  </w:style>
  <w:style w:type="character" w:styleId="WW8Num26z1">
    <w:name w:val="WW8Num26z1"/>
    <w:qFormat/>
    <w:rPr>
      <w:rFonts w:ascii="Courier New" w:hAnsi="Courier New" w:cs="Courier New"/>
      <w:sz w:val="20"/>
    </w:rPr>
  </w:style>
  <w:style w:type="character" w:styleId="WW8Num26z2">
    <w:name w:val="WW8Num26z2"/>
    <w:qFormat/>
    <w:rPr>
      <w:rFonts w:ascii="Wingdings" w:hAnsi="Wingdings" w:cs="Wingdings"/>
      <w:sz w:val="20"/>
    </w:rPr>
  </w:style>
  <w:style w:type="character" w:styleId="WW8Num27z0">
    <w:name w:val="WW8Num27z0"/>
    <w:qFormat/>
    <w:rPr>
      <w:rFonts w:ascii="Symbol" w:hAnsi="Symbol" w:cs="Symbol"/>
      <w:sz w:val="20"/>
    </w:rPr>
  </w:style>
  <w:style w:type="character" w:styleId="WW8Num27z1">
    <w:name w:val="WW8Num27z1"/>
    <w:qFormat/>
    <w:rPr>
      <w:rFonts w:ascii="Courier New" w:hAnsi="Courier New" w:cs="Courier New"/>
      <w:sz w:val="20"/>
    </w:rPr>
  </w:style>
  <w:style w:type="character" w:styleId="WW8Num27z2">
    <w:name w:val="WW8Num27z2"/>
    <w:qFormat/>
    <w:rPr>
      <w:rFonts w:ascii="Wingdings" w:hAnsi="Wingdings" w:cs="Wingdings"/>
      <w:sz w:val="20"/>
    </w:rPr>
  </w:style>
  <w:style w:type="character" w:styleId="WW8Num28z0">
    <w:name w:val="WW8Num28z0"/>
    <w:qFormat/>
    <w:rPr>
      <w:rFonts w:ascii="Symbol" w:hAnsi="Symbol" w:cs="Symbol"/>
      <w:sz w:val="20"/>
    </w:rPr>
  </w:style>
  <w:style w:type="character" w:styleId="WW8Num28z1">
    <w:name w:val="WW8Num28z1"/>
    <w:qFormat/>
    <w:rPr>
      <w:rFonts w:ascii="Courier New" w:hAnsi="Courier New" w:cs="Courier New"/>
      <w:sz w:val="20"/>
    </w:rPr>
  </w:style>
  <w:style w:type="character" w:styleId="WW8Num28z2">
    <w:name w:val="WW8Num28z2"/>
    <w:qFormat/>
    <w:rPr>
      <w:rFonts w:ascii="Wingdings" w:hAnsi="Wingdings" w:cs="Wingdings"/>
      <w:sz w:val="20"/>
    </w:rPr>
  </w:style>
  <w:style w:type="character" w:styleId="WW8Num29z0">
    <w:name w:val="WW8Num29z0"/>
    <w:qFormat/>
    <w:rPr>
      <w:rFonts w:ascii="Symbol" w:hAnsi="Symbol" w:cs="Symbol"/>
    </w:rPr>
  </w:style>
  <w:style w:type="character" w:styleId="WW8Num30z0">
    <w:name w:val="WW8Num30z0"/>
    <w:qFormat/>
    <w:rPr>
      <w:rFonts w:ascii="Symbol" w:hAnsi="Symbol" w:cs="Symbol"/>
    </w:rPr>
  </w:style>
  <w:style w:type="character" w:styleId="Policepardfaut">
    <w:name w:val="Police par défaut"/>
    <w:qFormat/>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Calibri" w:hAnsi="Aptos;Arial;Calibri" w:cs="Aptos;Arial;Calibri"/>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Calibri" w:hAnsi="Aptos;Arial;Calibri" w:cs="Aptos;Arial;Calibri"/>
      <w:b/>
      <w:bCs/>
      <w:i/>
      <w:iCs/>
      <w:sz w:val="26"/>
      <w:szCs w:val="26"/>
      <w:lang w:val="fr-FR"/>
    </w:rPr>
  </w:style>
  <w:style w:type="character" w:styleId="Titre4Car">
    <w:name w:val="Titre 4 Car"/>
    <w:qFormat/>
    <w:rPr>
      <w:rFonts w:ascii="Aptos;Arial;Calibri" w:hAnsi="Aptos;Arial;Calibri" w:cs="Aptos;Arial;Calibri"/>
      <w:b/>
      <w:bCs/>
      <w:sz w:val="28"/>
      <w:szCs w:val="28"/>
      <w:lang w:val="fr-FR"/>
    </w:rPr>
  </w:style>
  <w:style w:type="character" w:styleId="Titre6Car">
    <w:name w:val="Titre 6 Car"/>
    <w:qFormat/>
    <w:rPr>
      <w:rFonts w:ascii="Aptos;Arial;Calibri" w:hAnsi="Aptos;Arial;Calibri" w:cs="Aptos;Arial;Calibri"/>
      <w:b/>
      <w:bCs/>
      <w:sz w:val="22"/>
      <w:szCs w:val="22"/>
      <w:lang w:val="fr-FR"/>
    </w:rPr>
  </w:style>
  <w:style w:type="character" w:styleId="Titre7Car">
    <w:name w:val="Titre 7 Car"/>
    <w:qFormat/>
    <w:rPr>
      <w:rFonts w:ascii="Aptos;Arial;Calibri" w:hAnsi="Aptos;Arial;Calibri" w:cs="Aptos;Arial;Calibri"/>
      <w:sz w:val="24"/>
      <w:szCs w:val="24"/>
      <w:lang w:val="fr-FR"/>
    </w:rPr>
  </w:style>
  <w:style w:type="character" w:styleId="Titre8Car">
    <w:name w:val="Titre 8 Car"/>
    <w:qFormat/>
    <w:rPr>
      <w:rFonts w:ascii="Aptos;Arial;Calibri" w:hAnsi="Aptos;Arial;Calibri" w:cs="Aptos;Arial;Calibri"/>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left="720" w:right="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jc w:val="left"/>
    </w:pPr>
    <w:rPr>
      <w:rFonts w:ascii="Calibri" w:hAnsi="Calibri" w:eastAsia="Times New Roman" w:cs="Calibri"/>
      <w:color w:val="auto"/>
      <w:kern w:val="0"/>
      <w:sz w:val="22"/>
      <w:szCs w:val="22"/>
      <w:lang w:val="en-US" w:eastAsia="zh-CN" w:bidi="ar-SA"/>
    </w:rPr>
  </w:style>
  <w:style w:type="paragraph" w:styleId="En-ttedetabledesmatires">
    <w:name w:val="En-tête de table des matières"/>
    <w:basedOn w:val="Heading1"/>
    <w:next w:val="Normal"/>
    <w:qFormat/>
    <w:pPr>
      <w:keepLines/>
      <w:numPr>
        <w:ilvl w:val="0"/>
        <w:numId w:val="11"/>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left="240" w:right="0"/>
    </w:pPr>
    <w:rPr>
      <w:rFonts w:ascii="Trebuchet MS" w:hAnsi="Trebuchet MS" w:cs="Trebuchet MS"/>
      <w:lang w:val="en-US"/>
    </w:rPr>
  </w:style>
  <w:style w:type="paragraph" w:styleId="TOC3">
    <w:name w:val="TOC 3"/>
    <w:basedOn w:val="Normal"/>
    <w:next w:val="Normal"/>
    <w:pPr>
      <w:ind w:hanging="0" w:left="480" w:right="0"/>
    </w:pPr>
    <w:rPr>
      <w:rFonts w:ascii="Trebuchet MS" w:hAnsi="Trebuchet MS" w:cs="Trebuchet MS"/>
      <w:lang w:val="en-US"/>
    </w:rPr>
  </w:style>
  <w:style w:type="paragraph" w:styleId="Sansinterligne">
    <w:name w:val="Sans interligne"/>
    <w:qFormat/>
    <w:pPr>
      <w:widowControl/>
      <w:suppressAutoHyphens w:val="true"/>
      <w:bidi w:val="0"/>
      <w:spacing w:before="0" w:after="0"/>
      <w:jc w:val="left"/>
    </w:pPr>
    <w:rPr>
      <w:rFonts w:ascii="Aptos;Arial;Calibri" w:hAnsi="Aptos;Arial;Calibri" w:eastAsia="Times New Roman" w:cs="Aptos;Arial;Calibri"/>
      <w:color w:val="auto"/>
      <w:kern w:val="0"/>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TotalTime>
  <Application>LibreOffice/24.2.7.2$Linux_X86_64 LibreOffice_project/420$Build-2</Application>
  <AppVersion>15.0000</AppVersion>
  <Pages>19</Pages>
  <Words>6768</Words>
  <Characters>32181</Characters>
  <CharactersWithSpaces>37430</CharactersWithSpaces>
  <Paragraphs>1494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2026-10-08T16:12:00Z</dcterms:created>
  <dc:creator>STEP</dc:creator>
  <dc:description/>
  <dc:language>en-US</dc:language>
  <cp:lastModifiedBy/>
  <cp:lastPrinted>2025-07-23T09:16:00Z</cp:lastPrinted>
  <dcterms:modified xsi:type="dcterms:W3CDTF">2026-10-12T11:18:38Z</dcterms:modified>
  <cp:revision>3</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