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pBdr>
          <w:bottom w:val="double" w:sz="4" w:space="1" w:color="000000"/>
        </w:pBdr>
        <w:rPr>
          <w:sz w:val="2"/>
          <w:szCs w:val="2"/>
        </w:rPr>
      </w:pPr>
      <w:r>
        <w:rPr>
          <w:sz w:val="2"/>
          <w:szCs w:val="2"/>
        </w:rPr>
      </w:r>
    </w:p>
    <w:p>
      <w:pPr>
        <w:pStyle w:val="Normal"/>
        <w:rPr>
          <w:sz w:val="2"/>
          <w:szCs w:val="2"/>
        </w:rPr>
      </w:pPr>
      <w:r>
        <w:rPr>
          <w:sz w:val="2"/>
          <w:szCs w:val="2"/>
        </w:rPr>
      </w:r>
    </w:p>
    <w:p>
      <w:pPr>
        <w:pStyle w:val="Normal"/>
        <w:rPr>
          <w:b/>
          <w:i/>
          <w:i/>
          <w:sz w:val="52"/>
          <w:szCs w:val="32"/>
        </w:rPr>
      </w:pPr>
      <w:r>
        <w:rPr>
          <w:b/>
          <w:i/>
          <w:sz w:val="52"/>
          <w:szCs w:val="32"/>
        </w:rPr>
        <w:t xml:space="preserve">         </w:t>
      </w:r>
      <w:r>
        <w:rPr>
          <w:b/>
          <w:i/>
          <w:sz w:val="52"/>
          <w:szCs w:val="32"/>
        </w:rPr>
        <mc:AlternateContent>
          <mc:Choice Requires="wps">
            <w:drawing>
              <wp:anchor behindDoc="0" distT="0" distB="0" distL="176530" distR="177165" simplePos="0" locked="0" layoutInCell="0" allowOverlap="1" relativeHeight="10">
                <wp:simplePos x="0" y="0"/>
                <wp:positionH relativeFrom="margin">
                  <wp:posOffset>125730</wp:posOffset>
                </wp:positionH>
                <wp:positionV relativeFrom="page">
                  <wp:posOffset>3539490</wp:posOffset>
                </wp:positionV>
                <wp:extent cx="5803900" cy="835660"/>
                <wp:effectExtent l="6350" t="6350" r="81915" b="81915"/>
                <wp:wrapSquare wrapText="bothSides"/>
                <wp:docPr id="1" name="Frame1"/>
                <a:graphic xmlns:a="http://schemas.openxmlformats.org/drawingml/2006/main">
                  <a:graphicData uri="http://schemas.microsoft.com/office/word/2010/wordprocessingShape">
                    <wps:wsp>
                      <wps:cNvSpPr/>
                      <wps:spPr>
                        <a:xfrm>
                          <a:off x="0" y="0"/>
                          <a:ext cx="5803920" cy="835560"/>
                        </a:xfrm>
                        <a:prstGeom prst="rect">
                          <a:avLst/>
                        </a:prstGeom>
                        <a:gradFill rotWithShape="0">
                          <a:gsLst>
                            <a:gs pos="0">
                              <a:srgbClr val="ffffff"/>
                            </a:gs>
                            <a:gs pos="100000">
                              <a:srgbClr val="95dcf7"/>
                            </a:gs>
                          </a:gsLst>
                          <a:lin ang="5400000"/>
                        </a:gradFill>
                        <a:ln w="12700">
                          <a:solidFill>
                            <a:srgbClr val="60caf3"/>
                          </a:solidFill>
                          <a:round/>
                        </a:ln>
                        <a:effectLst>
                          <a:outerShdw dir="2700000" dist="106914">
                            <a:srgbClr val="074e69"/>
                          </a:outerShdw>
                        </a:effectLst>
                      </wps:spPr>
                      <wps:style>
                        <a:lnRef idx="0"/>
                        <a:fillRef idx="0"/>
                        <a:effectRef idx="0"/>
                        <a:fontRef idx="minor"/>
                      </wps:style>
                      <wps:txbx>
                        <w:txbxContent>
                          <w:p>
                            <w:pPr>
                              <w:pStyle w:val="Sansinterligne"/>
                              <w:spacing w:lineRule="auto" w:line="216" w:before="40" w:after="560"/>
                              <w:jc w:val="center"/>
                              <w:rPr>
                                <w:rFonts w:ascii="Times New Roman" w:hAnsi="Times New Roman" w:cs="Times New Roman"/>
                                <w:b/>
                                <w:bCs/>
                                <w:sz w:val="36"/>
                                <w:szCs w:val="36"/>
                                <w:lang w:val="fr-FR"/>
                              </w:rPr>
                            </w:pPr>
                            <w:r>
                              <w:rPr>
                                <w:rFonts w:cs="Times New Roman" w:ascii="Times New Roman" w:hAnsi="Times New Roman"/>
                                <w:b/>
                                <w:bCs/>
                                <w:sz w:val="36"/>
                                <w:szCs w:val="36"/>
                                <w:lang w:val="fr-FR"/>
                              </w:rPr>
                              <w:t>ZÉRÉ KÈNÈ &amp; DÉLICE</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t>Création d’une Entreprise de production de pastèque</w:t>
                            </w:r>
                          </w:p>
                          <w:p>
                            <w:pPr>
                              <w:pStyle w:val="Sansinterligne"/>
                              <w:spacing w:before="40" w:after="40"/>
                              <w:rPr>
                                <w:rFonts w:ascii="Cambria" w:hAnsi="Cambria" w:cs="Cambria"/>
                                <w:b/>
                                <w:bCs/>
                                <w:caps/>
                                <w:color w:val="501549"/>
                                <w:sz w:val="28"/>
                                <w:szCs w:val="28"/>
                                <w:lang w:val="fr-FR"/>
                              </w:rPr>
                            </w:pPr>
                            <w:r>
                              <w:rPr/>
                            </w:r>
                          </w:p>
                        </w:txbxContent>
                      </wps:txbx>
                      <wps:bodyPr lIns="0" rIns="0" tIns="0" bIns="0" anchor="t">
                        <a:noAutofit/>
                      </wps:bodyPr>
                    </wps:wsp>
                  </a:graphicData>
                </a:graphic>
              </wp:anchor>
            </w:drawing>
          </mc:Choice>
          <mc:Fallback>
            <w:pict>
              <v:rect id="shape_0" ID="Frame1" path="m0,0l-2147483645,0l-2147483645,-2147483646l0,-2147483646xe" fillcolor="#95dcf7" stroked="t" o:allowincell="f" style="position:absolute;margin-left:9.9pt;margin-top:278.7pt;width:456.95pt;height:65.75pt;mso-wrap-style:square;v-text-anchor:top;mso-position-horizontal-relative:margin;mso-position-vertical-relative:page">
                <v:fill o:detectmouseclick="t" color2="white"/>
                <v:stroke color="#60caf3" weight="12600" joinstyle="round" endcap="flat"/>
                <v:shadow on="t" obscured="f" color="#074e69"/>
                <v:textbox>
                  <w:txbxContent>
                    <w:p>
                      <w:pPr>
                        <w:pStyle w:val="Sansinterligne"/>
                        <w:spacing w:lineRule="auto" w:line="216" w:before="40" w:after="560"/>
                        <w:jc w:val="center"/>
                        <w:rPr>
                          <w:rFonts w:ascii="Times New Roman" w:hAnsi="Times New Roman" w:cs="Times New Roman"/>
                          <w:b/>
                          <w:bCs/>
                          <w:sz w:val="36"/>
                          <w:szCs w:val="36"/>
                          <w:lang w:val="fr-FR"/>
                        </w:rPr>
                      </w:pPr>
                      <w:r>
                        <w:rPr>
                          <w:rFonts w:cs="Times New Roman" w:ascii="Times New Roman" w:hAnsi="Times New Roman"/>
                          <w:b/>
                          <w:bCs/>
                          <w:sz w:val="36"/>
                          <w:szCs w:val="36"/>
                          <w:lang w:val="fr-FR"/>
                        </w:rPr>
                        <w:t>ZÉRÉ KÈNÈ &amp; DÉLICE</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t>Création d’une Entreprise de production de pastèque</w:t>
                      </w:r>
                    </w:p>
                    <w:p>
                      <w:pPr>
                        <w:pStyle w:val="Sansinterligne"/>
                        <w:spacing w:before="40" w:after="40"/>
                        <w:rPr>
                          <w:rFonts w:ascii="Cambria" w:hAnsi="Cambria" w:cs="Cambria"/>
                          <w:b/>
                          <w:bCs/>
                          <w:caps/>
                          <w:color w:val="501549"/>
                          <w:sz w:val="28"/>
                          <w:szCs w:val="28"/>
                          <w:lang w:val="fr-FR"/>
                        </w:rPr>
                      </w:pPr>
                      <w:r>
                        <w:rPr/>
                      </w:r>
                    </w:p>
                  </w:txbxContent>
                </v:textbox>
                <w10:wrap type="square"/>
              </v:rect>
            </w:pict>
          </mc:Fallback>
        </mc:AlternateContent>
      </w:r>
      <w:r>
        <w:rPr>
          <w:b/>
          <w:i/>
          <w:sz w:val="52"/>
          <w:szCs w:val="32"/>
        </w:rPr>
        <w:t>PLAN D’AFFAIRES</w:t>
      </w:r>
    </w:p>
    <w:tbl>
      <w:tblPr>
        <w:tblW w:w="9889" w:type="dxa"/>
        <w:jc w:val="left"/>
        <w:tblInd w:w="0" w:type="dxa"/>
        <w:tblLayout w:type="fixed"/>
        <w:tblCellMar>
          <w:top w:w="0" w:type="dxa"/>
          <w:left w:w="108" w:type="dxa"/>
          <w:bottom w:w="0" w:type="dxa"/>
          <w:right w:w="108" w:type="dxa"/>
        </w:tblCellMar>
      </w:tblPr>
      <w:tblGrid>
        <w:gridCol w:w="5056"/>
        <w:gridCol w:w="1660"/>
        <w:gridCol w:w="3173"/>
      </w:tblGrid>
      <w:tr>
        <w:trPr>
          <w:trHeight w:val="402" w:hRule="atLeast"/>
        </w:trPr>
        <w:tc>
          <w:tcPr>
            <w:tcW w:w="5056" w:type="dxa"/>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Elaboré avec l’appui de</w:t>
            </w:r>
          </w:p>
        </w:tc>
        <w:tc>
          <w:tcPr>
            <w:tcW w:w="4833" w:type="dxa"/>
            <w:gridSpan w:val="2"/>
            <w:tcBorders>
              <w:top w:val="dotted" w:sz="4" w:space="0" w:color="000000"/>
              <w:left w:val="dotted" w:sz="4" w:space="0" w:color="000000"/>
              <w:bottom w:val="dotted" w:sz="4" w:space="0" w:color="000000"/>
              <w:right w:val="dotted" w:sz="4" w:space="0" w:color="000000"/>
            </w:tcBorders>
            <w:vAlign w:val="center"/>
          </w:tcPr>
          <w:p>
            <w:pPr>
              <w:pStyle w:val="Normal"/>
              <w:rPr>
                <w:i/>
                <w:i/>
                <w:iCs/>
              </w:rPr>
            </w:pPr>
            <w:r>
              <w:rPr>
                <w:b/>
                <w:bCs/>
                <w:i/>
                <w:iCs/>
              </w:rPr>
              <w:t>APEJ</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Nom(s) et prénom(s)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Boubacar Coulibaly</w:t>
            </w:r>
          </w:p>
          <w:p>
            <w:pPr>
              <w:pStyle w:val="Normal"/>
              <w:rPr/>
            </w:pPr>
            <w:r>
              <w:rPr/>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Contact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lang w:val="en-CA"/>
              </w:rPr>
            </w:pPr>
            <w:r>
              <w:rPr>
                <w:lang w:val="en-CA"/>
              </w:rPr>
              <w:t xml:space="preserve">Cell: </w:t>
            </w:r>
            <w:r>
              <w:rPr/>
              <w:t>74 19 32 52 / 61 16 35 59</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Adresse</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Sanankoroba / Kabé</w:t>
            </w:r>
          </w:p>
        </w:tc>
      </w:tr>
      <w:tr>
        <w:trPr>
          <w:trHeight w:val="349"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Secteur d’activité</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Maraichage</w:t>
            </w:r>
          </w:p>
        </w:tc>
      </w:tr>
      <w:tr>
        <w:trPr>
          <w:trHeight w:val="170" w:hRule="atLeast"/>
        </w:trPr>
        <w:tc>
          <w:tcPr>
            <w:tcW w:w="5056" w:type="dxa"/>
            <w:vMerge w:val="restart"/>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Type de guichet</w:t>
            </w:r>
          </w:p>
        </w:tc>
        <w:tc>
          <w:tcPr>
            <w:tcW w:w="1660"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rPr/>
            </w:pPr>
            <w:r>
              <w:rPr/>
              <w:t>En création</w:t>
            </w:r>
          </w:p>
        </w:tc>
        <w:tc>
          <w:tcPr>
            <w:tcW w:w="3173"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jc w:val="center"/>
              <w:rPr>
                <w:b/>
                <w:bCs/>
              </w:rPr>
            </w:pPr>
            <w:r>
              <w:rPr>
                <w:b/>
                <w:bCs/>
                <w:lang w:val="en-US" w:eastAsia="en-US"/>
              </w:rPr>
              <w:t>X</w:t>
            </w:r>
          </w:p>
        </w:tc>
      </w:tr>
      <w:tr>
        <w:trPr>
          <w:trHeight w:val="170" w:hRule="atLeast"/>
        </w:trPr>
        <w:tc>
          <w:tcPr>
            <w:tcW w:w="5056"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snapToGrid w:val="false"/>
              <w:rPr>
                <w:b/>
                <w:bCs/>
              </w:rPr>
            </w:pPr>
            <w:r>
              <w:rPr>
                <w:b/>
                <w:bCs/>
              </w:rPr>
            </w:r>
          </w:p>
        </w:tc>
        <w:tc>
          <w:tcPr>
            <w:tcW w:w="166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pacing w:lineRule="auto" w:line="360"/>
              <w:rPr/>
            </w:pPr>
            <w:r>
              <w:rPr/>
              <w:t>En croissance</w:t>
            </w:r>
          </w:p>
        </w:tc>
        <w:tc>
          <w:tcPr>
            <w:tcW w:w="3173"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napToGrid w:val="false"/>
              <w:spacing w:lineRule="auto" w:line="360"/>
              <w:jc w:val="center"/>
              <w:rPr>
                <w:b/>
                <w:bCs/>
                <w:lang w:val="en-US" w:eastAsia="en-US"/>
              </w:rPr>
            </w:pPr>
            <w:r>
              <w:rPr>
                <w:b/>
                <w:bCs/>
                <w:lang w:val="en-US" w:eastAsia="en-US"/>
              </w:rPr>
            </w:r>
          </w:p>
        </w:tc>
      </w:tr>
    </w:tbl>
    <w:p>
      <w:pPr>
        <w:pStyle w:val="Normal"/>
        <w:rPr>
          <w:lang w:val="en-US" w:eastAsia="en-US"/>
        </w:rPr>
      </w:pPr>
      <w:r>
        <w:rPr>
          <w:lang w:val="en-US" w:eastAsia="en-US"/>
        </w:rPr>
      </w:r>
      <w:r>
        <w:br w:type="page"/>
      </w:r>
    </w:p>
    <w:p>
      <w:pPr>
        <w:pStyle w:val="Normal"/>
        <w:rPr/>
      </w:pPr>
      <w:r>
        <w:rPr/>
        <mc:AlternateContent>
          <mc:Choice Requires="wps">
            <w:drawing>
              <wp:anchor behindDoc="0" distT="0" distB="0" distL="0" distR="0" simplePos="0" locked="0" layoutInCell="0" allowOverlap="1" relativeHeight="8">
                <wp:simplePos x="0" y="0"/>
                <wp:positionH relativeFrom="margin">
                  <wp:posOffset>4903470</wp:posOffset>
                </wp:positionH>
                <wp:positionV relativeFrom="page">
                  <wp:posOffset>9514840</wp:posOffset>
                </wp:positionV>
                <wp:extent cx="1353185" cy="266700"/>
                <wp:effectExtent l="0" t="0" r="0" b="0"/>
                <wp:wrapNone/>
                <wp:docPr id="2" name="Frame2"/>
                <a:graphic xmlns:a="http://schemas.openxmlformats.org/drawingml/2006/main">
                  <a:graphicData uri="http://schemas.microsoft.com/office/word/2010/wordprocessingShape">
                    <wps:wsp>
                      <wps:cNvSpPr/>
                      <wps:spPr>
                        <a:xfrm>
                          <a:off x="0" y="0"/>
                          <a:ext cx="1353240" cy="266760"/>
                        </a:xfrm>
                        <a:prstGeom prst="rect">
                          <a:avLst/>
                        </a:prstGeom>
                        <a:solidFill>
                          <a:srgbClr val="156082"/>
                        </a:solidFill>
                        <a:ln w="0">
                          <a:noFill/>
                        </a:ln>
                      </wps:spPr>
                      <wps:style>
                        <a:lnRef idx="0"/>
                        <a:fillRef idx="0"/>
                        <a:effectRef idx="0"/>
                        <a:fontRef idx="minor"/>
                      </wps:style>
                      <wps:txb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wps:txbx>
                      <wps:bodyPr lIns="47160" rIns="47160" tIns="47160" bIns="47160" anchor="t">
                        <a:noAutofit/>
                      </wps:bodyPr>
                    </wps:wsp>
                  </a:graphicData>
                </a:graphic>
              </wp:anchor>
            </w:drawing>
          </mc:Choice>
          <mc:Fallback>
            <w:pict>
              <v:rect id="shape_0" ID="Frame2" path="m0,0l-2147483645,0l-2147483645,-2147483646l0,-2147483646xe" fillcolor="#156082" stroked="f" o:allowincell="f" style="position:absolute;margin-left:386.1pt;margin-top:749.2pt;width:106.5pt;height:20.95pt;mso-wrap-style:square;v-text-anchor:top;mso-position-horizontal-relative:margin;mso-position-vertical-relative:page">
                <v:fill o:detectmouseclick="t" type="solid" color2="#ea9f7d"/>
                <v:stroke color="#3465a4" joinstyle="round" endcap="flat"/>
                <v:textbo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v:textbox>
                <w10:wrap type="none"/>
              </v:rect>
            </w:pict>
          </mc:Fallback>
        </mc:AlternateContent>
      </w:r>
    </w:p>
    <w:p>
      <w:pPr>
        <w:pStyle w:val="Normal"/>
        <w:jc w:val="center"/>
        <w:rPr>
          <w:b/>
          <w:i/>
          <w:i/>
          <w:sz w:val="28"/>
          <w:szCs w:val="20"/>
        </w:rPr>
      </w:pPr>
      <w:r>
        <w:rPr>
          <w:b/>
          <w:i/>
          <w:sz w:val="28"/>
          <w:szCs w:val="20"/>
        </w:rPr>
        <w:t>Table des matières</w:t>
      </w:r>
    </w:p>
    <w:sdt>
      <w:sdtPr>
        <w:docPartObj>
          <w:docPartGallery w:val="Table of Contents"/>
          <w:docPartUnique w:val="true"/>
        </w:docPartObj>
      </w:sdtPr>
      <w:sdtContent>
        <w:p>
          <w:pPr>
            <w:pStyle w:val="TOC1"/>
            <w:tabs>
              <w:tab w:val="clear" w:pos="708"/>
              <w:tab w:val="left" w:pos="440" w:leader="none"/>
              <w:tab w:val="right" w:pos="9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4831690">
            <w:r>
              <w:rPr>
                <w:webHidden/>
                <w:rStyle w:val="IndexLink"/>
              </w:rPr>
              <w:t>I.</w:t>
              <w:tab/>
              <w:t>FICHE SIGNALÉTIQUE</w:t>
              <w:tab/>
              <w:t>3</w:t>
            </w:r>
          </w:hyperlink>
        </w:p>
        <w:p>
          <w:pPr>
            <w:pStyle w:val="TOC1"/>
            <w:tabs>
              <w:tab w:val="clear" w:pos="708"/>
              <w:tab w:val="left" w:pos="440" w:leader="none"/>
              <w:tab w:val="right" w:pos="9639" w:leader="dot"/>
            </w:tabs>
            <w:rPr/>
          </w:pPr>
          <w:hyperlink w:anchor="__RefHeading___Toc5919_3889484913">
            <w:r>
              <w:rPr>
                <w:webHidden/>
                <w:rStyle w:val="IndexLink"/>
              </w:rPr>
              <w:t>II.</w:t>
              <w:tab/>
              <w:t>APERÇU GÉNÉRAL</w:t>
              <w:tab/>
              <w:t>4</w:t>
            </w:r>
          </w:hyperlink>
        </w:p>
        <w:p>
          <w:pPr>
            <w:pStyle w:val="TOC2"/>
            <w:tabs>
              <w:tab w:val="clear" w:pos="708"/>
              <w:tab w:val="left" w:pos="880" w:leader="none"/>
              <w:tab w:val="right" w:pos="9639" w:leader="dot"/>
            </w:tabs>
            <w:rPr/>
          </w:pPr>
          <w:hyperlink w:anchor="__RefHeading___Toc234831692">
            <w:r>
              <w:rPr>
                <w:webHidden/>
                <w:rStyle w:val="IndexLink"/>
              </w:rPr>
              <w:t>1.</w:t>
              <w:tab/>
            </w:r>
            <w:r>
              <w:rPr>
                <w:rStyle w:val="IndexLink"/>
                <w:i w:val="false"/>
                <w:iCs w:val="false"/>
              </w:rPr>
              <w:t>Présentation du Promoteur :</w:t>
            </w:r>
            <w:r>
              <w:rPr>
                <w:rStyle w:val="IndexLink"/>
              </w:rPr>
              <w:tab/>
              <w:t>4</w:t>
            </w:r>
          </w:hyperlink>
        </w:p>
        <w:p>
          <w:pPr>
            <w:pStyle w:val="TOC2"/>
            <w:tabs>
              <w:tab w:val="clear" w:pos="708"/>
              <w:tab w:val="left" w:pos="880" w:leader="none"/>
              <w:tab w:val="right" w:pos="9639" w:leader="dot"/>
            </w:tabs>
            <w:rPr/>
          </w:pPr>
          <w:hyperlink w:anchor="__RefHeading___Toc234831693">
            <w:r>
              <w:rPr>
                <w:webHidden/>
                <w:rStyle w:val="IndexLink"/>
              </w:rPr>
              <w:t>2.</w:t>
              <w:tab/>
            </w:r>
            <w:r>
              <w:rPr>
                <w:rStyle w:val="IndexLink"/>
                <w:i w:val="false"/>
                <w:iCs w:val="false"/>
              </w:rPr>
              <w:t>Description du projet :</w:t>
            </w:r>
            <w:r>
              <w:rPr>
                <w:rStyle w:val="IndexLink"/>
              </w:rPr>
              <w:tab/>
              <w:t>4</w:t>
            </w:r>
          </w:hyperlink>
        </w:p>
        <w:p>
          <w:pPr>
            <w:pStyle w:val="TOC2"/>
            <w:tabs>
              <w:tab w:val="clear" w:pos="708"/>
              <w:tab w:val="left" w:pos="880" w:leader="none"/>
              <w:tab w:val="right" w:pos="9639" w:leader="dot"/>
            </w:tabs>
            <w:rPr/>
          </w:pPr>
          <w:hyperlink w:anchor="__RefHeading___Toc234831694">
            <w:r>
              <w:rPr>
                <w:webHidden/>
                <w:rStyle w:val="IndexLink"/>
              </w:rPr>
              <w:t>3.</w:t>
              <w:tab/>
            </w:r>
            <w:r>
              <w:rPr>
                <w:rStyle w:val="IndexLink"/>
                <w:i w:val="false"/>
                <w:iCs w:val="false"/>
              </w:rPr>
              <w:t>Objectifs du projet :</w:t>
            </w:r>
            <w:r>
              <w:rPr>
                <w:rStyle w:val="IndexLink"/>
              </w:rPr>
              <w:tab/>
              <w:t>4</w:t>
            </w:r>
          </w:hyperlink>
        </w:p>
        <w:p>
          <w:pPr>
            <w:pStyle w:val="TOC2"/>
            <w:tabs>
              <w:tab w:val="clear" w:pos="708"/>
              <w:tab w:val="left" w:pos="880" w:leader="none"/>
              <w:tab w:val="right" w:pos="9639" w:leader="dot"/>
            </w:tabs>
            <w:rPr/>
          </w:pPr>
          <w:hyperlink w:anchor="__RefHeading___Toc234831695">
            <w:r>
              <w:rPr>
                <w:webHidden/>
                <w:rStyle w:val="IndexLink"/>
              </w:rPr>
              <w:t>4.</w:t>
              <w:tab/>
            </w:r>
            <w:r>
              <w:rPr>
                <w:rStyle w:val="IndexLink"/>
                <w:i w:val="false"/>
                <w:iCs w:val="false"/>
              </w:rPr>
              <w:t>Localisation du projet</w:t>
            </w:r>
            <w:r>
              <w:rPr>
                <w:rStyle w:val="IndexLink"/>
              </w:rPr>
              <w:tab/>
              <w:t>4</w:t>
            </w:r>
          </w:hyperlink>
        </w:p>
        <w:p>
          <w:pPr>
            <w:pStyle w:val="TOC1"/>
            <w:tabs>
              <w:tab w:val="clear" w:pos="708"/>
              <w:tab w:val="left" w:pos="440" w:leader="none"/>
              <w:tab w:val="right" w:pos="9639" w:leader="dot"/>
            </w:tabs>
            <w:rPr/>
          </w:pPr>
          <w:hyperlink w:anchor="__RefHeading___Toc234831696">
            <w:r>
              <w:rPr>
                <w:webHidden/>
                <w:rStyle w:val="IndexLink"/>
              </w:rPr>
              <w:t>III.</w:t>
              <w:tab/>
              <w:t>ÉTUDE DE MARCHÉ</w:t>
              <w:tab/>
              <w:t>5</w:t>
            </w:r>
          </w:hyperlink>
        </w:p>
        <w:p>
          <w:pPr>
            <w:pStyle w:val="TOC2"/>
            <w:tabs>
              <w:tab w:val="clear" w:pos="708"/>
              <w:tab w:val="left" w:pos="880" w:leader="none"/>
              <w:tab w:val="right" w:pos="9639" w:leader="dot"/>
            </w:tabs>
            <w:rPr/>
          </w:pPr>
          <w:hyperlink w:anchor="__RefHeading___Toc234831697">
            <w:r>
              <w:rPr>
                <w:webHidden/>
                <w:rStyle w:val="IndexLink"/>
              </w:rPr>
              <w:t>1.</w:t>
              <w:tab/>
            </w:r>
            <w:r>
              <w:rPr>
                <w:rStyle w:val="IndexLink"/>
                <w:i w:val="false"/>
                <w:iCs w:val="false"/>
              </w:rPr>
              <w:t>Les produits</w:t>
            </w:r>
            <w:r>
              <w:rPr>
                <w:rStyle w:val="IndexLink"/>
              </w:rPr>
              <w:tab/>
              <w:t>5</w:t>
            </w:r>
          </w:hyperlink>
        </w:p>
        <w:p>
          <w:pPr>
            <w:pStyle w:val="TOC2"/>
            <w:tabs>
              <w:tab w:val="clear" w:pos="708"/>
              <w:tab w:val="left" w:pos="880" w:leader="none"/>
              <w:tab w:val="right" w:pos="9639" w:leader="dot"/>
            </w:tabs>
            <w:rPr/>
          </w:pPr>
          <w:hyperlink w:anchor="__RefHeading___Toc234831698">
            <w:r>
              <w:rPr>
                <w:webHidden/>
                <w:rStyle w:val="IndexLink"/>
              </w:rPr>
              <w:t>2.</w:t>
              <w:tab/>
            </w:r>
            <w:r>
              <w:rPr>
                <w:rStyle w:val="IndexLink"/>
                <w:i w:val="false"/>
                <w:iCs w:val="false"/>
              </w:rPr>
              <w:t>Le marché cible / secteur d’activité</w:t>
            </w:r>
            <w:r>
              <w:rPr>
                <w:rStyle w:val="IndexLink"/>
              </w:rPr>
              <w:tab/>
              <w:t>5</w:t>
            </w:r>
          </w:hyperlink>
        </w:p>
        <w:p>
          <w:pPr>
            <w:pStyle w:val="TOC2"/>
            <w:tabs>
              <w:tab w:val="clear" w:pos="708"/>
              <w:tab w:val="left" w:pos="880" w:leader="none"/>
              <w:tab w:val="right" w:pos="9639" w:leader="dot"/>
            </w:tabs>
            <w:rPr/>
          </w:pPr>
          <w:hyperlink w:anchor="__RefHeading___Toc234831699">
            <w:r>
              <w:rPr>
                <w:webHidden/>
                <w:rStyle w:val="IndexLink"/>
              </w:rPr>
              <w:t>3.</w:t>
              <w:tab/>
            </w:r>
            <w:r>
              <w:rPr>
                <w:rStyle w:val="IndexLink"/>
                <w:i w:val="false"/>
                <w:iCs w:val="false"/>
              </w:rPr>
              <w:t>Analyse de l’offre :</w:t>
            </w:r>
            <w:r>
              <w:rPr>
                <w:rStyle w:val="IndexLink"/>
              </w:rPr>
              <w:tab/>
              <w:t>5</w:t>
            </w:r>
          </w:hyperlink>
        </w:p>
        <w:p>
          <w:pPr>
            <w:pStyle w:val="TOC2"/>
            <w:tabs>
              <w:tab w:val="clear" w:pos="708"/>
              <w:tab w:val="left" w:pos="880" w:leader="none"/>
              <w:tab w:val="right" w:pos="9639" w:leader="dot"/>
            </w:tabs>
            <w:rPr/>
          </w:pPr>
          <w:hyperlink w:anchor="__RefHeading___Toc234831705">
            <w:r>
              <w:rPr>
                <w:webHidden/>
                <w:rStyle w:val="IndexLink"/>
              </w:rPr>
              <w:t>1.</w:t>
              <w:tab/>
            </w:r>
            <w:r>
              <w:rPr>
                <w:rStyle w:val="IndexLink"/>
                <w:i w:val="false"/>
                <w:iCs w:val="false"/>
              </w:rPr>
              <w:t>La demande</w:t>
            </w:r>
            <w:r>
              <w:rPr>
                <w:rStyle w:val="IndexLink"/>
              </w:rPr>
              <w:t xml:space="preserve"> (clientèle cible)</w:t>
            </w:r>
            <w:r>
              <w:rPr>
                <w:rStyle w:val="IndexLink"/>
                <w:i w:val="false"/>
                <w:iCs w:val="false"/>
              </w:rPr>
              <w:t> :</w:t>
            </w:r>
            <w:r>
              <w:rPr>
                <w:rStyle w:val="IndexLink"/>
              </w:rPr>
              <w:tab/>
              <w:t>6</w:t>
            </w:r>
          </w:hyperlink>
        </w:p>
        <w:p>
          <w:pPr>
            <w:pStyle w:val="TOC2"/>
            <w:tabs>
              <w:tab w:val="clear" w:pos="708"/>
              <w:tab w:val="left" w:pos="880" w:leader="none"/>
              <w:tab w:val="right" w:pos="9639" w:leader="dot"/>
            </w:tabs>
            <w:rPr/>
          </w:pPr>
          <w:hyperlink w:anchor="__RefHeading___Toc234831706">
            <w:r>
              <w:rPr>
                <w:webHidden/>
                <w:rStyle w:val="IndexLink"/>
              </w:rPr>
              <w:t>2.</w:t>
              <w:tab/>
            </w:r>
            <w:r>
              <w:rPr>
                <w:rStyle w:val="IndexLink"/>
                <w:i w:val="false"/>
                <w:iCs w:val="false"/>
              </w:rPr>
              <w:t>Stratégies marketing :</w:t>
            </w:r>
            <w:r>
              <w:rPr>
                <w:rStyle w:val="IndexLink"/>
              </w:rPr>
              <w:tab/>
              <w:t>7</w:t>
            </w:r>
          </w:hyperlink>
        </w:p>
        <w:p>
          <w:pPr>
            <w:pStyle w:val="TOC1"/>
            <w:tabs>
              <w:tab w:val="clear" w:pos="708"/>
              <w:tab w:val="left" w:pos="440" w:leader="none"/>
              <w:tab w:val="right" w:pos="9639" w:leader="dot"/>
            </w:tabs>
            <w:rPr/>
          </w:pPr>
          <w:hyperlink w:anchor="__RefHeading___Toc234831707">
            <w:r>
              <w:rPr>
                <w:webHidden/>
                <w:rStyle w:val="IndexLink"/>
              </w:rPr>
              <w:t>V.</w:t>
              <w:tab/>
              <w:t>ÉTUDE TECHNIQUE</w:t>
              <w:tab/>
              <w:t>7</w:t>
            </w:r>
          </w:hyperlink>
        </w:p>
        <w:p>
          <w:pPr>
            <w:pStyle w:val="TOC2"/>
            <w:tabs>
              <w:tab w:val="clear" w:pos="708"/>
              <w:tab w:val="left" w:pos="880" w:leader="none"/>
              <w:tab w:val="right" w:pos="9639" w:leader="dot"/>
            </w:tabs>
            <w:rPr/>
          </w:pPr>
          <w:hyperlink w:anchor="__RefHeading___Toc234831708">
            <w:r>
              <w:rPr>
                <w:webHidden/>
                <w:rStyle w:val="IndexLink"/>
              </w:rPr>
              <w:t>1.</w:t>
              <w:tab/>
            </w:r>
            <w:r>
              <w:rPr>
                <w:rStyle w:val="IndexLink"/>
                <w:i w:val="false"/>
                <w:iCs w:val="false"/>
              </w:rPr>
              <w:t>Site d’implantation :</w:t>
            </w:r>
            <w:r>
              <w:rPr>
                <w:rStyle w:val="IndexLink"/>
              </w:rPr>
              <w:tab/>
              <w:t>7</w:t>
            </w:r>
          </w:hyperlink>
        </w:p>
        <w:p>
          <w:pPr>
            <w:pStyle w:val="TOC2"/>
            <w:tabs>
              <w:tab w:val="clear" w:pos="708"/>
              <w:tab w:val="left" w:pos="880" w:leader="none"/>
              <w:tab w:val="right" w:pos="9639" w:leader="dot"/>
            </w:tabs>
            <w:rPr/>
          </w:pPr>
          <w:hyperlink w:anchor="__RefHeading___Toc234831709">
            <w:r>
              <w:rPr>
                <w:webHidden/>
                <w:rStyle w:val="IndexLink"/>
              </w:rPr>
              <w:t>2.</w:t>
              <w:tab/>
            </w:r>
            <w:r>
              <w:rPr>
                <w:rStyle w:val="IndexLink"/>
                <w:i w:val="false"/>
                <w:iCs w:val="false"/>
              </w:rPr>
              <w:t>Locaux, aménagements / installations et équipements</w:t>
            </w:r>
            <w:r>
              <w:rPr>
                <w:rStyle w:val="IndexLink"/>
              </w:rPr>
              <w:tab/>
              <w:t>7</w:t>
            </w:r>
          </w:hyperlink>
        </w:p>
        <w:p>
          <w:pPr>
            <w:pStyle w:val="TOC3"/>
            <w:tabs>
              <w:tab w:val="clear" w:pos="708"/>
              <w:tab w:val="left" w:pos="1320" w:leader="none"/>
              <w:tab w:val="right" w:pos="9639" w:leader="dot"/>
            </w:tabs>
            <w:rPr/>
          </w:pPr>
          <w:hyperlink w:anchor="__RefHeading___Toc234831710">
            <w:r>
              <w:rPr>
                <w:webHidden/>
                <w:rStyle w:val="IndexLink"/>
              </w:rPr>
              <w:t>2.1</w:t>
              <w:tab/>
              <w:t>Equipements de production :</w:t>
              <w:tab/>
              <w:t>8</w:t>
            </w:r>
          </w:hyperlink>
        </w:p>
        <w:p>
          <w:pPr>
            <w:pStyle w:val="TOC2"/>
            <w:tabs>
              <w:tab w:val="clear" w:pos="708"/>
              <w:tab w:val="left" w:pos="880" w:leader="none"/>
              <w:tab w:val="right" w:pos="9639" w:leader="dot"/>
            </w:tabs>
            <w:rPr/>
          </w:pPr>
          <w:hyperlink w:anchor="__RefHeading___Toc234831711">
            <w:r>
              <w:rPr>
                <w:webHidden/>
                <w:rStyle w:val="IndexLink"/>
              </w:rPr>
              <w:t>3.</w:t>
              <w:tab/>
            </w:r>
            <w:r>
              <w:rPr>
                <w:rStyle w:val="IndexLink"/>
                <w:i w:val="false"/>
                <w:iCs w:val="false"/>
              </w:rPr>
              <w:t xml:space="preserve">Le processus de production : </w:t>
            </w:r>
            <w:r>
              <w:rPr>
                <w:rStyle w:val="IndexLink"/>
                <w:i w:val="false"/>
              </w:rPr>
              <w:t>(définir le process et la capacité de production de l’entreprise)</w:t>
            </w:r>
            <w:r>
              <w:rPr>
                <w:rStyle w:val="IndexLink"/>
              </w:rPr>
              <w:tab/>
              <w:t>8</w:t>
            </w:r>
          </w:hyperlink>
        </w:p>
        <w:p>
          <w:pPr>
            <w:pStyle w:val="TOC2"/>
            <w:tabs>
              <w:tab w:val="clear" w:pos="708"/>
              <w:tab w:val="left" w:pos="880" w:leader="none"/>
              <w:tab w:val="right" w:pos="9639" w:leader="dot"/>
            </w:tabs>
            <w:rPr/>
          </w:pPr>
          <w:hyperlink w:anchor="__RefHeading___Toc234831712">
            <w:r>
              <w:rPr>
                <w:webHidden/>
                <w:rStyle w:val="IndexLink"/>
              </w:rPr>
              <w:t>4.</w:t>
              <w:tab/>
            </w:r>
            <w:r>
              <w:rPr>
                <w:rStyle w:val="IndexLink"/>
                <w:i w:val="false"/>
                <w:iCs w:val="false"/>
              </w:rPr>
              <w:t xml:space="preserve">Le personnel : </w:t>
            </w:r>
            <w:r>
              <w:rPr>
                <w:rStyle w:val="IndexLink"/>
              </w:rPr>
              <w:t>(profil et compétences)</w:t>
              <w:tab/>
              <w:t>9</w:t>
            </w:r>
          </w:hyperlink>
        </w:p>
        <w:p>
          <w:pPr>
            <w:pStyle w:val="TOC1"/>
            <w:tabs>
              <w:tab w:val="clear" w:pos="708"/>
              <w:tab w:val="left" w:pos="440" w:leader="none"/>
              <w:tab w:val="right" w:pos="9639" w:leader="dot"/>
            </w:tabs>
            <w:rPr/>
          </w:pPr>
          <w:hyperlink w:anchor="__RefHeading___Toc234831713">
            <w:r>
              <w:rPr>
                <w:webHidden/>
                <w:rStyle w:val="IndexLink"/>
              </w:rPr>
              <w:t>VI.</w:t>
              <w:tab/>
              <w:t>ÉTUDE ÉCONOMIQUE ET FINANCIÈRE</w:t>
              <w:tab/>
              <w:t>9</w:t>
            </w:r>
          </w:hyperlink>
        </w:p>
        <w:p>
          <w:pPr>
            <w:pStyle w:val="TOC2"/>
            <w:tabs>
              <w:tab w:val="clear" w:pos="708"/>
              <w:tab w:val="left" w:pos="880" w:leader="none"/>
              <w:tab w:val="right" w:pos="9639" w:leader="dot"/>
            </w:tabs>
            <w:rPr/>
          </w:pPr>
          <w:hyperlink w:anchor="__RefHeading___Toc234831714">
            <w:r>
              <w:rPr>
                <w:webHidden/>
                <w:rStyle w:val="IndexLink"/>
              </w:rPr>
              <w:t>VI.1</w:t>
              <w:tab/>
            </w:r>
            <w:r>
              <w:rPr>
                <w:rStyle w:val="IndexLink"/>
                <w:i w:val="false"/>
                <w:iCs w:val="false"/>
              </w:rPr>
              <w:t>Hypothèses de base</w:t>
            </w:r>
            <w:r>
              <w:rPr>
                <w:rStyle w:val="IndexLink"/>
              </w:rPr>
              <w:tab/>
              <w:t>9</w:t>
            </w:r>
          </w:hyperlink>
        </w:p>
        <w:p>
          <w:pPr>
            <w:pStyle w:val="TOC3"/>
            <w:tabs>
              <w:tab w:val="clear" w:pos="708"/>
              <w:tab w:val="left" w:pos="1320" w:leader="none"/>
              <w:tab w:val="right" w:pos="9639" w:leader="dot"/>
            </w:tabs>
            <w:rPr/>
          </w:pPr>
          <w:hyperlink w:anchor="__RefHeading___Toc234831715">
            <w:r>
              <w:rPr>
                <w:webHidden/>
                <w:rStyle w:val="IndexLink"/>
              </w:rPr>
              <w:t>VI.1.1</w:t>
              <w:tab/>
              <w:t>Recettes prévisionnelles annuelles</w:t>
              <w:tab/>
              <w:t>9</w:t>
            </w:r>
          </w:hyperlink>
        </w:p>
        <w:p>
          <w:pPr>
            <w:pStyle w:val="TOC3"/>
            <w:tabs>
              <w:tab w:val="clear" w:pos="708"/>
              <w:tab w:val="left" w:pos="1320" w:leader="none"/>
              <w:tab w:val="right" w:pos="9639" w:leader="dot"/>
            </w:tabs>
            <w:rPr/>
          </w:pPr>
          <w:hyperlink w:anchor="__RefHeading___Toc234831716">
            <w:r>
              <w:rPr>
                <w:webHidden/>
                <w:rStyle w:val="IndexLink"/>
              </w:rPr>
              <w:t>VI.1.2</w:t>
              <w:tab/>
              <w:t>Données prévisionnelles sur les achats</w:t>
              <w:tab/>
              <w:t>10</w:t>
            </w:r>
          </w:hyperlink>
        </w:p>
        <w:p>
          <w:pPr>
            <w:pStyle w:val="TOC3"/>
            <w:tabs>
              <w:tab w:val="clear" w:pos="708"/>
              <w:tab w:val="left" w:pos="1320" w:leader="none"/>
              <w:tab w:val="right" w:pos="9639" w:leader="dot"/>
            </w:tabs>
            <w:rPr/>
          </w:pPr>
          <w:hyperlink w:anchor="__RefHeading___Toc234831717">
            <w:r>
              <w:rPr>
                <w:webHidden/>
                <w:rStyle w:val="IndexLink"/>
              </w:rPr>
              <w:tab/>
              <w:t>Achats de matières premières</w:t>
              <w:tab/>
              <w:t>10</w:t>
            </w:r>
          </w:hyperlink>
        </w:p>
        <w:p>
          <w:pPr>
            <w:pStyle w:val="TOC3"/>
            <w:tabs>
              <w:tab w:val="clear" w:pos="708"/>
              <w:tab w:val="left" w:pos="1320" w:leader="none"/>
              <w:tab w:val="right" w:pos="9639" w:leader="dot"/>
            </w:tabs>
            <w:rPr/>
          </w:pPr>
          <w:hyperlink w:anchor="__RefHeading___Toc234831718">
            <w:r>
              <w:rPr>
                <w:webHidden/>
                <w:rStyle w:val="IndexLink"/>
              </w:rPr>
              <w:t>VI.1.3</w:t>
              <w:tab/>
              <w:t>Frais Généraux</w:t>
              <w:tab/>
              <w:t>10</w:t>
            </w:r>
          </w:hyperlink>
        </w:p>
        <w:p>
          <w:pPr>
            <w:pStyle w:val="TOC3"/>
            <w:tabs>
              <w:tab w:val="clear" w:pos="708"/>
              <w:tab w:val="left" w:pos="1320" w:leader="none"/>
              <w:tab w:val="right" w:pos="9639" w:leader="dot"/>
            </w:tabs>
            <w:rPr/>
          </w:pPr>
          <w:hyperlink w:anchor="__RefHeading___Toc234831719">
            <w:r>
              <w:rPr>
                <w:webHidden/>
                <w:rStyle w:val="IndexLink"/>
              </w:rPr>
              <w:t>VI.1.4</w:t>
              <w:tab/>
              <w:t>Dotations aux amortissements</w:t>
              <w:tab/>
              <w:t>10</w:t>
            </w:r>
          </w:hyperlink>
        </w:p>
        <w:p>
          <w:pPr>
            <w:pStyle w:val="TOC3"/>
            <w:tabs>
              <w:tab w:val="clear" w:pos="708"/>
              <w:tab w:val="left" w:pos="1320" w:leader="none"/>
              <w:tab w:val="right" w:pos="9639" w:leader="dot"/>
            </w:tabs>
            <w:rPr/>
          </w:pPr>
          <w:hyperlink w:anchor="__RefHeading___Toc234831720">
            <w:r>
              <w:rPr>
                <w:webHidden/>
                <w:rStyle w:val="IndexLink"/>
              </w:rPr>
              <w:t>VI.1.5</w:t>
              <w:tab/>
              <w:t>Echéancier de remboursement</w:t>
              <w:tab/>
              <w:t>11</w:t>
            </w:r>
          </w:hyperlink>
        </w:p>
        <w:p>
          <w:pPr>
            <w:pStyle w:val="TOC2"/>
            <w:tabs>
              <w:tab w:val="clear" w:pos="708"/>
              <w:tab w:val="left" w:pos="880" w:leader="none"/>
              <w:tab w:val="right" w:pos="9639" w:leader="dot"/>
            </w:tabs>
            <w:rPr/>
          </w:pPr>
          <w:hyperlink w:anchor="__RefHeading___Toc234831721">
            <w:r>
              <w:rPr>
                <w:webHidden/>
                <w:rStyle w:val="IndexLink"/>
              </w:rPr>
              <w:t>VI.2</w:t>
              <w:tab/>
            </w:r>
            <w:r>
              <w:rPr>
                <w:rStyle w:val="IndexLink"/>
                <w:i w:val="false"/>
                <w:iCs w:val="false"/>
              </w:rPr>
              <w:t>Coût total du projet</w:t>
            </w:r>
            <w:r>
              <w:rPr>
                <w:rStyle w:val="IndexLink"/>
              </w:rPr>
              <w:tab/>
              <w:t>12</w:t>
            </w:r>
          </w:hyperlink>
        </w:p>
        <w:p>
          <w:pPr>
            <w:pStyle w:val="TOC2"/>
            <w:tabs>
              <w:tab w:val="clear" w:pos="708"/>
              <w:tab w:val="left" w:pos="880" w:leader="none"/>
              <w:tab w:val="right" w:pos="9639" w:leader="dot"/>
            </w:tabs>
            <w:rPr/>
          </w:pPr>
          <w:hyperlink w:anchor="__RefHeading___Toc234831722">
            <w:r>
              <w:rPr>
                <w:webHidden/>
                <w:rStyle w:val="IndexLink"/>
              </w:rPr>
              <w:t>VI.3</w:t>
              <w:tab/>
            </w:r>
            <w:r>
              <w:rPr>
                <w:rStyle w:val="IndexLink"/>
                <w:i w:val="false"/>
                <w:iCs w:val="false"/>
              </w:rPr>
              <w:t>Plan de financement</w:t>
            </w:r>
            <w:r>
              <w:rPr>
                <w:rStyle w:val="IndexLink"/>
              </w:rPr>
              <w:tab/>
              <w:t>13</w:t>
            </w:r>
          </w:hyperlink>
        </w:p>
        <w:p>
          <w:pPr>
            <w:pStyle w:val="TOC2"/>
            <w:tabs>
              <w:tab w:val="clear" w:pos="708"/>
              <w:tab w:val="left" w:pos="880" w:leader="none"/>
              <w:tab w:val="right" w:pos="9639" w:leader="dot"/>
            </w:tabs>
            <w:rPr/>
          </w:pPr>
          <w:hyperlink w:anchor="__RefHeading___Toc234831723">
            <w:r>
              <w:rPr>
                <w:webHidden/>
                <w:rStyle w:val="IndexLink"/>
              </w:rPr>
              <w:t>VI.4</w:t>
              <w:tab/>
            </w:r>
            <w:r>
              <w:rPr>
                <w:rStyle w:val="IndexLink"/>
                <w:i w:val="false"/>
                <w:iCs w:val="false"/>
              </w:rPr>
              <w:t>Compte d'exploitation prévisionnel</w:t>
            </w:r>
            <w:r>
              <w:rPr>
                <w:rStyle w:val="IndexLink"/>
              </w:rPr>
              <w:tab/>
              <w:t>14</w:t>
            </w:r>
          </w:hyperlink>
        </w:p>
        <w:p>
          <w:pPr>
            <w:pStyle w:val="TOC2"/>
            <w:tabs>
              <w:tab w:val="clear" w:pos="708"/>
              <w:tab w:val="left" w:pos="880" w:leader="none"/>
              <w:tab w:val="right" w:pos="9639" w:leader="dot"/>
            </w:tabs>
            <w:rPr/>
          </w:pPr>
          <w:hyperlink w:anchor="__RefHeading___Toc234831724">
            <w:r>
              <w:rPr>
                <w:webHidden/>
                <w:rStyle w:val="IndexLink"/>
              </w:rPr>
              <w:t>VI.5</w:t>
              <w:tab/>
            </w:r>
            <w:r>
              <w:rPr>
                <w:rStyle w:val="IndexLink"/>
                <w:i w:val="false"/>
                <w:iCs w:val="false"/>
              </w:rPr>
              <w:t>Tableau de financement annuel</w:t>
            </w:r>
            <w:r>
              <w:rPr>
                <w:rStyle w:val="IndexLink"/>
              </w:rPr>
              <w:tab/>
              <w:t>15</w:t>
            </w:r>
          </w:hyperlink>
        </w:p>
        <w:p>
          <w:pPr>
            <w:pStyle w:val="TOC2"/>
            <w:tabs>
              <w:tab w:val="clear" w:pos="708"/>
              <w:tab w:val="left" w:pos="880" w:leader="none"/>
              <w:tab w:val="right" w:pos="9639" w:leader="dot"/>
            </w:tabs>
            <w:rPr/>
          </w:pPr>
          <w:hyperlink w:anchor="__RefHeading___Toc234831725">
            <w:r>
              <w:rPr>
                <w:webHidden/>
                <w:rStyle w:val="IndexLink"/>
              </w:rPr>
              <w:t>VI.6</w:t>
              <w:tab/>
            </w:r>
            <w:r>
              <w:rPr>
                <w:rStyle w:val="IndexLink"/>
                <w:i w:val="false"/>
                <w:iCs w:val="false"/>
              </w:rPr>
              <w:t>Bilan de départ</w:t>
            </w:r>
            <w:r>
              <w:rPr>
                <w:rStyle w:val="IndexLink"/>
              </w:rPr>
              <w:tab/>
              <w:t>16</w:t>
            </w:r>
          </w:hyperlink>
        </w:p>
        <w:p>
          <w:pPr>
            <w:pStyle w:val="TOC2"/>
            <w:tabs>
              <w:tab w:val="clear" w:pos="708"/>
              <w:tab w:val="left" w:pos="880" w:leader="none"/>
              <w:tab w:val="right" w:pos="9639" w:leader="dot"/>
            </w:tabs>
            <w:rPr/>
          </w:pPr>
          <w:hyperlink w:anchor="__RefHeading___Toc234831726">
            <w:r>
              <w:rPr>
                <w:webHidden/>
                <w:rStyle w:val="IndexLink"/>
              </w:rPr>
              <w:t>VI.7</w:t>
              <w:tab/>
            </w:r>
            <w:r>
              <w:rPr>
                <w:rStyle w:val="IndexLink"/>
                <w:i w:val="false"/>
                <w:iCs w:val="false"/>
              </w:rPr>
              <w:t>Calcul de rentabilité</w:t>
            </w:r>
            <w:r>
              <w:rPr>
                <w:rStyle w:val="IndexLink"/>
              </w:rPr>
              <w:tab/>
              <w:t>17</w:t>
            </w:r>
          </w:hyperlink>
        </w:p>
        <w:p>
          <w:pPr>
            <w:pStyle w:val="TOC1"/>
            <w:tabs>
              <w:tab w:val="clear" w:pos="708"/>
              <w:tab w:val="left" w:pos="440" w:leader="none"/>
              <w:tab w:val="right" w:pos="9639" w:leader="dot"/>
            </w:tabs>
            <w:rPr/>
          </w:pPr>
          <w:hyperlink w:anchor="__RefHeading___Toc234831727">
            <w:r>
              <w:rPr>
                <w:webHidden/>
                <w:rStyle w:val="IndexLink"/>
              </w:rPr>
              <w:t>VII.</w:t>
              <w:tab/>
              <w:t>ANALYSE DES FORCES, FAIBLESSES, OPPORTUNITÉS ET MENACES</w:t>
              <w:tab/>
              <w:t>18</w:t>
            </w:r>
          </w:hyperlink>
        </w:p>
        <w:p>
          <w:pPr>
            <w:pStyle w:val="TOC1"/>
            <w:tabs>
              <w:tab w:val="clear" w:pos="708"/>
              <w:tab w:val="left" w:pos="440" w:leader="none"/>
              <w:tab w:val="right" w:pos="9639" w:leader="dot"/>
            </w:tabs>
            <w:rPr/>
          </w:pPr>
          <w:hyperlink w:anchor="__RefHeading___Toc234831728">
            <w:r>
              <w:rPr>
                <w:webHidden/>
                <w:rStyle w:val="IndexLink"/>
              </w:rPr>
              <w:t>VIII.</w:t>
              <w:tab/>
              <w:t>CONCLUSION</w:t>
              <w:tab/>
              <w:t>19</w:t>
            </w:r>
          </w:hyperlink>
          <w:r>
            <w:rPr>
              <w:rStyle w:val="IndexLink"/>
            </w:rPr>
            <w:fldChar w:fldCharType="end"/>
          </w:r>
        </w:p>
      </w:sdtContent>
    </w:sdt>
    <w:p>
      <w:pPr>
        <w:pStyle w:val="TOC1"/>
        <w:rPr>
          <w:rStyle w:val="IndexLink"/>
          <w:rFonts w:ascii="Calibri" w:hAnsi="Calibri" w:cs="Calibri"/>
          <w:b/>
          <w:bCs/>
          <w:caps/>
          <w:sz w:val="22"/>
          <w:szCs w:val="22"/>
        </w:rPr>
      </w:pPr>
      <w:r>
        <w:rPr>
          <w:rFonts w:cs="Calibri" w:ascii="Calibri" w:hAnsi="Calibri"/>
          <w:b/>
          <w:bCs/>
          <w:caps/>
          <w:sz w:val="22"/>
          <w:szCs w:val="22"/>
        </w:rPr>
      </w:r>
    </w:p>
    <w:p>
      <w:pPr>
        <w:pStyle w:val="Normal"/>
        <w:jc w:val="both"/>
        <w:rPr>
          <w:rFonts w:ascii="Calibri" w:hAnsi="Calibri" w:cs="Calibri"/>
          <w:b/>
          <w:bCs/>
          <w:caps/>
          <w:sz w:val="20"/>
          <w:szCs w:val="20"/>
        </w:rPr>
      </w:pPr>
      <w:r>
        <w:rPr>
          <w:rFonts w:cs="Calibri" w:ascii="Calibri" w:hAnsi="Calibri"/>
          <w:b/>
          <w:bCs/>
          <w:caps/>
          <w:sz w:val="20"/>
          <w:szCs w:val="20"/>
        </w:rPr>
      </w:r>
    </w:p>
    <w:p>
      <w:pPr>
        <w:pStyle w:val="Heading1"/>
        <w:keepLines/>
        <w:numPr>
          <w:ilvl w:val="0"/>
          <w:numId w:val="5"/>
        </w:numPr>
        <w:spacing w:before="240" w:after="120"/>
        <w:ind w:hanging="431" w:left="431" w:right="0"/>
        <w:jc w:val="both"/>
        <w:rPr>
          <w:rFonts w:ascii="Times New Roman" w:hAnsi="Times New Roman" w:cs="Times New Roman"/>
          <w:caps/>
          <w:color w:val="166B7F"/>
          <w:kern w:val="0"/>
          <w:lang w:eastAsia="en-US"/>
        </w:rPr>
      </w:pPr>
      <w:bookmarkStart w:id="0" w:name="__RefHeading___Toc234831690"/>
      <w:bookmarkEnd w:id="0"/>
      <w:r>
        <w:rPr>
          <w:rFonts w:cs="Times New Roman" w:ascii="Times New Roman" w:hAnsi="Times New Roman"/>
          <w:caps/>
          <w:color w:val="166B7F"/>
          <w:kern w:val="0"/>
          <w:lang w:eastAsia="en-US"/>
        </w:rPr>
        <w:t>FICHE SIGNALÉTIQUE</w:t>
      </w:r>
    </w:p>
    <w:tbl>
      <w:tblPr>
        <w:tblW w:w="9781" w:type="dxa"/>
        <w:jc w:val="left"/>
        <w:tblInd w:w="70" w:type="dxa"/>
        <w:tblLayout w:type="fixed"/>
        <w:tblCellMar>
          <w:top w:w="0" w:type="dxa"/>
          <w:left w:w="70" w:type="dxa"/>
          <w:bottom w:w="0" w:type="dxa"/>
          <w:right w:w="70" w:type="dxa"/>
        </w:tblCellMar>
      </w:tblPr>
      <w:tblGrid>
        <w:gridCol w:w="3543"/>
        <w:gridCol w:w="2695"/>
        <w:gridCol w:w="282"/>
        <w:gridCol w:w="992"/>
        <w:gridCol w:w="851"/>
        <w:gridCol w:w="899"/>
        <w:gridCol w:w="196"/>
        <w:gridCol w:w="322"/>
      </w:tblGrid>
      <w:tr>
        <w:trPr>
          <w:trHeight w:val="405" w:hRule="atLeast"/>
        </w:trPr>
        <w:tc>
          <w:tcPr>
            <w:tcW w:w="9780" w:type="dxa"/>
            <w:gridSpan w:val="8"/>
            <w:tcBorders/>
            <w:shd w:fill="166B7F" w:val="clear"/>
            <w:vAlign w:val="bottom"/>
          </w:tcPr>
          <w:p>
            <w:pPr>
              <w:pStyle w:val="Normal"/>
              <w:jc w:val="center"/>
              <w:rPr>
                <w:b/>
                <w:bCs/>
                <w:color w:val="FFFFFF"/>
                <w:sz w:val="22"/>
                <w:szCs w:val="22"/>
              </w:rPr>
            </w:pPr>
            <w:r>
              <w:rPr>
                <w:b/>
                <w:bCs/>
                <w:color w:val="FFFFFF"/>
                <w:sz w:val="22"/>
                <w:szCs w:val="22"/>
              </w:rPr>
              <w:t>FICHE SIGNALETIQUE</w:t>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Nom(s) et prénom(s)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Boubacar Coulibaly</w:t>
            </w:r>
          </w:p>
          <w:p>
            <w:pPr>
              <w:pStyle w:val="Normal"/>
              <w:rPr/>
            </w:pPr>
            <w:r>
              <w:rPr/>
            </w:r>
          </w:p>
        </w:tc>
        <w:tc>
          <w:tcPr>
            <w:tcW w:w="196" w:type="dxa"/>
            <w:tcBorders>
              <w:left w:val="single" w:sz="4" w:space="0" w:color="000000"/>
            </w:tcBorders>
            <w:vAlign w:val="bottom"/>
          </w:tcPr>
          <w:p>
            <w:pPr>
              <w:pStyle w:val="Normal"/>
              <w:rPr>
                <w:color w:val="000000"/>
                <w:sz w:val="22"/>
                <w:szCs w:val="22"/>
              </w:rPr>
            </w:pPr>
            <w:r>
              <w:rPr/>
            </w:r>
          </w:p>
        </w:tc>
        <w:tc>
          <w:tcPr>
            <w:tcW w:w="322" w:type="dxa"/>
            <w:tcBorders/>
            <w:vAlign w:val="bottom"/>
          </w:tcPr>
          <w:p>
            <w:pPr>
              <w:pStyle w:val="Normal"/>
              <w:rPr>
                <w:color w:val="000000"/>
                <w:sz w:val="22"/>
                <w:szCs w:val="22"/>
              </w:rPr>
            </w:pPr>
            <w:r>
              <w:rPr/>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Date de naissance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Né le 10 octobre 2001 à Kodjougou</w:t>
            </w:r>
          </w:p>
        </w:tc>
        <w:tc>
          <w:tcPr>
            <w:tcW w:w="196" w:type="dxa"/>
            <w:tcBorders>
              <w:left w:val="single" w:sz="4" w:space="0" w:color="000000"/>
            </w:tcBorders>
            <w:vAlign w:val="bottom"/>
          </w:tcPr>
          <w:p>
            <w:pPr>
              <w:pStyle w:val="Normal"/>
              <w:snapToGrid w:val="false"/>
              <w:rPr>
                <w:color w:val="000000"/>
                <w:sz w:val="22"/>
                <w:szCs w:val="22"/>
              </w:rPr>
            </w:pPr>
            <w:r>
              <w:rPr>
                <w:color w:val="000000"/>
                <w:sz w:val="22"/>
                <w:szCs w:val="22"/>
              </w:rPr>
            </w:r>
          </w:p>
        </w:tc>
        <w:tc>
          <w:tcPr>
            <w:tcW w:w="322" w:type="dxa"/>
            <w:tcBorders/>
            <w:vAlign w:val="bottom"/>
          </w:tcPr>
          <w:p>
            <w:pPr>
              <w:pStyle w:val="Normal"/>
              <w:snapToGrid w:val="false"/>
              <w:rPr>
                <w:color w:val="000000"/>
                <w:sz w:val="22"/>
                <w:szCs w:val="22"/>
              </w:rPr>
            </w:pPr>
            <w:r>
              <w:rPr>
                <w:color w:val="000000"/>
                <w:sz w:val="22"/>
                <w:szCs w:val="22"/>
              </w:rPr>
            </w:r>
          </w:p>
        </w:tc>
      </w:tr>
      <w:tr>
        <w:trPr>
          <w:trHeight w:val="300" w:hRule="atLeast"/>
        </w:trPr>
        <w:tc>
          <w:tcPr>
            <w:tcW w:w="3543" w:type="dxa"/>
            <w:tcBorders>
              <w:top w:val="single" w:sz="8" w:space="0" w:color="000000"/>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 Financement du Projet</w:t>
            </w:r>
          </w:p>
        </w:tc>
        <w:tc>
          <w:tcPr>
            <w:tcW w:w="3969" w:type="dxa"/>
            <w:gridSpan w:val="3"/>
            <w:tcBorders>
              <w:top w:val="single" w:sz="8"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top w:val="single" w:sz="8" w:space="0" w:color="000000"/>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FFFFFF" w:val="clear"/>
            <w:vAlign w:val="center"/>
          </w:tcPr>
          <w:p>
            <w:pPr>
              <w:pStyle w:val="Normal"/>
              <w:rPr>
                <w:b/>
                <w:bCs/>
                <w:color w:val="000000"/>
                <w:sz w:val="22"/>
                <w:szCs w:val="22"/>
              </w:rPr>
            </w:pPr>
            <w:r>
              <w:rPr>
                <w:b/>
                <w:bCs/>
                <w:color w:val="000000"/>
                <w:sz w:val="22"/>
                <w:szCs w:val="22"/>
              </w:rPr>
              <w:t>Coût Total du projet</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5 000 000 F</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l’apport personnel</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10%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500 000 F</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 subvention « Projet Vert / Verdissement »</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30%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1 500 000 F</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du crédit de financement sollicité</w:t>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Moyen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60%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3 000 000 F CFA</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Court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 Conditions de financement du crédit</w:t>
            </w:r>
          </w:p>
        </w:tc>
        <w:tc>
          <w:tcPr>
            <w:tcW w:w="2695" w:type="dxa"/>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274"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Institution financière (IFP)</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(à renseigner)</w:t>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Durée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(Années et mois)</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36 mois (3 ans), dont 3 mois de différé</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Taux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Moyen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8%</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Court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17%</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III. Données économiques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 d’affaires de référence (Entreprise en croissance)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 0)</w:t>
            </w:r>
          </w:p>
        </w:tc>
        <w:tc>
          <w:tcPr>
            <w:tcW w:w="1843" w:type="dxa"/>
            <w:gridSpan w:val="2"/>
            <w:tcBorders>
              <w:bottom w:val="single" w:sz="4" w:space="0" w:color="000000"/>
              <w:right w:val="single" w:sz="4" w:space="0" w:color="000000"/>
            </w:tcBorders>
            <w:shd w:fill="A9D18D" w:val="clear"/>
            <w:vAlign w:val="center"/>
          </w:tcPr>
          <w:p>
            <w:pPr>
              <w:pStyle w:val="Normal"/>
              <w:jc w:val="center"/>
              <w:rPr>
                <w:color w:val="000000"/>
                <w:sz w:val="22"/>
                <w:szCs w:val="22"/>
              </w:rPr>
            </w:pPr>
            <w:r>
              <w:rPr/>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Chiffres d’affaires prévisionnels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sz w:val="22"/>
              </w:rPr>
            </w:pPr>
            <w:r>
              <w:rPr>
                <w:sz w:val="22"/>
              </w:rPr>
              <w:t>7 400 000</w:t>
            </w:r>
          </w:p>
        </w:tc>
        <w:tc>
          <w:tcPr>
            <w:tcW w:w="1417" w:type="dxa"/>
            <w:gridSpan w:val="3"/>
            <w:tcBorders>
              <w:bottom w:val="single" w:sz="4" w:space="0" w:color="000000"/>
              <w:right w:val="single" w:sz="8" w:space="0" w:color="000000"/>
            </w:tcBorders>
            <w:vAlign w:val="center"/>
          </w:tcPr>
          <w:p>
            <w:pPr>
              <w:pStyle w:val="Normal"/>
              <w:jc w:val="center"/>
              <w:rPr>
                <w:sz w:val="22"/>
              </w:rPr>
            </w:pPr>
            <w:r>
              <w:rPr>
                <w:sz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7 548 000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7 698 960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Résultats Nets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1 516 811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1 525 515</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1 615 768</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Capacité d’autofinancement</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2 485 727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2 479 432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2 569 685</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IV. Quelques ratios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Seuil de Rentabilité</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68 (année 3) – 70 (année 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Valeur ajoutée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TRI</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42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Délai de récupération</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Sans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2 ans et 0 mois</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Avec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2 ans et 3 mois</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V. Emplois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Nombre d’emploi existant</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vMerge w:val="restart"/>
            <w:tcBorders>
              <w:left w:val="single" w:sz="8" w:space="0" w:color="000000"/>
              <w:bottom w:val="single" w:sz="8" w:space="0" w:color="000000"/>
              <w:right w:val="single" w:sz="4" w:space="0" w:color="000000"/>
            </w:tcBorders>
            <w:vAlign w:val="center"/>
          </w:tcPr>
          <w:p>
            <w:pPr>
              <w:pStyle w:val="Normal"/>
              <w:rPr>
                <w:b/>
                <w:bCs/>
                <w:color w:val="000000"/>
                <w:sz w:val="22"/>
                <w:szCs w:val="22"/>
              </w:rPr>
            </w:pPr>
            <w:r>
              <w:rPr>
                <w:b/>
                <w:bCs/>
                <w:color w:val="000000"/>
                <w:sz w:val="22"/>
                <w:szCs w:val="22"/>
              </w:rPr>
              <w:t>Création de nouveaux emplois</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Type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Hommes</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Femmes</w:t>
            </w:r>
          </w:p>
        </w:tc>
      </w:tr>
      <w:tr>
        <w:trPr>
          <w:trHeight w:val="300"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Permanent</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15"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8" w:space="0" w:color="000000"/>
              <w:right w:val="single" w:sz="4" w:space="0" w:color="000000"/>
            </w:tcBorders>
            <w:vAlign w:val="center"/>
          </w:tcPr>
          <w:p>
            <w:pPr>
              <w:pStyle w:val="Normal"/>
              <w:rPr>
                <w:color w:val="000000"/>
                <w:sz w:val="22"/>
                <w:szCs w:val="22"/>
              </w:rPr>
            </w:pPr>
            <w:r>
              <w:rPr>
                <w:color w:val="000000"/>
                <w:sz w:val="22"/>
                <w:szCs w:val="22"/>
              </w:rPr>
              <w:t>Temporaire</w:t>
            </w:r>
          </w:p>
        </w:tc>
        <w:tc>
          <w:tcPr>
            <w:tcW w:w="1843" w:type="dxa"/>
            <w:gridSpan w:val="2"/>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3</w:t>
            </w:r>
          </w:p>
        </w:tc>
        <w:tc>
          <w:tcPr>
            <w:tcW w:w="1417" w:type="dxa"/>
            <w:gridSpan w:val="3"/>
            <w:tcBorders>
              <w:bottom w:val="single" w:sz="8"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3543" w:type="dxa"/>
            <w:tcBorders/>
            <w:shd w:fill="E2EFD9" w:val="clear"/>
            <w:vAlign w:val="bottom"/>
          </w:tcPr>
          <w:p>
            <w:pPr>
              <w:pStyle w:val="Normal"/>
              <w:rPr>
                <w:color w:val="000000"/>
                <w:sz w:val="22"/>
                <w:szCs w:val="22"/>
              </w:rPr>
            </w:pPr>
            <w:r>
              <w:rPr/>
            </w:r>
          </w:p>
        </w:tc>
        <w:tc>
          <w:tcPr>
            <w:tcW w:w="2977" w:type="dxa"/>
            <w:gridSpan w:val="2"/>
            <w:tcBorders/>
            <w:shd w:fill="E2EFD9" w:val="clear"/>
            <w:vAlign w:val="bottom"/>
          </w:tcPr>
          <w:p>
            <w:pPr>
              <w:pStyle w:val="Normal"/>
              <w:rPr>
                <w:color w:val="000000"/>
                <w:sz w:val="22"/>
                <w:szCs w:val="22"/>
              </w:rPr>
            </w:pPr>
            <w:r>
              <w:rPr/>
            </w:r>
          </w:p>
        </w:tc>
        <w:tc>
          <w:tcPr>
            <w:tcW w:w="1843" w:type="dxa"/>
            <w:gridSpan w:val="2"/>
            <w:tcBorders/>
            <w:shd w:fill="E2EFD9" w:val="clear"/>
            <w:vAlign w:val="bottom"/>
          </w:tcPr>
          <w:p>
            <w:pPr>
              <w:pStyle w:val="Normal"/>
              <w:jc w:val="center"/>
              <w:rPr>
                <w:color w:val="000000"/>
                <w:sz w:val="22"/>
                <w:szCs w:val="22"/>
              </w:rPr>
            </w:pPr>
            <w:r>
              <w:rPr/>
            </w:r>
          </w:p>
        </w:tc>
        <w:tc>
          <w:tcPr>
            <w:tcW w:w="1417" w:type="dxa"/>
            <w:gridSpan w:val="3"/>
            <w:tcBorders/>
            <w:shd w:fill="E2EFD9" w:val="clear"/>
            <w:vAlign w:val="bottom"/>
          </w:tcPr>
          <w:p>
            <w:pPr>
              <w:pStyle w:val="Normal"/>
              <w:jc w:val="center"/>
              <w:rPr>
                <w:rFonts w:ascii="Calibri" w:hAnsi="Calibri" w:cs="Calibri"/>
                <w:color w:val="000000"/>
                <w:sz w:val="22"/>
                <w:szCs w:val="22"/>
              </w:rPr>
            </w:pPr>
            <w:r>
              <w:rPr/>
            </w:r>
          </w:p>
        </w:tc>
      </w:tr>
    </w:tbl>
    <w:p>
      <w:pPr>
        <w:pStyle w:val="Heading1"/>
        <w:keepLines/>
        <w:numPr>
          <w:ilvl w:val="0"/>
          <w:numId w:val="5"/>
        </w:numPr>
        <w:spacing w:before="240" w:after="120"/>
        <w:ind w:hanging="431" w:left="431" w:right="0"/>
        <w:rPr>
          <w:rFonts w:ascii="Times New Roman" w:hAnsi="Times New Roman" w:cs="Times New Roman"/>
          <w:caps/>
          <w:color w:val="166B7F"/>
          <w:kern w:val="0"/>
          <w:lang w:eastAsia="en-US"/>
        </w:rPr>
      </w:pPr>
      <w:bookmarkStart w:id="1" w:name="__RefHeading___Toc5919_3889484913"/>
      <w:bookmarkEnd w:id="1"/>
      <w:r>
        <w:rPr/>
        <w:t>APERÇU GÉNÉRAL</w:t>
      </w:r>
      <w:bookmarkStart w:id="2" w:name="__RefHeading___Toc234831691"/>
      <w:bookmarkEnd w:id="2"/>
    </w:p>
    <w:p>
      <w:pPr>
        <w:pStyle w:val="Heading2"/>
        <w:keepLines/>
        <w:numPr>
          <w:ilvl w:val="0"/>
          <w:numId w:val="10"/>
        </w:numPr>
        <w:spacing w:before="120" w:after="120"/>
        <w:ind w:hanging="0" w:left="0" w:right="0"/>
        <w:jc w:val="both"/>
        <w:rPr>
          <w:rFonts w:ascii="Times New Roman" w:hAnsi="Times New Roman" w:cs="Times New Roman"/>
          <w:i w:val="false"/>
          <w:i w:val="false"/>
          <w:iCs w:val="false"/>
          <w:sz w:val="24"/>
          <w:szCs w:val="24"/>
          <w:lang w:val="fr-CI"/>
        </w:rPr>
      </w:pPr>
      <w:bookmarkStart w:id="3" w:name="__RefHeading___Toc234831692"/>
      <w:bookmarkEnd w:id="3"/>
      <w:r>
        <w:rPr>
          <w:rFonts w:cs="Times New Roman" w:ascii="Times New Roman" w:hAnsi="Times New Roman"/>
          <w:i w:val="false"/>
          <w:iCs w:val="false"/>
          <w:sz w:val="24"/>
          <w:szCs w:val="24"/>
          <w:lang w:val="fr-CI"/>
        </w:rPr>
        <w:t>Présentation du Promoteur :</w:t>
      </w:r>
    </w:p>
    <w:p>
      <w:pPr>
        <w:pStyle w:val="Normal"/>
        <w:jc w:val="both"/>
        <w:rPr>
          <w:sz w:val="22"/>
          <w:szCs w:val="22"/>
        </w:rPr>
      </w:pPr>
      <w:r>
        <w:rPr>
          <w:sz w:val="22"/>
          <w:szCs w:val="22"/>
        </w:rPr>
        <w:t xml:space="preserve">Boubacar COULIBALY est un jeune producteur résidant à Sanankoroba/Kabé. Depuis plusieurs années, il pratique la culture de la pastèque en contre-saison et maîtrise les techniques de production maraîchère. Son expérience de terrain et sa connaissance du marché local lui permettent aujourd'hui d'envisager une production à plus grande échelle pour répondre à la demande croissante des marchés de Bamako et de ses environs. C'est dans cette dynamique qu'il crée l'entreprise </w:t>
      </w:r>
      <w:r>
        <w:rPr>
          <w:b/>
          <w:bCs/>
          <w:sz w:val="22"/>
          <w:szCs w:val="22"/>
        </w:rPr>
        <w:t>ZÉRÉ KÈNÈ &amp; DÉLICE</w:t>
      </w:r>
      <w:r>
        <w:rPr>
          <w:sz w:val="22"/>
          <w:szCs w:val="22"/>
        </w:rPr>
        <w:t xml:space="preserve">, un nom qui exprime à la fois la nature de son produit (Zéré = pastèque en bambara), la santé (Kènè/Fraîcheur) et le plaisir (Délice). </w:t>
      </w:r>
    </w:p>
    <w:p>
      <w:pPr>
        <w:pStyle w:val="Heading2"/>
        <w:keepLines/>
        <w:numPr>
          <w:ilvl w:val="0"/>
          <w:numId w:val="10"/>
        </w:numPr>
        <w:spacing w:before="120" w:after="120"/>
        <w:ind w:hanging="0" w:left="0" w:right="0"/>
        <w:jc w:val="both"/>
        <w:rPr>
          <w:rFonts w:ascii="Times New Roman" w:hAnsi="Times New Roman" w:cs="Times New Roman"/>
          <w:i w:val="false"/>
          <w:i w:val="false"/>
          <w:iCs w:val="false"/>
          <w:sz w:val="24"/>
          <w:szCs w:val="24"/>
          <w:lang w:val="fr-CI"/>
        </w:rPr>
      </w:pPr>
      <w:bookmarkStart w:id="4" w:name="__RefHeading___Toc234831693"/>
      <w:bookmarkEnd w:id="4"/>
      <w:r>
        <w:rPr>
          <w:rFonts w:cs="Times New Roman" w:ascii="Times New Roman" w:hAnsi="Times New Roman"/>
          <w:i w:val="false"/>
          <w:iCs w:val="false"/>
          <w:sz w:val="24"/>
          <w:szCs w:val="24"/>
          <w:lang w:val="fr-CI"/>
        </w:rPr>
        <w:t>Description du projet :</w:t>
      </w:r>
    </w:p>
    <w:p>
      <w:pPr>
        <w:pStyle w:val="Normal"/>
        <w:jc w:val="both"/>
        <w:rPr>
          <w:sz w:val="22"/>
          <w:szCs w:val="22"/>
        </w:rPr>
      </w:pPr>
      <w:r>
        <w:rPr>
          <w:sz w:val="22"/>
          <w:szCs w:val="22"/>
        </w:rPr>
        <w:t xml:space="preserve">Le projet est basé sur la création d'une entreprise de maraîchage spécialisée dans la production de pastèque en contre-saison, sous la marque </w:t>
      </w:r>
      <w:r>
        <w:rPr>
          <w:b/>
          <w:bCs/>
          <w:sz w:val="22"/>
          <w:szCs w:val="22"/>
        </w:rPr>
        <w:t>ZÉRÉ KÈNÈ &amp; DÉLICE</w:t>
      </w:r>
      <w:r>
        <w:rPr>
          <w:sz w:val="22"/>
          <w:szCs w:val="22"/>
        </w:rPr>
        <w:t>. Il s'agit d'aménager une parcelle d'trois quarts d'hectare (0,75 ha) à Kabé, dans la commune de Sanankoroba, pour la production de pastèque de haute qualité. L'entreprise prévoit l'installation d'une clôture, d'un système d'irrigation goutte-à-goutte et d'un paillage plastique pour optimiser la production.</w:t>
      </w:r>
    </w:p>
    <w:p>
      <w:pPr>
        <w:pStyle w:val="Normal"/>
        <w:jc w:val="both"/>
        <w:rPr>
          <w:sz w:val="22"/>
          <w:szCs w:val="22"/>
        </w:rPr>
      </w:pPr>
      <w:r>
        <w:rPr>
          <w:sz w:val="22"/>
          <w:szCs w:val="22"/>
        </w:rPr>
        <w:t>Pour cette première campagne, l'entreprise a besoin de 6 boîtes de semences de variétés adaptées aux conditions locales. La production sera orientée vers deux calibres : la pastèque de gros calibre (12 kg) vendue à 2 000 F CFA l'unité, et la pastèque de moyen calibre (8 à 10 kg) vendue à 1 500 F CFA l'unité. Le cycle de production est de 3 mois avant la vente sur les marchés.</w:t>
      </w:r>
    </w:p>
    <w:p>
      <w:pPr>
        <w:pStyle w:val="Normal"/>
        <w:jc w:val="both"/>
        <w:rPr>
          <w:sz w:val="22"/>
          <w:szCs w:val="22"/>
        </w:rPr>
      </w:pPr>
      <w:r>
        <w:rPr>
          <w:sz w:val="22"/>
          <w:szCs w:val="22"/>
        </w:rPr>
        <w:t xml:space="preserve">Ce projet contribuera à l'approvisionnement des marchés de Bamako et environs en produits frais et juteux, tout en créant des emplois pour les jeunes de la localité. Il vise un chiffre d'affaires annuel de </w:t>
      </w:r>
      <w:r>
        <w:rPr>
          <w:b/>
          <w:bCs/>
          <w:sz w:val="22"/>
          <w:szCs w:val="22"/>
        </w:rPr>
        <w:t>7 400 000 F CFA</w:t>
      </w:r>
      <w:r>
        <w:rPr>
          <w:sz w:val="22"/>
          <w:szCs w:val="22"/>
        </w:rPr>
        <w:t xml:space="preserve"> et s'inscrit dans une dynamique d'autosuffisance alimentaire et de valorisation des ressources locales.</w:t>
      </w:r>
    </w:p>
    <w:p>
      <w:pPr>
        <w:pStyle w:val="Normal"/>
        <w:jc w:val="both"/>
        <w:rPr>
          <w:rFonts w:ascii="Segoe UI" w:hAnsi="Segoe UI" w:cs="Segoe UI"/>
          <w:color w:val="0F1115"/>
        </w:rPr>
      </w:pPr>
      <w:r>
        <w:rPr>
          <w:sz w:val="22"/>
          <w:szCs w:val="22"/>
        </w:rPr>
        <w:t>Pour garantir la réussite de cette production, le choix des variétés est un élément déterminant. La pastèque, dont le nom scientifique est Citrullus lanatus (Thunb.) Matsum. &amp; Nakai, est une cucurbitacée qui exige des températures élevées et un ensoleillement important, conditions parfaitement réunies à Sanankoroba. Le tableau ci-dessous présente les variétés recommandées pour la zone, sélectionnées pour leur taux de sucre élevé (degrés Brix), leur bonne capacité de conservation et leur adaptation aux climats chauds</w:t>
      </w:r>
      <w:r>
        <w:rPr>
          <w:b/>
          <w:bCs/>
          <w:sz w:val="22"/>
          <w:szCs w:val="22"/>
        </w:rPr>
        <w:t xml:space="preserve"> et secs</w:t>
      </w:r>
      <w:r>
        <w:rPr>
          <w:sz w:val="22"/>
          <w:szCs w:val="22"/>
        </w:rPr>
        <w:t xml:space="preserve"> du Sahel</w:t>
      </w:r>
      <w:r>
        <w:rPr>
          <w:rFonts w:cs="Segoe UI" w:ascii="Segoe UI" w:hAnsi="Segoe UI"/>
          <w:color w:val="0F1115"/>
        </w:rPr>
        <w:t>.</w:t>
      </w:r>
    </w:p>
    <w:p>
      <w:pPr>
        <w:pStyle w:val="Normal"/>
        <w:jc w:val="both"/>
        <w:rPr>
          <w:rFonts w:ascii="Segoe UI" w:hAnsi="Segoe UI" w:cs="Segoe UI"/>
          <w:color w:val="0F1115"/>
          <w:sz w:val="22"/>
          <w:szCs w:val="22"/>
          <w:lang w:val="fr-CI"/>
        </w:rPr>
      </w:pPr>
      <w:r>
        <w:rPr>
          <w:rFonts w:cs="Segoe UI" w:ascii="Segoe UI" w:hAnsi="Segoe UI"/>
          <w:color w:val="0F1115"/>
          <w:sz w:val="22"/>
          <w:szCs w:val="22"/>
          <w:lang w:val="fr-CI"/>
        </w:rPr>
      </w:r>
    </w:p>
    <w:p>
      <w:pPr>
        <w:pStyle w:val="Heading2"/>
        <w:keepLines/>
        <w:numPr>
          <w:ilvl w:val="0"/>
          <w:numId w:val="10"/>
        </w:numPr>
        <w:spacing w:before="120" w:after="120"/>
        <w:ind w:hanging="0" w:left="0" w:right="0"/>
        <w:jc w:val="both"/>
        <w:rPr>
          <w:rFonts w:ascii="Times New Roman" w:hAnsi="Times New Roman" w:cs="Times New Roman"/>
          <w:i w:val="false"/>
          <w:i w:val="false"/>
          <w:iCs w:val="false"/>
          <w:sz w:val="24"/>
          <w:szCs w:val="24"/>
          <w:lang w:val="fr-CI"/>
        </w:rPr>
      </w:pPr>
      <w:bookmarkStart w:id="5" w:name="__RefHeading___Toc234831694"/>
      <w:bookmarkEnd w:id="5"/>
      <w:r>
        <w:rPr>
          <w:rFonts w:cs="Times New Roman" w:ascii="Times New Roman" w:hAnsi="Times New Roman"/>
          <w:i w:val="false"/>
          <w:iCs w:val="false"/>
          <w:sz w:val="24"/>
          <w:szCs w:val="24"/>
          <w:lang w:val="fr-CI"/>
        </w:rPr>
        <w:t xml:space="preserve">Objectifs du projet : </w:t>
      </w:r>
    </w:p>
    <w:p>
      <w:pPr>
        <w:pStyle w:val="Normal"/>
        <w:rPr>
          <w:b/>
          <w:sz w:val="22"/>
          <w:szCs w:val="22"/>
          <w:lang w:val="fr-CI"/>
        </w:rPr>
      </w:pPr>
      <w:r>
        <w:rPr>
          <w:b/>
          <w:sz w:val="22"/>
          <w:szCs w:val="22"/>
          <w:lang w:val="fr-CI"/>
        </w:rPr>
        <w:t>L’objectif global du projet est :</w:t>
      </w:r>
    </w:p>
    <w:p>
      <w:pPr>
        <w:pStyle w:val="Normal"/>
        <w:rPr>
          <w:bCs/>
          <w:sz w:val="22"/>
          <w:szCs w:val="22"/>
        </w:rPr>
      </w:pPr>
      <w:r>
        <w:rPr>
          <w:bCs/>
          <w:sz w:val="22"/>
          <w:szCs w:val="22"/>
        </w:rPr>
        <w:t xml:space="preserve">Aménager et exploiter une parcelle de </w:t>
      </w:r>
      <w:r>
        <w:rPr>
          <w:b/>
          <w:bCs/>
          <w:sz w:val="22"/>
          <w:szCs w:val="22"/>
        </w:rPr>
        <w:t>0,75 hectare</w:t>
      </w:r>
      <w:r>
        <w:rPr>
          <w:bCs/>
          <w:sz w:val="22"/>
          <w:szCs w:val="22"/>
        </w:rPr>
        <w:t xml:space="preserve"> à Kabé, dans la commune de Sanankoroba (Région de Koulikoro), pour la production et la commercialisation de pastèque de qualité sous la marque </w:t>
      </w:r>
      <w:r>
        <w:rPr>
          <w:b/>
          <w:bCs/>
          <w:sz w:val="22"/>
          <w:szCs w:val="22"/>
        </w:rPr>
        <w:t>ZÉRÉ KÈNÈ &amp; DÉLICE</w:t>
      </w:r>
      <w:r>
        <w:rPr>
          <w:bCs/>
          <w:sz w:val="22"/>
          <w:szCs w:val="22"/>
        </w:rPr>
        <w:t>.</w:t>
      </w:r>
    </w:p>
    <w:p>
      <w:pPr>
        <w:pStyle w:val="Normal"/>
        <w:rPr>
          <w:b/>
          <w:sz w:val="22"/>
          <w:szCs w:val="22"/>
          <w:lang w:val="fr-CI"/>
        </w:rPr>
      </w:pPr>
      <w:r>
        <w:rPr>
          <w:b/>
          <w:sz w:val="22"/>
          <w:szCs w:val="22"/>
          <w:lang w:val="fr-CI"/>
        </w:rPr>
        <w:t>Les objectifs spécifiques du projet sont :</w:t>
      </w:r>
    </w:p>
    <w:p>
      <w:pPr>
        <w:pStyle w:val="Normal"/>
        <w:numPr>
          <w:ilvl w:val="0"/>
          <w:numId w:val="8"/>
        </w:numPr>
        <w:rPr>
          <w:bCs/>
          <w:sz w:val="22"/>
          <w:szCs w:val="22"/>
        </w:rPr>
      </w:pPr>
      <w:r>
        <w:rPr>
          <w:bCs/>
          <w:sz w:val="22"/>
          <w:szCs w:val="22"/>
        </w:rPr>
        <w:t>Réaliser un chiffre d'affaires de 7 400 000 FCFA la première année d'exploitation du périmètre de 0,75 hectare ;</w:t>
      </w:r>
    </w:p>
    <w:p>
      <w:pPr>
        <w:pStyle w:val="Normal"/>
        <w:numPr>
          <w:ilvl w:val="0"/>
          <w:numId w:val="8"/>
        </w:numPr>
        <w:rPr>
          <w:bCs/>
          <w:sz w:val="22"/>
          <w:szCs w:val="22"/>
        </w:rPr>
      </w:pPr>
      <w:r>
        <w:rPr>
          <w:bCs/>
          <w:sz w:val="22"/>
          <w:szCs w:val="22"/>
        </w:rPr>
        <w:t>Offrir sur le marché de la ville de Bamako, de Sanankoroba et aux commerçants grossistes des pastèques fraîches, juteuses et de conservation facile ;</w:t>
      </w:r>
    </w:p>
    <w:p>
      <w:pPr>
        <w:pStyle w:val="Normal"/>
        <w:numPr>
          <w:ilvl w:val="0"/>
          <w:numId w:val="8"/>
        </w:numPr>
        <w:rPr>
          <w:bCs/>
          <w:sz w:val="22"/>
          <w:szCs w:val="22"/>
        </w:rPr>
      </w:pPr>
      <w:r>
        <w:rPr>
          <w:bCs/>
          <w:sz w:val="22"/>
          <w:szCs w:val="22"/>
        </w:rPr>
        <w:t>Assurer la promotion d'une agriculture durable à travers une production maraîchère utilisant prioritairement la fumure organique et peu d'engrais chimiques ;</w:t>
      </w:r>
    </w:p>
    <w:p>
      <w:pPr>
        <w:pStyle w:val="Normal"/>
        <w:numPr>
          <w:ilvl w:val="0"/>
          <w:numId w:val="8"/>
        </w:numPr>
        <w:rPr>
          <w:bCs/>
          <w:sz w:val="22"/>
          <w:szCs w:val="22"/>
        </w:rPr>
      </w:pPr>
      <w:r>
        <w:rPr>
          <w:bCs/>
          <w:sz w:val="22"/>
          <w:szCs w:val="22"/>
        </w:rPr>
        <w:t>Créer cinq (5) emplois, dont deux (2) permanents et trois (3) saisonniers, pour les jeunes de la localité ;</w:t>
      </w:r>
    </w:p>
    <w:p>
      <w:pPr>
        <w:pStyle w:val="Normal"/>
        <w:numPr>
          <w:ilvl w:val="0"/>
          <w:numId w:val="8"/>
        </w:numPr>
        <w:rPr>
          <w:bCs/>
          <w:sz w:val="22"/>
          <w:szCs w:val="22"/>
        </w:rPr>
      </w:pPr>
      <w:r>
        <w:rPr>
          <w:bCs/>
          <w:sz w:val="22"/>
          <w:szCs w:val="22"/>
        </w:rPr>
        <w:t>Positionner la marque ZÉRÉ KÈNÈ &amp; DÉLICE comme une référence de qualité sur le marché malien de la pastèque.</w:t>
      </w:r>
    </w:p>
    <w:p>
      <w:pPr>
        <w:pStyle w:val="Normal"/>
        <w:rPr>
          <w:bCs/>
          <w:sz w:val="22"/>
          <w:szCs w:val="22"/>
        </w:rPr>
      </w:pPr>
      <w:r>
        <w:rPr>
          <w:bCs/>
          <w:sz w:val="22"/>
          <w:szCs w:val="22"/>
        </w:rPr>
      </w:r>
    </w:p>
    <w:p>
      <w:pPr>
        <w:pStyle w:val="Heading2"/>
        <w:keepLines/>
        <w:numPr>
          <w:ilvl w:val="0"/>
          <w:numId w:val="10"/>
        </w:numPr>
        <w:spacing w:before="120" w:after="120"/>
        <w:ind w:hanging="0" w:left="0" w:right="0"/>
        <w:jc w:val="both"/>
        <w:rPr>
          <w:rFonts w:ascii="Times New Roman" w:hAnsi="Times New Roman" w:cs="Times New Roman"/>
          <w:i w:val="false"/>
          <w:i w:val="false"/>
          <w:iCs w:val="false"/>
          <w:sz w:val="24"/>
          <w:szCs w:val="24"/>
          <w:lang w:val="fr-CI"/>
        </w:rPr>
      </w:pPr>
      <w:bookmarkStart w:id="6" w:name="__RefHeading___Toc234831695"/>
      <w:bookmarkEnd w:id="6"/>
      <w:r>
        <w:rPr>
          <w:rFonts w:cs="Times New Roman" w:ascii="Times New Roman" w:hAnsi="Times New Roman"/>
          <w:i w:val="false"/>
          <w:iCs w:val="false"/>
          <w:sz w:val="24"/>
          <w:szCs w:val="24"/>
          <w:lang w:val="fr-CI"/>
        </w:rPr>
        <w:t>Localisation du projet</w:t>
      </w:r>
    </w:p>
    <w:p>
      <w:pPr>
        <w:pStyle w:val="Normal"/>
        <w:jc w:val="both"/>
        <w:rPr>
          <w:sz w:val="22"/>
          <w:szCs w:val="22"/>
          <w:lang w:val="fr-CI"/>
        </w:rPr>
      </w:pPr>
      <w:r>
        <w:rPr>
          <w:sz w:val="22"/>
          <w:szCs w:val="22"/>
        </w:rPr>
        <w:t>Le projet est réalisé à Sanankoroba/Kabé dans la Région de Koulikoro.</w:t>
      </w:r>
    </w:p>
    <w:p>
      <w:pPr>
        <w:pStyle w:val="Normal"/>
        <w:jc w:val="both"/>
        <w:rPr>
          <w:sz w:val="22"/>
          <w:szCs w:val="22"/>
          <w:lang w:val="fr-CI"/>
        </w:rPr>
      </w:pPr>
      <w:r>
        <w:rPr>
          <w:sz w:val="22"/>
          <w:szCs w:val="22"/>
          <w:lang w:val="fr-CI"/>
        </w:rPr>
      </w:r>
    </w:p>
    <w:p>
      <w:pPr>
        <w:pStyle w:val="Heading1"/>
        <w:keepLines/>
        <w:numPr>
          <w:ilvl w:val="0"/>
          <w:numId w:val="5"/>
        </w:numPr>
        <w:spacing w:before="240" w:after="0"/>
        <w:ind w:hanging="431" w:left="431" w:right="0"/>
        <w:jc w:val="both"/>
        <w:rPr>
          <w:rFonts w:ascii="Times New Roman" w:hAnsi="Times New Roman" w:cs="Times New Roman"/>
          <w:caps/>
          <w:color w:val="166B7F"/>
          <w:kern w:val="0"/>
          <w:sz w:val="28"/>
          <w:szCs w:val="28"/>
          <w:lang w:eastAsia="en-US"/>
        </w:rPr>
      </w:pPr>
      <w:bookmarkStart w:id="7" w:name="__RefHeading___Toc234831696"/>
      <w:bookmarkEnd w:id="7"/>
      <w:r>
        <w:rPr>
          <w:rFonts w:cs="Times New Roman" w:ascii="Times New Roman" w:hAnsi="Times New Roman"/>
          <w:caps/>
          <w:color w:val="166B7F"/>
          <w:kern w:val="0"/>
          <w:sz w:val="28"/>
          <w:szCs w:val="28"/>
          <w:lang w:eastAsia="en-US"/>
        </w:rPr>
        <w:t>ÉTUDE DE MARCHÉ</w:t>
      </w:r>
    </w:p>
    <w:p>
      <w:pPr>
        <w:pStyle w:val="Heading2"/>
        <w:keepLines/>
        <w:numPr>
          <w:ilvl w:val="0"/>
          <w:numId w:val="4"/>
        </w:numPr>
        <w:spacing w:before="120" w:after="120"/>
        <w:ind w:hanging="426" w:left="426" w:right="0"/>
        <w:jc w:val="both"/>
        <w:rPr>
          <w:rFonts w:ascii="Times New Roman" w:hAnsi="Times New Roman" w:cs="Times New Roman"/>
          <w:i w:val="false"/>
          <w:i w:val="false"/>
          <w:iCs w:val="false"/>
          <w:sz w:val="24"/>
          <w:szCs w:val="24"/>
          <w:lang w:val="fr-CI"/>
        </w:rPr>
      </w:pPr>
      <w:bookmarkStart w:id="8" w:name="__RefHeading___Toc234831697"/>
      <w:bookmarkEnd w:id="8"/>
      <w:r>
        <w:rPr>
          <w:rFonts w:cs="Times New Roman" w:ascii="Times New Roman" w:hAnsi="Times New Roman"/>
          <w:i w:val="false"/>
          <w:iCs w:val="false"/>
          <w:sz w:val="24"/>
          <w:szCs w:val="24"/>
          <w:lang w:val="fr-CI"/>
        </w:rPr>
        <w:t>Les produits</w:t>
      </w:r>
    </w:p>
    <w:p>
      <w:pPr>
        <w:pStyle w:val="Normal"/>
        <w:jc w:val="both"/>
        <w:rPr/>
      </w:pPr>
      <w:r>
        <w:rPr/>
        <w:t xml:space="preserve">Les produits que l'entreprise </w:t>
      </w:r>
      <w:r>
        <w:rPr>
          <w:b/>
          <w:bCs/>
        </w:rPr>
        <w:t>ZÉRÉ KÈNÈ &amp; DÉLICE</w:t>
      </w:r>
      <w:r>
        <w:rPr/>
        <w:t xml:space="preserve"> offre aux clients sont : la pastèque de gros calibre et la pastèque de moyen calibre. Il faut noter que la caractéristique fondamentale des produits de l'entreprise est leur qualité gustative supérieure et leur fraîcheur, gages de satisfaction pour la clientèle.</w:t>
      </w:r>
    </w:p>
    <w:p>
      <w:pPr>
        <w:pStyle w:val="Normal"/>
        <w:jc w:val="both"/>
        <w:rPr/>
      </w:pPr>
      <w:r>
        <w:rPr/>
        <w:t>Les caractéristiques des produits qui seront mis sur le marché sont :</w:t>
      </w:r>
    </w:p>
    <w:p>
      <w:pPr>
        <w:pStyle w:val="Normal"/>
        <w:jc w:val="both"/>
        <w:rPr/>
      </w:pPr>
      <w:r>
        <w:rPr/>
      </w:r>
    </w:p>
    <w:p>
      <w:pPr>
        <w:pStyle w:val="Normal"/>
        <w:spacing w:before="0" w:after="0"/>
        <w:contextualSpacing/>
        <w:rPr>
          <w:b/>
          <w:lang w:eastAsia="fr-CA"/>
        </w:rPr>
      </w:pPr>
      <w:r>
        <w:rPr>
          <w:b/>
          <w:lang w:eastAsia="fr-CA"/>
        </w:rPr>
        <w:t>Pastèque gros calibre :</w:t>
      </w:r>
    </w:p>
    <w:p>
      <w:pPr>
        <w:pStyle w:val="Normal"/>
        <w:numPr>
          <w:ilvl w:val="0"/>
          <w:numId w:val="3"/>
        </w:numPr>
        <w:spacing w:before="0" w:after="0"/>
        <w:contextualSpacing/>
        <w:rPr>
          <w:rStyle w:val="Strong"/>
          <w:b w:val="false"/>
          <w:bCs w:val="false"/>
        </w:rPr>
      </w:pPr>
      <w:r>
        <w:rPr>
          <w:rStyle w:val="Strong"/>
          <w:b w:val="false"/>
          <w:bCs w:val="false"/>
        </w:rPr>
        <w:t>Qualité gustative supérieure ;</w:t>
      </w:r>
    </w:p>
    <w:p>
      <w:pPr>
        <w:pStyle w:val="Normal"/>
        <w:numPr>
          <w:ilvl w:val="0"/>
          <w:numId w:val="3"/>
        </w:numPr>
        <w:spacing w:before="0" w:after="0"/>
        <w:contextualSpacing/>
        <w:rPr>
          <w:rStyle w:val="Strong"/>
          <w:b w:val="false"/>
          <w:bCs w:val="false"/>
        </w:rPr>
      </w:pPr>
      <w:r>
        <w:rPr>
          <w:rStyle w:val="Strong"/>
          <w:b w:val="false"/>
          <w:bCs w:val="false"/>
        </w:rPr>
        <w:t>Variété coréenne High Quality ;</w:t>
      </w:r>
    </w:p>
    <w:p>
      <w:pPr>
        <w:pStyle w:val="Normal"/>
        <w:numPr>
          <w:ilvl w:val="0"/>
          <w:numId w:val="3"/>
        </w:numPr>
        <w:spacing w:before="0" w:after="0"/>
        <w:contextualSpacing/>
        <w:rPr>
          <w:rStyle w:val="Strong"/>
          <w:b w:val="false"/>
          <w:bCs w:val="false"/>
        </w:rPr>
      </w:pPr>
      <w:r>
        <w:rPr>
          <w:rStyle w:val="Strong"/>
          <w:b w:val="false"/>
          <w:bCs w:val="false"/>
        </w:rPr>
        <w:t>Poids moyen de 12 kg ;</w:t>
      </w:r>
    </w:p>
    <w:p>
      <w:pPr>
        <w:pStyle w:val="Normal"/>
        <w:numPr>
          <w:ilvl w:val="0"/>
          <w:numId w:val="3"/>
        </w:numPr>
        <w:spacing w:before="0" w:after="0"/>
        <w:contextualSpacing/>
        <w:rPr>
          <w:rStyle w:val="Strong"/>
          <w:b w:val="false"/>
          <w:bCs w:val="false"/>
        </w:rPr>
      </w:pPr>
      <w:r>
        <w:rPr>
          <w:rStyle w:val="Strong"/>
          <w:b w:val="false"/>
          <w:bCs w:val="false"/>
        </w:rPr>
        <w:t>Chair rouge, juteuse et sucrée ;</w:t>
      </w:r>
    </w:p>
    <w:p>
      <w:pPr>
        <w:pStyle w:val="Normal"/>
        <w:numPr>
          <w:ilvl w:val="0"/>
          <w:numId w:val="3"/>
        </w:numPr>
        <w:spacing w:before="0" w:after="0"/>
        <w:contextualSpacing/>
        <w:rPr>
          <w:rStyle w:val="Strong"/>
          <w:b w:val="false"/>
          <w:bCs w:val="false"/>
        </w:rPr>
      </w:pPr>
      <w:r>
        <w:rPr>
          <w:rStyle w:val="Strong"/>
          <w:b w:val="false"/>
          <w:bCs w:val="false"/>
        </w:rPr>
        <w:t>Valeur nutritive élevée ;</w:t>
      </w:r>
    </w:p>
    <w:p>
      <w:pPr>
        <w:pStyle w:val="Normal"/>
        <w:numPr>
          <w:ilvl w:val="0"/>
          <w:numId w:val="3"/>
        </w:numPr>
        <w:spacing w:before="0" w:after="0"/>
        <w:contextualSpacing/>
        <w:rPr>
          <w:rStyle w:val="Strong"/>
          <w:b w:val="false"/>
          <w:bCs w:val="false"/>
        </w:rPr>
      </w:pPr>
      <w:r>
        <w:rPr>
          <w:rStyle w:val="Strong"/>
          <w:b w:val="false"/>
          <w:bCs w:val="false"/>
        </w:rPr>
        <w:t>Riche en vitamines ;</w:t>
      </w:r>
    </w:p>
    <w:p>
      <w:pPr>
        <w:pStyle w:val="Normal"/>
        <w:numPr>
          <w:ilvl w:val="0"/>
          <w:numId w:val="3"/>
        </w:numPr>
        <w:spacing w:before="0" w:after="0"/>
        <w:contextualSpacing/>
        <w:rPr>
          <w:rFonts w:ascii="Segoe UI" w:hAnsi="Segoe UI" w:cs="Segoe UI"/>
          <w:color w:val="0F1115"/>
        </w:rPr>
      </w:pPr>
      <w:r>
        <w:rPr>
          <w:rStyle w:val="Strong"/>
          <w:b w:val="false"/>
          <w:bCs w:val="false"/>
        </w:rPr>
        <w:t>Facilite la digestion</w:t>
      </w:r>
      <w:r>
        <w:rPr>
          <w:rFonts w:cs="Segoe UI" w:ascii="Segoe UI" w:hAnsi="Segoe UI"/>
          <w:color w:val="0F1115"/>
        </w:rPr>
        <w:t>.</w:t>
      </w:r>
    </w:p>
    <w:p>
      <w:pPr>
        <w:pStyle w:val="Normal"/>
        <w:numPr>
          <w:ilvl w:val="0"/>
          <w:numId w:val="9"/>
        </w:numPr>
        <w:spacing w:before="0" w:after="0"/>
        <w:contextualSpacing/>
        <w:rPr>
          <w:rStyle w:val="Strong"/>
        </w:rPr>
      </w:pPr>
      <w:r>
        <w:rPr>
          <w:rStyle w:val="Strong"/>
          <w:b w:val="false"/>
          <w:sz w:val="22"/>
          <w:szCs w:val="22"/>
        </w:rPr>
        <w:t>.</w:t>
      </w:r>
    </w:p>
    <w:p>
      <w:pPr>
        <w:pStyle w:val="Normal"/>
        <w:shd w:val="clear" w:fill="FFFFFF"/>
        <w:suppressAutoHyphens w:val="false"/>
        <w:spacing w:before="240" w:after="240"/>
        <w:rPr>
          <w:b/>
          <w:lang w:eastAsia="fr-CA"/>
        </w:rPr>
      </w:pPr>
      <w:r>
        <w:rPr>
          <w:b/>
          <w:lang w:eastAsia="fr-CA"/>
        </w:rPr>
        <w:t>Pastèque moyen calibre :</w:t>
      </w:r>
    </w:p>
    <w:p>
      <w:pPr>
        <w:pStyle w:val="Normal"/>
        <w:numPr>
          <w:ilvl w:val="0"/>
          <w:numId w:val="3"/>
        </w:numPr>
        <w:spacing w:before="0" w:after="0"/>
        <w:contextualSpacing/>
        <w:rPr>
          <w:rStyle w:val="Strong"/>
          <w:b w:val="false"/>
          <w:bCs w:val="false"/>
        </w:rPr>
      </w:pPr>
      <w:r>
        <w:rPr>
          <w:rStyle w:val="Strong"/>
          <w:b w:val="false"/>
          <w:bCs w:val="false"/>
        </w:rPr>
        <w:t>Qualité gustative supérieure ;</w:t>
      </w:r>
    </w:p>
    <w:p>
      <w:pPr>
        <w:pStyle w:val="Normal"/>
        <w:numPr>
          <w:ilvl w:val="0"/>
          <w:numId w:val="3"/>
        </w:numPr>
        <w:spacing w:before="0" w:after="0"/>
        <w:contextualSpacing/>
        <w:rPr>
          <w:rStyle w:val="Strong"/>
          <w:b w:val="false"/>
          <w:bCs w:val="false"/>
        </w:rPr>
      </w:pPr>
      <w:r>
        <w:rPr>
          <w:rStyle w:val="Strong"/>
          <w:b w:val="false"/>
          <w:bCs w:val="false"/>
        </w:rPr>
        <w:t>Poids moyen de 8 à 10 kg ;</w:t>
      </w:r>
    </w:p>
    <w:p>
      <w:pPr>
        <w:pStyle w:val="Normal"/>
        <w:numPr>
          <w:ilvl w:val="0"/>
          <w:numId w:val="3"/>
        </w:numPr>
        <w:spacing w:before="0" w:after="0"/>
        <w:contextualSpacing/>
        <w:rPr>
          <w:rStyle w:val="Strong"/>
          <w:b w:val="false"/>
          <w:bCs w:val="false"/>
        </w:rPr>
      </w:pPr>
      <w:r>
        <w:rPr>
          <w:rStyle w:val="Strong"/>
          <w:b w:val="false"/>
          <w:bCs w:val="false"/>
        </w:rPr>
        <w:t>Chair rouge, juteuse et sucrée ;</w:t>
      </w:r>
    </w:p>
    <w:p>
      <w:pPr>
        <w:pStyle w:val="Normal"/>
        <w:numPr>
          <w:ilvl w:val="0"/>
          <w:numId w:val="3"/>
        </w:numPr>
        <w:spacing w:before="0" w:after="0"/>
        <w:contextualSpacing/>
        <w:rPr>
          <w:rStyle w:val="Strong"/>
          <w:b w:val="false"/>
          <w:bCs w:val="false"/>
        </w:rPr>
      </w:pPr>
      <w:r>
        <w:rPr>
          <w:rStyle w:val="Strong"/>
          <w:b w:val="false"/>
          <w:bCs w:val="false"/>
        </w:rPr>
        <w:t>Prix abordable ;</w:t>
      </w:r>
    </w:p>
    <w:p>
      <w:pPr>
        <w:pStyle w:val="Normal"/>
        <w:numPr>
          <w:ilvl w:val="0"/>
          <w:numId w:val="3"/>
        </w:numPr>
        <w:spacing w:before="0" w:after="0"/>
        <w:contextualSpacing/>
        <w:rPr>
          <w:rStyle w:val="Strong"/>
          <w:b w:val="false"/>
          <w:bCs w:val="false"/>
        </w:rPr>
      </w:pPr>
      <w:r>
        <w:rPr>
          <w:rStyle w:val="Strong"/>
          <w:b w:val="false"/>
          <w:bCs w:val="false"/>
        </w:rPr>
        <w:t>Valeur nutritive élevée ;</w:t>
      </w:r>
    </w:p>
    <w:p>
      <w:pPr>
        <w:pStyle w:val="Normal"/>
        <w:numPr>
          <w:ilvl w:val="0"/>
          <w:numId w:val="3"/>
        </w:numPr>
        <w:spacing w:before="0" w:after="0"/>
        <w:contextualSpacing/>
        <w:rPr>
          <w:rStyle w:val="Strong"/>
          <w:b w:val="false"/>
          <w:bCs w:val="false"/>
        </w:rPr>
      </w:pPr>
      <w:r>
        <w:rPr>
          <w:rStyle w:val="Strong"/>
          <w:b w:val="false"/>
          <w:bCs w:val="false"/>
        </w:rPr>
        <w:t>Riche en vitamines ;</w:t>
      </w:r>
    </w:p>
    <w:p>
      <w:pPr>
        <w:pStyle w:val="Normal"/>
        <w:numPr>
          <w:ilvl w:val="0"/>
          <w:numId w:val="3"/>
        </w:numPr>
        <w:spacing w:before="0" w:after="0"/>
        <w:contextualSpacing/>
        <w:rPr>
          <w:rStyle w:val="Strong"/>
          <w:b w:val="false"/>
          <w:bCs w:val="false"/>
        </w:rPr>
      </w:pPr>
      <w:r>
        <w:rPr>
          <w:rStyle w:val="Strong"/>
          <w:b w:val="false"/>
          <w:bCs w:val="false"/>
        </w:rPr>
        <w:t>Facilite la digestion</w:t>
      </w:r>
    </w:p>
    <w:p>
      <w:pPr>
        <w:pStyle w:val="Heading2"/>
        <w:keepLines/>
        <w:numPr>
          <w:ilvl w:val="0"/>
          <w:numId w:val="4"/>
        </w:numPr>
        <w:spacing w:before="120" w:after="120"/>
        <w:ind w:hanging="426" w:left="426" w:right="0"/>
        <w:jc w:val="both"/>
        <w:rPr>
          <w:rFonts w:ascii="Times New Roman" w:hAnsi="Times New Roman" w:cs="Times New Roman"/>
          <w:i w:val="false"/>
          <w:i w:val="false"/>
          <w:iCs w:val="false"/>
          <w:sz w:val="24"/>
          <w:szCs w:val="24"/>
          <w:lang w:val="fr-CI"/>
        </w:rPr>
      </w:pPr>
      <w:bookmarkStart w:id="9" w:name="__RefHeading___Toc234831698"/>
      <w:bookmarkEnd w:id="9"/>
      <w:r>
        <w:rPr>
          <w:rFonts w:cs="Times New Roman" w:ascii="Times New Roman" w:hAnsi="Times New Roman"/>
          <w:i w:val="false"/>
          <w:iCs w:val="false"/>
          <w:sz w:val="24"/>
          <w:szCs w:val="24"/>
          <w:lang w:val="fr-CI"/>
        </w:rPr>
        <w:t>Le marché cible / secteur d’activité</w:t>
        <w:tab/>
      </w:r>
    </w:p>
    <w:p>
      <w:pPr>
        <w:pStyle w:val="Normal"/>
        <w:rPr>
          <w:sz w:val="22"/>
          <w:szCs w:val="22"/>
        </w:rPr>
      </w:pPr>
      <w:r>
        <w:rPr>
          <w:sz w:val="22"/>
          <w:szCs w:val="22"/>
        </w:rPr>
        <w:t>Le marché cible de l'entreprise est constitué par les commerçants grossistes de produits maraîchers, les revendeurs de fruits, les restaurateur</w:t>
      </w:r>
      <w:r>
        <w:rPr>
          <w:b/>
          <w:bCs/>
          <w:sz w:val="22"/>
          <w:szCs w:val="22"/>
        </w:rPr>
        <w:t>s</w:t>
      </w:r>
      <w:r>
        <w:rPr>
          <w:sz w:val="22"/>
          <w:szCs w:val="22"/>
        </w:rPr>
        <w:t xml:space="preserve">, </w:t>
      </w:r>
      <w:r>
        <w:rPr>
          <w:b/>
          <w:bCs/>
          <w:sz w:val="22"/>
          <w:szCs w:val="22"/>
        </w:rPr>
        <w:t>les hôtels</w:t>
      </w:r>
      <w:r>
        <w:rPr>
          <w:sz w:val="22"/>
          <w:szCs w:val="22"/>
        </w:rPr>
        <w:t xml:space="preserve"> et les particuliers consommateurs de la ville de Bamako, de Sanankoroba et environs. </w:t>
      </w:r>
    </w:p>
    <w:p>
      <w:pPr>
        <w:pStyle w:val="Normal"/>
        <w:rPr>
          <w:sz w:val="22"/>
          <w:szCs w:val="22"/>
        </w:rPr>
      </w:pPr>
      <w:r>
        <w:rPr>
          <w:sz w:val="22"/>
          <w:szCs w:val="22"/>
        </w:rPr>
      </w:r>
    </w:p>
    <w:p>
      <w:pPr>
        <w:pStyle w:val="Heading2"/>
        <w:keepLines/>
        <w:numPr>
          <w:ilvl w:val="0"/>
          <w:numId w:val="4"/>
        </w:numPr>
        <w:spacing w:before="120" w:after="120"/>
        <w:ind w:hanging="426" w:left="426" w:right="0"/>
        <w:jc w:val="both"/>
        <w:rPr>
          <w:rFonts w:ascii="Times New Roman" w:hAnsi="Times New Roman" w:cs="Times New Roman"/>
          <w:i w:val="false"/>
          <w:i w:val="false"/>
          <w:iCs w:val="false"/>
          <w:sz w:val="24"/>
          <w:szCs w:val="24"/>
          <w:lang w:val="fr-CI"/>
        </w:rPr>
      </w:pPr>
      <w:bookmarkStart w:id="10" w:name="__RefHeading___Toc234831699"/>
      <w:bookmarkEnd w:id="10"/>
      <w:r>
        <w:rPr>
          <w:rFonts w:cs="Times New Roman" w:ascii="Times New Roman" w:hAnsi="Times New Roman"/>
          <w:i w:val="false"/>
          <w:iCs w:val="false"/>
          <w:sz w:val="24"/>
          <w:szCs w:val="24"/>
          <w:lang w:val="fr-CI"/>
        </w:rPr>
        <w:t>Analyse de l’offre :</w:t>
      </w:r>
    </w:p>
    <w:p>
      <w:pPr>
        <w:pStyle w:val="Normal"/>
        <w:rPr/>
      </w:pPr>
      <w:r>
        <w:rPr/>
        <w:t>L'offre en pastèque au Mali est caractérisée par une forte saisonnalité. Les volumes connaissent des pics d'abondance sur les marchés, mais le secteur souffre d'un manque de tri et de logistique adaptée. Cela entraîne des pertes après récolte et des fluctuations des prix. Les offres concurrentielles proposent des variétés standard à des prix variant entre 750 et 1 000 F CFA, sans contrôle rigoureux de la qualité.</w:t>
      </w:r>
    </w:p>
    <w:p>
      <w:pPr>
        <w:pStyle w:val="Normal"/>
        <w:rPr>
          <w:b/>
          <w:bCs/>
        </w:rPr>
      </w:pPr>
      <w:r>
        <w:rPr>
          <w:b/>
          <w:bCs/>
        </w:rPr>
        <w:t>a. L'approvisionnement en matières premières :</w:t>
      </w:r>
    </w:p>
    <w:p>
      <w:pPr>
        <w:pStyle w:val="Normal"/>
        <w:rPr/>
      </w:pPr>
      <w:r>
        <w:rPr/>
        <w:t>Les besoins en matières premières qui sont nécessaires à la production sont : les semences de pastèque de variété coréenne High Qualité, les engrais NPK et Urée, les produits phytosanitaires, et la fumure organique.</w:t>
      </w:r>
    </w:p>
    <w:p>
      <w:pPr>
        <w:pStyle w:val="Normal"/>
        <w:rPr/>
      </w:pPr>
      <w:r>
        <w:rPr/>
        <w:t>L'approvisionnement en matières premières se fera essentiellement à Bamako et environs en ce qui concerne la fumure organique. Pour les semences, il se fera avec des contacts Corée-Mali.</w:t>
      </w:r>
    </w:p>
    <w:p>
      <w:pPr>
        <w:pStyle w:val="Normal"/>
        <w:rPr/>
      </w:pPr>
      <w:r>
        <w:rPr/>
        <w:t>La fumure organique est fournie par les éleveurs qui disposent de la bouse de vache et de la fiente de volaille.</w:t>
      </w:r>
    </w:p>
    <w:p>
      <w:pPr>
        <w:pStyle w:val="Normal"/>
        <w:rPr>
          <w:b/>
          <w:bCs/>
        </w:rPr>
      </w:pPr>
      <w:r>
        <w:rPr>
          <w:b/>
          <w:bCs/>
        </w:rPr>
        <w:t>b. La politique de distribution :</w:t>
      </w:r>
    </w:p>
    <w:p>
      <w:pPr>
        <w:pStyle w:val="Normal"/>
        <w:rPr/>
      </w:pPr>
      <w:r>
        <w:rPr/>
        <w:t xml:space="preserve">La politique de distribution de </w:t>
      </w:r>
      <w:r>
        <w:rPr>
          <w:b/>
          <w:bCs/>
        </w:rPr>
        <w:t>ZÉRÉ KÈNÈ &amp; DÉLICE</w:t>
      </w:r>
      <w:r>
        <w:rPr/>
        <w:t xml:space="preserve"> est structurée autour de deux axes principaux :</w:t>
      </w:r>
    </w:p>
    <w:p>
      <w:pPr>
        <w:pStyle w:val="Normal"/>
        <w:numPr>
          <w:ilvl w:val="0"/>
          <w:numId w:val="13"/>
        </w:numPr>
        <w:rPr/>
      </w:pPr>
      <w:r>
        <w:rPr/>
        <w:t>La vente directe dans la ferme aux commerçants grossistes de produits maraîchers ;</w:t>
      </w:r>
    </w:p>
    <w:p>
      <w:pPr>
        <w:pStyle w:val="Normal"/>
        <w:numPr>
          <w:ilvl w:val="0"/>
          <w:numId w:val="13"/>
        </w:numPr>
        <w:rPr/>
      </w:pPr>
      <w:r>
        <w:rPr/>
        <w:t>La livraison à partir de la ferme aux clients qui ont des grosses commandes.</w:t>
      </w:r>
    </w:p>
    <w:p>
      <w:pPr>
        <w:pStyle w:val="Normal"/>
        <w:rPr/>
      </w:pPr>
      <w:r>
        <w:rPr/>
        <w:t>Cela permettra de satisfaire chaque type de client en fonction de leurs besoins. Les commerçants grossistes se rendent généralement dans la ferme pour s'approvisionner afin de choisir les produits. Les clients qui font des grosses commandes ont souvent besoin d'être livrés sur leur point de vente ou à domicile.</w:t>
      </w:r>
    </w:p>
    <w:p>
      <w:pPr>
        <w:pStyle w:val="Normal"/>
        <w:rPr>
          <w:b/>
          <w:bCs/>
        </w:rPr>
      </w:pPr>
      <w:r>
        <w:rPr>
          <w:b/>
          <w:bCs/>
        </w:rPr>
        <w:t>c. La politique tarifaire</w:t>
      </w:r>
    </w:p>
    <w:p>
      <w:pPr>
        <w:pStyle w:val="Normal"/>
        <w:rPr/>
      </w:pPr>
      <w:r>
        <w:rPr/>
        <w:t>L'entreprise a développé une politique tarifaire en tenant compte des tarifs des concurrents. En ce qui concerne les grandes commandes, les facilités de livraison seront accordées pour attirer cette catégorie de clients.</w:t>
      </w:r>
    </w:p>
    <w:p>
      <w:pPr>
        <w:pStyle w:val="Normal"/>
        <w:rPr/>
      </w:pPr>
      <w:r>
        <w:rPr/>
        <w:t xml:space="preserve">Les prix proposés par </w:t>
      </w:r>
      <w:r>
        <w:rPr>
          <w:b/>
          <w:bCs/>
        </w:rPr>
        <w:t>ZÉRÉ KÈNÈ &amp; DÉLICE</w:t>
      </w:r>
      <w:r>
        <w:rPr/>
        <w:t xml:space="preserve"> :</w:t>
      </w:r>
    </w:p>
    <w:tbl>
      <w:tblPr>
        <w:tblW w:w="9898" w:type="dxa"/>
        <w:jc w:val="left"/>
        <w:tblInd w:w="-5" w:type="dxa"/>
        <w:tblLayout w:type="fixed"/>
        <w:tblCellMar>
          <w:top w:w="150" w:type="dxa"/>
          <w:left w:w="5" w:type="dxa"/>
          <w:bottom w:w="150" w:type="dxa"/>
          <w:right w:w="235" w:type="dxa"/>
        </w:tblCellMar>
      </w:tblPr>
      <w:tblGrid>
        <w:gridCol w:w="4834"/>
        <w:gridCol w:w="1994"/>
        <w:gridCol w:w="3070"/>
      </w:tblGrid>
      <w:tr>
        <w:trPr>
          <w:tblHeader w:val="true"/>
          <w:trHeight w:val="262" w:hRule="atLeast"/>
        </w:trPr>
        <w:tc>
          <w:tcPr>
            <w:tcW w:w="4834"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t>Désignation</w:t>
            </w:r>
          </w:p>
        </w:tc>
        <w:tc>
          <w:tcPr>
            <w:tcW w:w="199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Unité</w:t>
            </w:r>
          </w:p>
        </w:tc>
        <w:tc>
          <w:tcPr>
            <w:tcW w:w="307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PU en gros</w:t>
            </w:r>
          </w:p>
        </w:tc>
      </w:tr>
      <w:tr>
        <w:trPr>
          <w:trHeight w:val="262" w:hRule="atLeast"/>
        </w:trPr>
        <w:tc>
          <w:tcPr>
            <w:tcW w:w="48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Pastèque gros calibre</w:t>
            </w:r>
          </w:p>
        </w:tc>
        <w:tc>
          <w:tcPr>
            <w:tcW w:w="199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Unité</w:t>
            </w:r>
          </w:p>
        </w:tc>
        <w:tc>
          <w:tcPr>
            <w:tcW w:w="3070"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2 000</w:t>
            </w:r>
          </w:p>
        </w:tc>
      </w:tr>
      <w:tr>
        <w:trPr>
          <w:trHeight w:val="262" w:hRule="atLeast"/>
        </w:trPr>
        <w:tc>
          <w:tcPr>
            <w:tcW w:w="48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Pastèque moyen calibre</w:t>
            </w:r>
          </w:p>
        </w:tc>
        <w:tc>
          <w:tcPr>
            <w:tcW w:w="199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Unité</w:t>
            </w:r>
          </w:p>
        </w:tc>
        <w:tc>
          <w:tcPr>
            <w:tcW w:w="3070"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1 500</w:t>
            </w:r>
          </w:p>
        </w:tc>
      </w:tr>
    </w:tbl>
    <w:p>
      <w:pPr>
        <w:pStyle w:val="Normal"/>
        <w:rPr/>
      </w:pPr>
      <w:r>
        <w:rPr/>
        <w:t>Les prix proposés par les concurrents de l'entreprise :</w:t>
      </w:r>
    </w:p>
    <w:tbl>
      <w:tblPr>
        <w:tblW w:w="9933" w:type="dxa"/>
        <w:jc w:val="left"/>
        <w:tblInd w:w="-5" w:type="dxa"/>
        <w:tblLayout w:type="fixed"/>
        <w:tblCellMar>
          <w:top w:w="150" w:type="dxa"/>
          <w:left w:w="5" w:type="dxa"/>
          <w:bottom w:w="150" w:type="dxa"/>
          <w:right w:w="235" w:type="dxa"/>
        </w:tblCellMar>
      </w:tblPr>
      <w:tblGrid>
        <w:gridCol w:w="4314"/>
        <w:gridCol w:w="2224"/>
        <w:gridCol w:w="3395"/>
      </w:tblGrid>
      <w:tr>
        <w:trPr>
          <w:tblHeader w:val="true"/>
          <w:trHeight w:val="318" w:hRule="atLeast"/>
        </w:trPr>
        <w:tc>
          <w:tcPr>
            <w:tcW w:w="431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Désignation</w:t>
            </w:r>
          </w:p>
        </w:tc>
        <w:tc>
          <w:tcPr>
            <w:tcW w:w="222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Unité</w:t>
            </w:r>
          </w:p>
        </w:tc>
        <w:tc>
          <w:tcPr>
            <w:tcW w:w="339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PU en gros</w:t>
            </w:r>
          </w:p>
        </w:tc>
      </w:tr>
      <w:tr>
        <w:trPr>
          <w:trHeight w:val="318" w:hRule="atLeast"/>
        </w:trPr>
        <w:tc>
          <w:tcPr>
            <w:tcW w:w="431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Pastèque standard</w:t>
            </w:r>
          </w:p>
        </w:tc>
        <w:tc>
          <w:tcPr>
            <w:tcW w:w="222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Kg</w:t>
            </w:r>
          </w:p>
        </w:tc>
        <w:tc>
          <w:tcPr>
            <w:tcW w:w="339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750 à 1 000</w:t>
            </w:r>
          </w:p>
        </w:tc>
      </w:tr>
    </w:tbl>
    <w:p>
      <w:pPr>
        <w:pStyle w:val="Normal"/>
        <w:rPr>
          <w:b/>
          <w:bCs/>
        </w:rPr>
      </w:pPr>
      <w:r>
        <w:rPr>
          <w:b/>
          <w:bCs/>
        </w:rPr>
      </w:r>
    </w:p>
    <w:p>
      <w:pPr>
        <w:pStyle w:val="Normal"/>
        <w:rPr>
          <w:b/>
          <w:bCs/>
        </w:rPr>
      </w:pPr>
      <w:r>
        <w:rPr>
          <w:b/>
          <w:bCs/>
        </w:rPr>
        <w:t>4. L'analyse de la concurrence :</w:t>
      </w:r>
    </w:p>
    <w:p>
      <w:pPr>
        <w:pStyle w:val="Normal"/>
        <w:rPr/>
      </w:pPr>
      <w:r>
        <w:rPr/>
        <w:t>L'entreprise est face à des concurrents très expérimentés mais non formels dans la zone du projet, c'est-à-dire d'autres maraîchers. Mais c'est le respect des itinéraires techniques de production et l'application des conseils reçus au cours des formations qui permettra à ZÉRÉ KÈNÈ &amp; DÉLICE de fournir sur le marché des produits de très bonne qualité qui seront appréciés par les clients.</w:t>
      </w:r>
    </w:p>
    <w:p>
      <w:pPr>
        <w:pStyle w:val="Normal"/>
        <w:rPr/>
      </w:pPr>
      <w:r>
        <w:rPr/>
        <w:t>Les concurrents qui fournissent des produits de même qualité que ceux de l’entreprise pratiquent généralement des prix plus élevés que les siens.</w:t>
      </w:r>
    </w:p>
    <w:p>
      <w:pPr>
        <w:pStyle w:val="Normal"/>
        <w:rPr/>
      </w:pPr>
      <w:r>
        <w:rPr/>
        <w:t>Cependant l’entreprise développera des stratégies pour mieux se positionner sur le marché en :</w:t>
      </w:r>
    </w:p>
    <w:p>
      <w:pPr>
        <w:pStyle w:val="Normal"/>
        <w:numPr>
          <w:ilvl w:val="0"/>
          <w:numId w:val="7"/>
        </w:numPr>
        <w:rPr/>
      </w:pPr>
      <w:r>
        <w:rPr/>
        <w:t>Fidélisant ses clients afin d’étendre sa part de marché ;</w:t>
      </w:r>
    </w:p>
    <w:p>
      <w:pPr>
        <w:pStyle w:val="Normal"/>
        <w:numPr>
          <w:ilvl w:val="0"/>
          <w:numId w:val="7"/>
        </w:numPr>
        <w:rPr/>
      </w:pPr>
      <w:r>
        <w:rPr/>
        <w:t>Renforçant sa capacité de production et de distribution avec de nouveaux équipements pour mieux satisfaire la demande croissante des clients.</w:t>
      </w:r>
    </w:p>
    <w:p>
      <w:pPr>
        <w:pStyle w:val="Normal"/>
        <w:rPr/>
      </w:pPr>
      <w:r>
        <w:rPr/>
        <w:t>L’entreprise prévoit également de participer aux foires agricoles et de développer des actions de promotion pour toucher le maximum de prospects.</w:t>
      </w:r>
    </w:p>
    <w:p>
      <w:pPr>
        <w:pStyle w:val="Normal"/>
        <w:rPr/>
      </w:pPr>
      <w:r>
        <w:rPr/>
      </w:r>
    </w:p>
    <w:p>
      <w:pPr>
        <w:pStyle w:val="Heading2"/>
        <w:keepLines/>
        <w:numPr>
          <w:ilvl w:val="0"/>
          <w:numId w:val="12"/>
        </w:numPr>
        <w:spacing w:before="120" w:after="120"/>
        <w:ind w:hanging="360" w:left="720" w:right="0"/>
        <w:jc w:val="both"/>
        <w:rPr>
          <w:rFonts w:ascii="Times New Roman" w:hAnsi="Times New Roman" w:cs="Times New Roman"/>
          <w:i w:val="false"/>
          <w:i w:val="false"/>
          <w:iCs w:val="false"/>
          <w:sz w:val="24"/>
          <w:szCs w:val="24"/>
          <w:lang w:val="fr-CI"/>
        </w:rPr>
      </w:pPr>
      <w:bookmarkStart w:id="11" w:name="__RefHeading___Toc234831705"/>
      <w:bookmarkEnd w:id="11"/>
      <w:r>
        <w:rPr>
          <w:rFonts w:cs="Times New Roman" w:ascii="Times New Roman" w:hAnsi="Times New Roman"/>
          <w:i w:val="false"/>
          <w:iCs w:val="false"/>
          <w:sz w:val="24"/>
          <w:szCs w:val="24"/>
          <w:lang w:val="fr-CI"/>
        </w:rPr>
        <w:t>La demande</w:t>
      </w:r>
      <w:r>
        <w:rPr>
          <w:rFonts w:cs="Times New Roman" w:ascii="Times New Roman" w:hAnsi="Times New Roman"/>
          <w:b w:val="false"/>
          <w:bCs w:val="false"/>
          <w:sz w:val="24"/>
          <w:szCs w:val="24"/>
          <w:lang w:val="fr-CI"/>
        </w:rPr>
        <w:t xml:space="preserve"> (clientèle cible)</w:t>
      </w:r>
      <w:r>
        <w:rPr>
          <w:rFonts w:cs="Times New Roman" w:ascii="Times New Roman" w:hAnsi="Times New Roman"/>
          <w:i w:val="false"/>
          <w:iCs w:val="false"/>
          <w:sz w:val="24"/>
          <w:szCs w:val="24"/>
          <w:lang w:val="fr-CI"/>
        </w:rPr>
        <w:t> :</w:t>
      </w:r>
    </w:p>
    <w:p>
      <w:pPr>
        <w:pStyle w:val="Normal"/>
        <w:rPr/>
      </w:pPr>
      <w:r>
        <w:rPr/>
        <w:t>La clientèle cible est constituée par les commerçants grossistes de produits maraîchers, les revendeurs de fruits, les restaurateurs, les hôtels et les particuliers consommateurs de la ville de Bamako, de Sanankoroba et environs. En général, les clients sont exigeants sur certains éléments clés sur les produits maraîchers, ce sont : la taille du produit, la durée de conservation à l'état frais et la nature des fertilisants et pesticides utilisés par le producteur.</w:t>
      </w:r>
    </w:p>
    <w:p>
      <w:pPr>
        <w:pStyle w:val="Normal"/>
        <w:rPr/>
      </w:pPr>
      <w:r>
        <w:rPr/>
        <w:t>En tenant compte de ces critères de qualité, l’entreprise se distingue par le fait qu’elle utilise peu de fertilisants et de pesticides chimiques. Le respect des itinéraires techniques de production et une bonne taille aux produits attire les clients.</w:t>
      </w:r>
    </w:p>
    <w:p>
      <w:pPr>
        <w:pStyle w:val="Normal"/>
        <w:rPr/>
      </w:pPr>
      <w:r>
        <w:rPr/>
        <w:t>Cela permet également d'avoir une longue durée de conservation des produits maraîchers à l'état frais.</w:t>
      </w:r>
    </w:p>
    <w:p>
      <w:pPr>
        <w:pStyle w:val="Normal"/>
        <w:rPr>
          <w:rFonts w:ascii="Segoe UI" w:hAnsi="Segoe UI" w:cs="Segoe UI"/>
          <w:color w:val="0F1115"/>
        </w:rPr>
      </w:pPr>
      <w:r>
        <w:rPr/>
        <w:t>La stratégie de l'entreprise pour satisfaire les besoins des clients consiste à recenser les commandes afin de mieux planifier les jours de livraison, maintenir le contact avec les clients à travers une vérification de l'appréciation des clients sur les produits, sur la base des appels téléphoniques et souvent des visites de terrain</w:t>
      </w:r>
      <w:r>
        <w:rPr>
          <w:rFonts w:cs="Segoe UI" w:ascii="Segoe UI" w:hAnsi="Segoe UI"/>
          <w:color w:val="0F1115"/>
        </w:rPr>
        <w:t>.</w:t>
      </w:r>
    </w:p>
    <w:p>
      <w:pPr>
        <w:pStyle w:val="Heading2"/>
        <w:keepLines/>
        <w:numPr>
          <w:ilvl w:val="0"/>
          <w:numId w:val="12"/>
        </w:numPr>
        <w:spacing w:before="120" w:after="120"/>
        <w:ind w:hanging="426" w:left="426" w:right="0"/>
        <w:jc w:val="both"/>
        <w:rPr>
          <w:rFonts w:ascii="Times New Roman" w:hAnsi="Times New Roman" w:cs="Times New Roman"/>
          <w:i w:val="false"/>
          <w:i w:val="false"/>
          <w:iCs w:val="false"/>
          <w:sz w:val="24"/>
          <w:szCs w:val="24"/>
          <w:lang w:val="fr-CI"/>
        </w:rPr>
      </w:pPr>
      <w:bookmarkStart w:id="12" w:name="__RefHeading___Toc234831706"/>
      <w:bookmarkEnd w:id="12"/>
      <w:r>
        <w:rPr>
          <w:rFonts w:cs="Times New Roman" w:ascii="Times New Roman" w:hAnsi="Times New Roman"/>
          <w:i w:val="false"/>
          <w:iCs w:val="false"/>
          <w:sz w:val="24"/>
          <w:szCs w:val="24"/>
          <w:lang w:val="fr-CI"/>
        </w:rPr>
        <w:t>Stratégies marketing :</w:t>
      </w:r>
    </w:p>
    <w:p>
      <w:pPr>
        <w:pStyle w:val="Normal"/>
        <w:numPr>
          <w:ilvl w:val="1"/>
          <w:numId w:val="2"/>
        </w:numPr>
        <w:rPr>
          <w:sz w:val="22"/>
          <w:szCs w:val="22"/>
          <w:lang w:val="fr-CI"/>
        </w:rPr>
      </w:pPr>
      <w:r>
        <w:rPr>
          <w:sz w:val="22"/>
          <w:szCs w:val="22"/>
          <w:lang w:val="fr-CI"/>
        </w:rPr>
        <w:t xml:space="preserve">Politique de Produit : </w:t>
      </w:r>
    </w:p>
    <w:p>
      <w:pPr>
        <w:pStyle w:val="Normal"/>
        <w:jc w:val="both"/>
        <w:rPr>
          <w:sz w:val="22"/>
          <w:szCs w:val="22"/>
          <w:lang w:val="fr-CI"/>
        </w:rPr>
      </w:pPr>
      <w:r>
        <w:rPr>
          <w:sz w:val="22"/>
          <w:szCs w:val="22"/>
          <w:lang w:val="fr-CI"/>
        </w:rPr>
        <w:t xml:space="preserve">  </w:t>
      </w:r>
      <w:r>
        <w:rPr>
          <w:sz w:val="22"/>
          <w:szCs w:val="22"/>
        </w:rPr>
        <w:t xml:space="preserve">La politique de produit de </w:t>
      </w:r>
      <w:r>
        <w:rPr>
          <w:b/>
          <w:bCs/>
          <w:sz w:val="22"/>
          <w:szCs w:val="22"/>
        </w:rPr>
        <w:t>ZÉRÉ KÈNÈ &amp; DÉLICE</w:t>
      </w:r>
      <w:r>
        <w:rPr>
          <w:sz w:val="22"/>
          <w:szCs w:val="22"/>
        </w:rPr>
        <w:t xml:space="preserve"> est axée sur la production de pastèques de haute qualité, disponibles en contre-saison et répondant aux attentes des consommateurs exigeants. La marque véhicule une image de naturalité, de santé (Kènè) et de plaisir (Délice). Les pastèques sont proposées en deux calibres : gros calibre (12 kg) et moyen calibre (8 à 10 kg), avec une chair rouge, juteuse et sucrée. Cette politique permet de rassurer l'entreprise et de soutenir la production tout au long de l'année.</w:t>
      </w:r>
    </w:p>
    <w:p>
      <w:pPr>
        <w:pStyle w:val="Normal"/>
        <w:numPr>
          <w:ilvl w:val="1"/>
          <w:numId w:val="2"/>
        </w:numPr>
        <w:rPr>
          <w:sz w:val="22"/>
          <w:szCs w:val="22"/>
          <w:lang w:val="fr-CI"/>
        </w:rPr>
      </w:pPr>
      <w:r>
        <w:rPr>
          <w:sz w:val="22"/>
          <w:szCs w:val="22"/>
          <w:lang w:val="fr-CI"/>
        </w:rPr>
        <w:t>Politique de prix :</w:t>
      </w:r>
    </w:p>
    <w:p>
      <w:pPr>
        <w:pStyle w:val="Normal"/>
        <w:rPr>
          <w:sz w:val="22"/>
          <w:szCs w:val="22"/>
          <w:lang w:val="fr-CI"/>
        </w:rPr>
      </w:pPr>
      <w:r>
        <w:rPr>
          <w:sz w:val="22"/>
          <w:szCs w:val="22"/>
        </w:rPr>
        <w:t>La politique de prix a consisté à fixer un prix incitatif pour les clients afin de les fidéliser, augmenter le chiffre d'affaires de l'entreprise et mieux se positionner face à la concurrence. Le prix de vente est fixé à 2 000 F CFA l'unité pour le gros calibre et 1 500 F CFA l'unité pour le moyen calibre. Des conditions favorables de livraison sont proposées pour les clients qui passent des commandes importantes.</w:t>
      </w:r>
    </w:p>
    <w:p>
      <w:pPr>
        <w:pStyle w:val="Normal"/>
        <w:numPr>
          <w:ilvl w:val="1"/>
          <w:numId w:val="2"/>
        </w:numPr>
        <w:rPr>
          <w:sz w:val="22"/>
          <w:szCs w:val="22"/>
          <w:lang w:val="fr-CI"/>
        </w:rPr>
      </w:pPr>
      <w:r>
        <w:rPr>
          <w:sz w:val="22"/>
          <w:szCs w:val="22"/>
          <w:lang w:val="fr-CI"/>
        </w:rPr>
        <w:t>Politique de place</w:t>
      </w:r>
    </w:p>
    <w:p>
      <w:pPr>
        <w:pStyle w:val="Normal"/>
        <w:rPr>
          <w:sz w:val="22"/>
          <w:szCs w:val="22"/>
          <w:lang w:val="fr-CI"/>
        </w:rPr>
      </w:pPr>
      <w:r>
        <w:rPr>
          <w:sz w:val="22"/>
          <w:szCs w:val="22"/>
        </w:rPr>
        <w:t>La localisation du périmètre maraîcher dans la commune de Safo est une zone de maraîchage par excellence et stratégique parce qu'elle permet d'attirer les clients vers les produits. Les grossistes maraîchers se rendent dans cette zone de production pour négocier avec les producteurs</w:t>
      </w:r>
      <w:r>
        <w:rPr>
          <w:sz w:val="22"/>
          <w:szCs w:val="22"/>
          <w:lang w:val="fr-CI"/>
        </w:rPr>
        <w:t>Politique de promotion/communication :</w:t>
      </w:r>
    </w:p>
    <w:p>
      <w:pPr>
        <w:pStyle w:val="Normal"/>
        <w:rPr>
          <w:sz w:val="22"/>
          <w:szCs w:val="22"/>
          <w:lang w:val="fr-CI"/>
        </w:rPr>
      </w:pPr>
      <w:r>
        <w:rPr>
          <w:sz w:val="22"/>
          <w:szCs w:val="22"/>
          <w:lang w:val="fr-CI"/>
        </w:rPr>
        <w:t>La politique de promotion et de communication développée comprend :</w:t>
      </w:r>
    </w:p>
    <w:p>
      <w:pPr>
        <w:pStyle w:val="Normal"/>
        <w:rPr>
          <w:b/>
          <w:sz w:val="22"/>
          <w:szCs w:val="22"/>
          <w:lang w:val="fr-CI"/>
        </w:rPr>
      </w:pPr>
      <w:r>
        <w:rPr>
          <w:b/>
          <w:sz w:val="22"/>
          <w:szCs w:val="22"/>
          <w:lang w:val="fr-CI"/>
        </w:rPr>
        <w:t>L’identification des prospects :</w:t>
      </w:r>
    </w:p>
    <w:p>
      <w:pPr>
        <w:pStyle w:val="Normal"/>
        <w:jc w:val="both"/>
        <w:rPr>
          <w:sz w:val="22"/>
          <w:szCs w:val="22"/>
          <w:lang w:val="fr-CI"/>
        </w:rPr>
      </w:pPr>
      <w:r>
        <w:rPr>
          <w:sz w:val="22"/>
          <w:szCs w:val="22"/>
          <w:lang w:val="fr-CI"/>
        </w:rPr>
        <w:t xml:space="preserve">Il s’agit d’identifier les clients potentiels afin d’avoir leurs contacts et des informations sur les quantités de produits dont ils ont besoins par mois. </w:t>
      </w:r>
    </w:p>
    <w:p>
      <w:pPr>
        <w:pStyle w:val="Normal"/>
        <w:rPr>
          <w:b/>
          <w:sz w:val="22"/>
          <w:szCs w:val="22"/>
          <w:lang w:val="fr-CI"/>
        </w:rPr>
      </w:pPr>
      <w:r>
        <w:rPr>
          <w:b/>
          <w:sz w:val="22"/>
          <w:szCs w:val="22"/>
          <w:lang w:val="fr-CI"/>
        </w:rPr>
        <w:t xml:space="preserve">Identification des canaux de communication : </w:t>
      </w:r>
    </w:p>
    <w:p>
      <w:pPr>
        <w:pStyle w:val="Normal"/>
        <w:rPr>
          <w:sz w:val="22"/>
          <w:szCs w:val="22"/>
          <w:lang w:val="fr-CI"/>
        </w:rPr>
      </w:pPr>
      <w:r>
        <w:rPr>
          <w:sz w:val="22"/>
          <w:szCs w:val="22"/>
          <w:lang w:val="fr-CI"/>
        </w:rPr>
        <w:t xml:space="preserve">Les différents canaux de communication identifiés sont le contact direct, le téléphone, les radios de proximité et les réseaux sociaux.  </w:t>
      </w:r>
    </w:p>
    <w:p>
      <w:pPr>
        <w:pStyle w:val="Normal"/>
        <w:rPr>
          <w:b/>
          <w:sz w:val="22"/>
          <w:szCs w:val="22"/>
          <w:lang w:val="fr-CI"/>
        </w:rPr>
      </w:pPr>
      <w:r>
        <w:rPr>
          <w:b/>
          <w:sz w:val="22"/>
          <w:szCs w:val="22"/>
          <w:lang w:val="fr-CI"/>
        </w:rPr>
        <w:t xml:space="preserve">Elaboration des outils de communication : </w:t>
      </w:r>
    </w:p>
    <w:p>
      <w:pPr>
        <w:pStyle w:val="Normal"/>
        <w:rPr>
          <w:sz w:val="22"/>
          <w:szCs w:val="22"/>
          <w:lang w:val="fr-CI"/>
        </w:rPr>
      </w:pPr>
      <w:r>
        <w:rPr>
          <w:sz w:val="22"/>
          <w:szCs w:val="22"/>
          <w:lang w:val="fr-CI"/>
        </w:rPr>
        <w:t>Les outils de communication retenus par l’entreprise sont les appels téléphoniques, les spots radios, WhatsApp, facebook et TikTok.</w:t>
      </w:r>
    </w:p>
    <w:p>
      <w:pPr>
        <w:pStyle w:val="Normal"/>
        <w:rPr>
          <w:b/>
          <w:sz w:val="22"/>
          <w:szCs w:val="22"/>
          <w:lang w:val="fr-CI"/>
        </w:rPr>
      </w:pPr>
      <w:r>
        <w:rPr>
          <w:b/>
          <w:sz w:val="22"/>
          <w:szCs w:val="22"/>
          <w:lang w:val="fr-CI"/>
        </w:rPr>
        <w:t>Elaboration d’un plan de communication :</w:t>
      </w:r>
    </w:p>
    <w:p>
      <w:pPr>
        <w:pStyle w:val="Normal"/>
        <w:jc w:val="both"/>
        <w:rPr>
          <w:sz w:val="22"/>
          <w:szCs w:val="22"/>
          <w:lang w:val="fr-CI"/>
        </w:rPr>
      </w:pPr>
      <w:r>
        <w:rPr>
          <w:sz w:val="22"/>
          <w:szCs w:val="22"/>
          <w:lang w:val="fr-CI"/>
        </w:rPr>
        <w:t xml:space="preserve">Un plan de communication cohérent et adapté aux moyens de l’entreprise sera élaboré afin de mieux cibler les clients potentiels et mieux faire face à la concurrence. </w:t>
      </w:r>
    </w:p>
    <w:p>
      <w:pPr>
        <w:pStyle w:val="Normal"/>
        <w:rPr>
          <w:b/>
          <w:sz w:val="22"/>
          <w:szCs w:val="22"/>
          <w:lang w:val="fr-CI"/>
        </w:rPr>
      </w:pPr>
      <w:r>
        <w:rPr>
          <w:b/>
          <w:sz w:val="22"/>
          <w:szCs w:val="22"/>
          <w:lang w:val="fr-CI"/>
        </w:rPr>
        <w:t>Mise en œuvre du plan de communication.</w:t>
      </w:r>
    </w:p>
    <w:p>
      <w:pPr>
        <w:pStyle w:val="Normal"/>
        <w:jc w:val="both"/>
        <w:rPr>
          <w:sz w:val="22"/>
          <w:szCs w:val="22"/>
          <w:lang w:val="fr-CI"/>
        </w:rPr>
      </w:pPr>
      <w:r>
        <w:rPr>
          <w:sz w:val="22"/>
          <w:szCs w:val="22"/>
          <w:lang w:val="fr-CI"/>
        </w:rPr>
        <w:t xml:space="preserve">Les différents canaux identifiés seront utilisés dans la mise en œuvre de ce plan de communication. L’accent sera mis sur les périodes de grande consommation, de foires agricoles et commerciales. </w:t>
      </w:r>
    </w:p>
    <w:p>
      <w:pPr>
        <w:pStyle w:val="Normal"/>
        <w:jc w:val="both"/>
        <w:rPr>
          <w:sz w:val="22"/>
          <w:szCs w:val="22"/>
          <w:lang w:val="fr-CI"/>
        </w:rPr>
      </w:pPr>
      <w:r>
        <w:rPr>
          <w:sz w:val="22"/>
          <w:szCs w:val="22"/>
          <w:lang w:val="fr-CI"/>
        </w:rPr>
      </w:r>
    </w:p>
    <w:p>
      <w:pPr>
        <w:pStyle w:val="Heading1"/>
        <w:keepLines/>
        <w:numPr>
          <w:ilvl w:val="0"/>
          <w:numId w:val="2"/>
        </w:numPr>
        <w:spacing w:before="0" w:after="120"/>
        <w:ind w:hanging="431" w:left="431" w:right="0"/>
        <w:jc w:val="both"/>
        <w:rPr>
          <w:rFonts w:ascii="Times New Roman" w:hAnsi="Times New Roman" w:cs="Times New Roman"/>
          <w:caps/>
          <w:color w:val="166B7F"/>
          <w:kern w:val="0"/>
          <w:lang w:eastAsia="en-US"/>
        </w:rPr>
      </w:pPr>
      <w:bookmarkStart w:id="13" w:name="__RefHeading___Toc234831707"/>
      <w:bookmarkEnd w:id="13"/>
      <w:r>
        <w:rPr>
          <w:rFonts w:cs="Times New Roman" w:ascii="Times New Roman" w:hAnsi="Times New Roman"/>
          <w:caps/>
          <w:color w:val="166B7F"/>
          <w:kern w:val="0"/>
          <w:lang w:eastAsia="en-US"/>
        </w:rPr>
        <w:t>ÉTUDE TECHNIQUE</w:t>
      </w:r>
    </w:p>
    <w:p>
      <w:pPr>
        <w:pStyle w:val="Heading2"/>
        <w:keepLines/>
        <w:numPr>
          <w:ilvl w:val="0"/>
          <w:numId w:val="15"/>
        </w:numPr>
        <w:spacing w:before="120" w:after="120"/>
        <w:ind w:hanging="360" w:left="720" w:right="0"/>
        <w:jc w:val="both"/>
        <w:rPr>
          <w:rFonts w:ascii="Times New Roman" w:hAnsi="Times New Roman" w:cs="Times New Roman"/>
          <w:i w:val="false"/>
          <w:i w:val="false"/>
          <w:iCs w:val="false"/>
          <w:sz w:val="24"/>
          <w:szCs w:val="24"/>
          <w:lang w:val="fr-CI"/>
        </w:rPr>
      </w:pPr>
      <w:bookmarkStart w:id="14" w:name="__RefHeading___Toc234831708"/>
      <w:bookmarkEnd w:id="14"/>
      <w:r>
        <w:rPr>
          <w:rFonts w:cs="Times New Roman" w:ascii="Times New Roman" w:hAnsi="Times New Roman"/>
          <w:i w:val="false"/>
          <w:iCs w:val="false"/>
          <w:sz w:val="24"/>
          <w:szCs w:val="24"/>
          <w:lang w:val="fr-CI"/>
        </w:rPr>
        <w:t xml:space="preserve">Site d’implantation : </w:t>
      </w:r>
    </w:p>
    <w:p>
      <w:pPr>
        <w:pStyle w:val="ds-markdown-paragraph"/>
        <w:shd w:val="clear" w:fill="FFFFFF"/>
        <w:spacing w:before="240" w:after="240"/>
        <w:ind w:left="360" w:right="0"/>
        <w:rPr>
          <w:rFonts w:ascii="Segoe UI" w:hAnsi="Segoe UI" w:cs="Segoe UI"/>
          <w:color w:val="0F1115"/>
        </w:rPr>
      </w:pPr>
      <w:r>
        <w:rPr>
          <w:sz w:val="22"/>
          <w:szCs w:val="22"/>
          <w:lang w:eastAsia="zh-CN"/>
        </w:rPr>
        <w:t xml:space="preserve">Le projet sera réalisé sur une superficie de </w:t>
      </w:r>
      <w:r>
        <w:rPr>
          <w:b/>
          <w:bCs/>
          <w:sz w:val="22"/>
          <w:szCs w:val="22"/>
          <w:lang w:eastAsia="zh-CN"/>
        </w:rPr>
        <w:t>0,75 hectare</w:t>
      </w:r>
      <w:r>
        <w:rPr>
          <w:sz w:val="22"/>
          <w:szCs w:val="22"/>
          <w:lang w:eastAsia="zh-CN"/>
        </w:rPr>
        <w:t xml:space="preserve"> à </w:t>
      </w:r>
      <w:r>
        <w:rPr>
          <w:b/>
          <w:bCs/>
          <w:sz w:val="22"/>
          <w:szCs w:val="22"/>
          <w:lang w:eastAsia="zh-CN"/>
        </w:rPr>
        <w:t xml:space="preserve">Kabé, </w:t>
      </w:r>
      <w:r>
        <w:rPr>
          <w:sz w:val="22"/>
          <w:szCs w:val="22"/>
          <w:lang w:eastAsia="zh-CN"/>
        </w:rPr>
        <w:t>dans la commune de Sanankoroba, Région de Koulikoro. Le site du projet est accessible avec des routes praticables en toute saison, cela facilitera le transport de la production pour la livraison aux clients. Le titre de propriété de la superficie est détenu par un membre de la famille qui en autorise l’exploitation par le promoteur pour une durée de 7 ans, renouvelable. L’acte de mise à disposition du terrain, dûment signé et légalisé, sera joint en annexe du présent plan d’affaires.</w:t>
      </w:r>
      <w:r>
        <w:rPr>
          <w:rFonts w:cs="Segoe UI" w:ascii="Segoe UI" w:hAnsi="Segoe UI"/>
          <w:color w:val="0F1115"/>
        </w:rPr>
        <w:t>.</w:t>
      </w:r>
    </w:p>
    <w:p>
      <w:pPr>
        <w:pStyle w:val="Heading2"/>
        <w:keepLines/>
        <w:numPr>
          <w:ilvl w:val="0"/>
          <w:numId w:val="15"/>
        </w:numPr>
        <w:spacing w:before="120" w:after="0"/>
        <w:ind w:hanging="360" w:left="720" w:right="0"/>
        <w:jc w:val="both"/>
        <w:rPr>
          <w:rFonts w:ascii="Times New Roman" w:hAnsi="Times New Roman" w:cs="Times New Roman"/>
          <w:i w:val="false"/>
          <w:i w:val="false"/>
          <w:iCs w:val="false"/>
          <w:sz w:val="24"/>
          <w:szCs w:val="24"/>
          <w:lang w:val="fr-CI"/>
        </w:rPr>
      </w:pPr>
      <w:bookmarkStart w:id="15" w:name="__RefHeading___Toc234831709"/>
      <w:bookmarkEnd w:id="15"/>
      <w:r>
        <w:rPr>
          <w:rFonts w:cs="Times New Roman" w:ascii="Times New Roman" w:hAnsi="Times New Roman"/>
          <w:i w:val="false"/>
          <w:iCs w:val="false"/>
          <w:sz w:val="24"/>
          <w:szCs w:val="24"/>
          <w:lang w:val="fr-CI"/>
        </w:rPr>
        <w:t>Locaux, aménagements / installations et équipements</w:t>
      </w:r>
    </w:p>
    <w:p>
      <w:pPr>
        <w:pStyle w:val="Normal"/>
        <w:ind w:left="720" w:right="0"/>
        <w:rPr/>
      </w:pPr>
      <w:r>
        <w:rPr/>
        <w:t xml:space="preserve">2.1 Constructions </w:t>
      </w:r>
    </w:p>
    <w:tbl>
      <w:tblPr>
        <w:tblW w:w="7420" w:type="dxa"/>
        <w:jc w:val="left"/>
        <w:tblInd w:w="80" w:type="dxa"/>
        <w:tblLayout w:type="fixed"/>
        <w:tblCellMar>
          <w:top w:w="0" w:type="dxa"/>
          <w:left w:w="70" w:type="dxa"/>
          <w:bottom w:w="0" w:type="dxa"/>
          <w:right w:w="70" w:type="dxa"/>
        </w:tblCellMar>
      </w:tblPr>
      <w:tblGrid>
        <w:gridCol w:w="3250"/>
        <w:gridCol w:w="992"/>
        <w:gridCol w:w="1417"/>
        <w:gridCol w:w="1760"/>
      </w:tblGrid>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992"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417"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76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25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rPr>
            </w:pPr>
            <w:r>
              <w:rPr>
                <w:color w:val="000000"/>
              </w:rPr>
              <w:t>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0</w:t>
            </w:r>
          </w:p>
        </w:tc>
      </w:tr>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992"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7"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76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0</w:t>
            </w:r>
          </w:p>
        </w:tc>
      </w:tr>
    </w:tbl>
    <w:p>
      <w:pPr>
        <w:pStyle w:val="Normal"/>
        <w:ind w:left="720" w:right="0"/>
        <w:rPr>
          <w:lang w:val="fr-CI"/>
        </w:rPr>
      </w:pPr>
      <w:r>
        <w:rPr>
          <w:lang w:val="fr-CI"/>
        </w:rPr>
      </w:r>
    </w:p>
    <w:p>
      <w:pPr>
        <w:pStyle w:val="Normal"/>
        <w:ind w:left="720" w:right="0"/>
        <w:rPr>
          <w:lang w:val="fr-CI"/>
        </w:rPr>
      </w:pPr>
      <w:r>
        <w:rPr>
          <w:lang w:val="fr-CI"/>
        </w:rPr>
        <w:t>2.2 Aménagements /installations</w:t>
      </w:r>
    </w:p>
    <w:p>
      <w:pPr>
        <w:pStyle w:val="Normal"/>
        <w:rPr/>
      </w:pPr>
      <w:r>
        <w:rPr/>
        <w:t> </w:t>
      </w:r>
    </w:p>
    <w:tbl>
      <w:tblPr>
        <w:tblW w:w="7665" w:type="dxa"/>
        <w:jc w:val="left"/>
        <w:tblInd w:w="60" w:type="dxa"/>
        <w:tblLayout w:type="fixed"/>
        <w:tblCellMar>
          <w:top w:w="0" w:type="dxa"/>
          <w:left w:w="70" w:type="dxa"/>
          <w:bottom w:w="0" w:type="dxa"/>
          <w:right w:w="70" w:type="dxa"/>
        </w:tblCellMar>
      </w:tblPr>
      <w:tblGrid>
        <w:gridCol w:w="3899"/>
        <w:gridCol w:w="1001"/>
        <w:gridCol w:w="1205"/>
        <w:gridCol w:w="1559"/>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205"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559"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Aménagement préparatoire</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1205"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45 000</w:t>
            </w:r>
          </w:p>
        </w:tc>
        <w:tc>
          <w:tcPr>
            <w:tcW w:w="155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45 000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Formation des billons</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1205"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60 000</w:t>
            </w:r>
          </w:p>
        </w:tc>
        <w:tc>
          <w:tcPr>
            <w:tcW w:w="155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60 000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Système goutte-à-goutte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750 000</w:t>
            </w:r>
          </w:p>
        </w:tc>
        <w:tc>
          <w:tcPr>
            <w:tcW w:w="1559"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750 000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Clôture en grillage 0,75 ha</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1 000 000</w:t>
            </w:r>
          </w:p>
        </w:tc>
        <w:tc>
          <w:tcPr>
            <w:tcW w:w="1559"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1 000 000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Bassin 40 m³</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250 000</w:t>
            </w:r>
          </w:p>
        </w:tc>
        <w:tc>
          <w:tcPr>
            <w:tcW w:w="1559"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Puits à grand diamètre</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980 000</w:t>
            </w:r>
          </w:p>
        </w:tc>
        <w:tc>
          <w:tcPr>
            <w:tcW w:w="1559"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980 000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205"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559"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3 085 000</w:t>
            </w:r>
          </w:p>
        </w:tc>
      </w:tr>
    </w:tbl>
    <w:p>
      <w:pPr>
        <w:pStyle w:val="Normal"/>
        <w:ind w:left="720" w:right="0"/>
        <w:rPr>
          <w:lang w:val="fr-CI"/>
        </w:rPr>
      </w:pPr>
      <w:r>
        <w:rPr>
          <w:lang w:val="fr-CI"/>
        </w:rPr>
        <w:t>2.3 Mobiliers et matériels</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Balance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20 000</w:t>
            </w:r>
          </w:p>
        </w:tc>
      </w:tr>
    </w:tbl>
    <w:p>
      <w:pPr>
        <w:pStyle w:val="Heading3"/>
        <w:numPr>
          <w:ilvl w:val="1"/>
          <w:numId w:val="11"/>
        </w:numPr>
        <w:ind w:hanging="360" w:left="1211" w:right="0"/>
        <w:rPr>
          <w:rFonts w:ascii="Times New Roman" w:hAnsi="Times New Roman" w:cs="Times New Roman"/>
          <w:sz w:val="24"/>
          <w:szCs w:val="24"/>
        </w:rPr>
      </w:pPr>
      <w:bookmarkStart w:id="16" w:name="__RefHeading___Toc234831710"/>
      <w:bookmarkEnd w:id="16"/>
      <w:r>
        <w:rPr>
          <w:rFonts w:cs="Times New Roman" w:ascii="Times New Roman" w:hAnsi="Times New Roman"/>
          <w:sz w:val="24"/>
          <w:szCs w:val="24"/>
        </w:rPr>
        <w:t>Equipements de production :</w:t>
      </w:r>
    </w:p>
    <w:p>
      <w:pPr>
        <w:pStyle w:val="Normal"/>
        <w:rPr>
          <w:sz w:val="22"/>
          <w:szCs w:val="22"/>
        </w:rPr>
      </w:pPr>
      <w:r>
        <w:rPr>
          <w:sz w:val="22"/>
          <w:szCs w:val="22"/>
        </w:rPr>
        <w:t>Les équipements de production sont consignés dans le tableau ci-dessous :</w:t>
      </w:r>
    </w:p>
    <w:p>
      <w:pPr>
        <w:pStyle w:val="Normal"/>
        <w:rPr>
          <w:b/>
          <w:bCs/>
          <w:sz w:val="22"/>
          <w:szCs w:val="22"/>
          <w:lang w:eastAsia="fr-CA"/>
        </w:rPr>
      </w:pPr>
      <w:r>
        <w:rPr>
          <w:b/>
          <w:bCs/>
          <w:sz w:val="22"/>
          <w:szCs w:val="22"/>
          <w:lang w:eastAsia="fr-CA"/>
        </w:rPr>
        <w:t xml:space="preserve"> </w:t>
      </w:r>
      <w:r>
        <w:rPr>
          <w:b/>
          <w:bCs/>
          <w:sz w:val="22"/>
          <w:szCs w:val="22"/>
          <w:lang w:eastAsia="fr-CA"/>
        </w:rPr>
        <w:t>Equipements de production</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Paillage en plastique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400 000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400 000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Pulvérisateurs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75 000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jc w:val="both"/>
              <w:rPr>
                <w:color w:val="000000"/>
                <w:sz w:val="22"/>
                <w:szCs w:val="22"/>
              </w:rPr>
            </w:pPr>
            <w:r>
              <w:rPr>
                <w:color w:val="000000"/>
                <w:sz w:val="22"/>
                <w:szCs w:val="22"/>
              </w:rPr>
              <w:t>Brouettes + Houes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60 000</w:t>
            </w:r>
          </w:p>
        </w:tc>
      </w:tr>
      <w:tr>
        <w:trPr>
          <w:trHeight w:val="25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P 17 (2000 m)</w:t>
            </w:r>
          </w:p>
        </w:tc>
        <w:tc>
          <w:tcPr>
            <w:tcW w:w="100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150 000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300 000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Outils divers (dabas, pioches, pelles)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45 000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45 000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880 000</w:t>
            </w:r>
          </w:p>
        </w:tc>
      </w:tr>
    </w:tbl>
    <w:p>
      <w:pPr>
        <w:pStyle w:val="Normal"/>
        <w:rPr>
          <w:b/>
          <w:bCs/>
          <w:sz w:val="22"/>
          <w:szCs w:val="22"/>
          <w:lang w:eastAsia="fr-CA"/>
        </w:rPr>
      </w:pPr>
      <w:r>
        <w:rPr>
          <w:b/>
          <w:bCs/>
          <w:sz w:val="22"/>
          <w:szCs w:val="22"/>
          <w:lang w:eastAsia="fr-CA"/>
        </w:rPr>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55" w:hRule="atLeast"/>
        </w:trPr>
        <w:tc>
          <w:tcPr>
            <w:tcW w:w="3899" w:type="dxa"/>
            <w:tcBorders/>
            <w:shd w:fill="FFFFFF" w:val="clear"/>
            <w:vAlign w:val="bottom"/>
          </w:tcPr>
          <w:p>
            <w:pPr>
              <w:pStyle w:val="Normal"/>
              <w:snapToGrid w:val="false"/>
              <w:rPr>
                <w:rFonts w:ascii="Cambria" w:hAnsi="Cambria" w:cs="Calibri"/>
                <w:b/>
                <w:bCs/>
                <w:sz w:val="20"/>
                <w:szCs w:val="20"/>
              </w:rPr>
            </w:pPr>
            <w:r>
              <w:rPr>
                <w:rFonts w:cs="Calibri" w:ascii="Cambria" w:hAnsi="Cambria"/>
                <w:b/>
                <w:bCs/>
                <w:sz w:val="20"/>
                <w:szCs w:val="20"/>
              </w:rPr>
            </w:r>
          </w:p>
        </w:tc>
        <w:tc>
          <w:tcPr>
            <w:tcW w:w="1001" w:type="dxa"/>
            <w:tcBorders/>
            <w:shd w:fill="FFFFFF" w:val="clear"/>
            <w:vAlign w:val="bottom"/>
          </w:tcPr>
          <w:p>
            <w:pPr>
              <w:pStyle w:val="Normal"/>
              <w:rPr>
                <w:rFonts w:ascii="Cambria" w:hAnsi="Cambria" w:cs="Calibri"/>
                <w:sz w:val="20"/>
                <w:szCs w:val="20"/>
              </w:rPr>
            </w:pPr>
            <w:r>
              <w:rPr/>
            </w:r>
          </w:p>
        </w:tc>
        <w:tc>
          <w:tcPr>
            <w:tcW w:w="999" w:type="dxa"/>
            <w:tcBorders/>
            <w:shd w:fill="FFFFFF" w:val="clear"/>
            <w:vAlign w:val="bottom"/>
          </w:tcPr>
          <w:p>
            <w:pPr>
              <w:pStyle w:val="Normal"/>
              <w:rPr>
                <w:rFonts w:ascii="Cambria" w:hAnsi="Cambria" w:cs="Calibri"/>
                <w:sz w:val="20"/>
                <w:szCs w:val="20"/>
              </w:rPr>
            </w:pPr>
            <w:r>
              <w:rPr/>
            </w:r>
          </w:p>
        </w:tc>
        <w:tc>
          <w:tcPr>
            <w:tcW w:w="1520" w:type="dxa"/>
            <w:tcBorders/>
            <w:shd w:fill="FFFFFF" w:val="clear"/>
            <w:vAlign w:val="bottom"/>
          </w:tcPr>
          <w:p>
            <w:pPr>
              <w:pStyle w:val="Normal"/>
              <w:rPr>
                <w:rFonts w:ascii="Cambria" w:hAnsi="Cambria" w:cs="Calibri"/>
                <w:sz w:val="20"/>
                <w:szCs w:val="20"/>
              </w:rPr>
            </w:pPr>
            <w:r>
              <w:rPr/>
            </w:r>
          </w:p>
        </w:tc>
      </w:tr>
    </w:tbl>
    <w:p>
      <w:pPr>
        <w:pStyle w:val="Heading2"/>
        <w:keepLines/>
        <w:numPr>
          <w:ilvl w:val="0"/>
          <w:numId w:val="15"/>
        </w:numPr>
        <w:spacing w:before="120" w:after="120"/>
        <w:ind w:hanging="360" w:left="720" w:right="0"/>
        <w:jc w:val="both"/>
        <w:rPr>
          <w:rFonts w:ascii="Times New Roman" w:hAnsi="Times New Roman" w:cs="Times New Roman"/>
          <w:b w:val="false"/>
          <w:bCs w:val="false"/>
          <w:i w:val="false"/>
          <w:i w:val="false"/>
          <w:sz w:val="22"/>
          <w:szCs w:val="22"/>
          <w:lang w:val="fr-CI"/>
        </w:rPr>
      </w:pPr>
      <w:bookmarkStart w:id="17" w:name="__RefHeading___Toc234831711"/>
      <w:bookmarkEnd w:id="17"/>
      <w:r>
        <w:rPr>
          <w:rFonts w:cs="Times New Roman" w:ascii="Times New Roman" w:hAnsi="Times New Roman"/>
          <w:i w:val="false"/>
          <w:iCs w:val="false"/>
          <w:sz w:val="22"/>
          <w:szCs w:val="22"/>
          <w:lang w:val="fr-CI"/>
        </w:rPr>
        <w:t xml:space="preserve">Le processus de production : </w:t>
      </w:r>
      <w:r>
        <w:rPr>
          <w:rFonts w:cs="Times New Roman" w:ascii="Times New Roman" w:hAnsi="Times New Roman"/>
          <w:b w:val="false"/>
          <w:bCs w:val="false"/>
          <w:i w:val="false"/>
          <w:sz w:val="22"/>
          <w:szCs w:val="22"/>
          <w:lang w:val="fr-CI"/>
        </w:rPr>
        <w:t>(définir le process et la capacité de production de l’entreprise)</w:t>
      </w:r>
    </w:p>
    <w:p>
      <w:pPr>
        <w:pStyle w:val="Normal"/>
        <w:rPr/>
      </w:pPr>
      <w:r>
        <w:rPr/>
        <w:t xml:space="preserve">Le processus de production au niveau de la ferme </w:t>
      </w:r>
      <w:r>
        <w:rPr>
          <w:b/>
          <w:bCs/>
        </w:rPr>
        <w:t>ZÉRÉ KÈNÈ &amp; DÉLICE</w:t>
      </w:r>
      <w:r>
        <w:rPr/>
        <w:t xml:space="preserve"> comprend :</w:t>
      </w:r>
    </w:p>
    <w:p>
      <w:pPr>
        <w:pStyle w:val="Normal"/>
        <w:numPr>
          <w:ilvl w:val="0"/>
          <w:numId w:val="6"/>
        </w:numPr>
        <w:rPr/>
      </w:pPr>
      <w:r>
        <w:rPr>
          <w:b/>
          <w:bCs/>
        </w:rPr>
        <w:t>Préparation et amélioration du sol</w:t>
      </w:r>
      <w:r>
        <w:rPr/>
        <w:br/>
        <w:t>Le sol est enrichi principalement par des apports organiques, notamment du compost et du fumier bien décomposé, afin d’améliorer la fertilité avec l’appui modéré d’engrais chimiques</w:t>
      </w:r>
    </w:p>
    <w:p>
      <w:pPr>
        <w:pStyle w:val="Normal"/>
        <w:numPr>
          <w:ilvl w:val="0"/>
          <w:numId w:val="6"/>
        </w:numPr>
        <w:rPr/>
      </w:pPr>
      <w:r>
        <w:rPr>
          <w:b/>
          <w:bCs/>
        </w:rPr>
        <w:t>Gestion durable de l’eau</w:t>
        <w:br/>
      </w:r>
      <w:r>
        <w:rPr/>
        <w:t>La gestion de l’eau est cruciale. L’entreprise utilisera des puits à grand diamètre équipés de pompes avec une alimentation en énergie solaire pour assurer un approvisionnement constant en eau. Ces techniques permettront de réduire la consommation d’eau tout en augmentant les rendements.</w:t>
      </w:r>
    </w:p>
    <w:p>
      <w:pPr>
        <w:pStyle w:val="ds-markdown-paragraph"/>
        <w:numPr>
          <w:ilvl w:val="0"/>
          <w:numId w:val="6"/>
        </w:numPr>
        <w:shd w:val="clear" w:fill="FFFFFF"/>
        <w:spacing w:before="0" w:after="0"/>
        <w:rPr>
          <w:rFonts w:ascii="Segoe UI" w:hAnsi="Segoe UI" w:cs="Segoe UI"/>
          <w:color w:val="0F1115"/>
        </w:rPr>
      </w:pPr>
      <w:r>
        <w:rPr>
          <w:b/>
          <w:bCs/>
          <w:lang w:eastAsia="zh-CN"/>
        </w:rPr>
        <w:t>Sélection et diversification des cultures</w:t>
      </w:r>
      <w:r>
        <w:rPr>
          <w:rFonts w:cs="Segoe UI" w:ascii="Segoe UI" w:hAnsi="Segoe UI"/>
          <w:color w:val="0F1115"/>
        </w:rPr>
        <w:br/>
      </w:r>
      <w:r>
        <w:rPr>
          <w:lang w:eastAsia="zh-CN"/>
        </w:rPr>
        <w:t>La production de l’entreprise est centrée sur la pastèque, culture à haute valeur ajoutée, avec deux calibres : gros calibre (12 kg) et moyen calibre (8 à 10 kg).</w:t>
      </w:r>
    </w:p>
    <w:p>
      <w:pPr>
        <w:pStyle w:val="ds-markdown-paragraph"/>
        <w:numPr>
          <w:ilvl w:val="0"/>
          <w:numId w:val="6"/>
        </w:numPr>
        <w:shd w:val="clear" w:fill="FFFFFF"/>
        <w:spacing w:before="0" w:after="0"/>
        <w:rPr>
          <w:rFonts w:ascii="Segoe UI" w:hAnsi="Segoe UI" w:cs="Segoe UI"/>
          <w:color w:val="0F1115"/>
        </w:rPr>
      </w:pPr>
      <w:r>
        <w:rPr>
          <w:b/>
          <w:bCs/>
          <w:lang w:eastAsia="zh-CN"/>
        </w:rPr>
        <w:t>Suivi et optimisation des intrants</w:t>
      </w:r>
      <w:r>
        <w:rPr>
          <w:rFonts w:cs="Segoe UI" w:ascii="Segoe UI" w:hAnsi="Segoe UI"/>
          <w:color w:val="0F1115"/>
        </w:rPr>
        <w:br/>
      </w:r>
      <w:r>
        <w:rPr>
          <w:lang w:eastAsia="zh-CN"/>
        </w:rPr>
        <w:t>L’utilisation d’outils pour mieux doser les apports en eau et en nutriments en fonction des besoins réels des cultures, optimisant ainsi la production tout en limitant les pertes.</w:t>
      </w:r>
    </w:p>
    <w:p>
      <w:pPr>
        <w:pStyle w:val="ds-markdown-paragraph"/>
        <w:numPr>
          <w:ilvl w:val="0"/>
          <w:numId w:val="6"/>
        </w:numPr>
        <w:shd w:val="clear" w:fill="FFFFFF"/>
        <w:spacing w:before="0" w:after="0"/>
        <w:rPr>
          <w:rFonts w:ascii="Segoe UI" w:hAnsi="Segoe UI" w:cs="Segoe UI"/>
          <w:color w:val="0F1115"/>
        </w:rPr>
      </w:pPr>
      <w:r>
        <w:rPr>
          <w:b/>
          <w:bCs/>
          <w:lang w:eastAsia="zh-CN"/>
        </w:rPr>
        <w:t>Récolte et commercialisation</w:t>
      </w:r>
      <w:r>
        <w:rPr>
          <w:rFonts w:cs="Segoe UI" w:ascii="Segoe UI" w:hAnsi="Segoe UI"/>
          <w:color w:val="0F1115"/>
        </w:rPr>
        <w:br/>
      </w:r>
      <w:r>
        <w:rPr>
          <w:lang w:eastAsia="zh-CN"/>
        </w:rPr>
        <w:t>La récolte est effectuée au moment optimal pour garantir la qualité et la fraîcheur des pastèques. La proximité des marchés locaux est un atout pour la commercialisation.</w:t>
      </w:r>
    </w:p>
    <w:p>
      <w:pPr>
        <w:pStyle w:val="Normal"/>
        <w:shd w:val="clear" w:fill="FFFFFF"/>
        <w:suppressAutoHyphens w:val="false"/>
        <w:spacing w:before="240" w:after="240"/>
        <w:ind w:left="360" w:right="0"/>
        <w:rPr>
          <w:rFonts w:ascii="Segoe UI" w:hAnsi="Segoe UI" w:cs="Segoe UI"/>
          <w:color w:val="0F1115"/>
          <w:lang w:eastAsia="fr-FR"/>
        </w:rPr>
      </w:pPr>
      <w:r>
        <w:rPr>
          <w:rFonts w:cs="Segoe UI" w:ascii="Segoe UI" w:hAnsi="Segoe UI"/>
          <w:color w:val="0F1115"/>
          <w:lang w:eastAsia="fr-FR"/>
        </w:rPr>
        <w:t xml:space="preserve">La capacité de production de </w:t>
      </w:r>
      <w:r>
        <w:rPr>
          <w:rFonts w:cs="Segoe UI" w:ascii="Segoe UI" w:hAnsi="Segoe UI"/>
          <w:b/>
          <w:bCs/>
          <w:color w:val="0F1115"/>
          <w:lang w:eastAsia="fr-FR"/>
        </w:rPr>
        <w:t>ZÉRÉ KÈNÈ &amp; DÉLICE</w:t>
      </w:r>
      <w:r>
        <w:rPr>
          <w:rFonts w:cs="Segoe UI" w:ascii="Segoe UI" w:hAnsi="Segoe UI"/>
          <w:color w:val="0F1115"/>
          <w:lang w:eastAsia="fr-FR"/>
        </w:rPr>
        <w:t xml:space="preserve"> est définie dans la projection de vente ci-dessous :</w:t>
      </w:r>
    </w:p>
    <w:tbl>
      <w:tblPr>
        <w:tblW w:w="9498" w:type="dxa"/>
        <w:jc w:val="left"/>
        <w:tblInd w:w="-5" w:type="dxa"/>
        <w:tblLayout w:type="fixed"/>
        <w:tblCellMar>
          <w:top w:w="150" w:type="dxa"/>
          <w:left w:w="5" w:type="dxa"/>
          <w:bottom w:w="150" w:type="dxa"/>
          <w:right w:w="235" w:type="dxa"/>
        </w:tblCellMar>
      </w:tblPr>
      <w:tblGrid>
        <w:gridCol w:w="1709"/>
        <w:gridCol w:w="1040"/>
        <w:gridCol w:w="1360"/>
        <w:gridCol w:w="1360"/>
        <w:gridCol w:w="1400"/>
        <w:gridCol w:w="1455"/>
        <w:gridCol w:w="1173"/>
      </w:tblGrid>
      <w:tr>
        <w:trPr>
          <w:tblHeader w:val="true"/>
          <w:trHeight w:val="322" w:hRule="atLeast"/>
        </w:trPr>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b/>
                <w:bCs/>
                <w:lang w:eastAsia="fr-FR"/>
              </w:rPr>
            </w:pPr>
            <w:r>
              <w:rPr>
                <w:b/>
                <w:bCs/>
                <w:lang w:eastAsia="fr-FR"/>
              </w:rPr>
              <w:t>Désignation</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lang w:eastAsia="fr-FR"/>
              </w:rPr>
            </w:pPr>
            <w:r>
              <w:rPr>
                <w:b/>
                <w:bCs/>
                <w:lang w:eastAsia="fr-FR"/>
              </w:rPr>
              <w:t>Unité</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lang w:eastAsia="fr-FR"/>
              </w:rPr>
            </w:pPr>
            <w:r>
              <w:rPr>
                <w:b/>
                <w:bCs/>
                <w:lang w:eastAsia="fr-FR"/>
              </w:rPr>
              <w:t>Qté/jour</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lang w:eastAsia="fr-FR"/>
              </w:rPr>
            </w:pPr>
            <w:r>
              <w:rPr>
                <w:b/>
                <w:bCs/>
                <w:lang w:eastAsia="fr-FR"/>
              </w:rPr>
              <w:t>Qté/Sem</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lang w:eastAsia="fr-FR"/>
              </w:rPr>
            </w:pPr>
            <w:r>
              <w:rPr>
                <w:b/>
                <w:bCs/>
                <w:lang w:eastAsia="fr-FR"/>
              </w:rPr>
              <w:t>Qté/mois</w:t>
            </w:r>
          </w:p>
        </w:tc>
        <w:tc>
          <w:tcPr>
            <w:tcW w:w="14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lang w:eastAsia="fr-FR"/>
              </w:rPr>
            </w:pPr>
            <w:r>
              <w:rPr>
                <w:b/>
                <w:bCs/>
                <w:lang w:eastAsia="fr-FR"/>
              </w:rPr>
              <w:t>Qté/Trim</w:t>
            </w:r>
          </w:p>
        </w:tc>
        <w:tc>
          <w:tcPr>
            <w:tcW w:w="117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lang w:eastAsia="fr-FR"/>
              </w:rPr>
            </w:pPr>
            <w:r>
              <w:rPr>
                <w:b/>
                <w:bCs/>
                <w:lang w:eastAsia="fr-FR"/>
              </w:rPr>
              <w:t>Qté/an</w:t>
            </w:r>
          </w:p>
        </w:tc>
      </w:tr>
      <w:tr>
        <w:trPr>
          <w:trHeight w:val="644" w:hRule="atLeast"/>
        </w:trPr>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lang w:eastAsia="fr-FR"/>
              </w:rPr>
            </w:pPr>
            <w:r>
              <w:rPr>
                <w:lang w:eastAsia="fr-FR"/>
              </w:rPr>
              <w:t>Vente Pastèque gros calibre</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Unité</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0</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0</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0</w:t>
            </w:r>
          </w:p>
        </w:tc>
        <w:tc>
          <w:tcPr>
            <w:tcW w:w="14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700</w:t>
            </w:r>
          </w:p>
        </w:tc>
        <w:tc>
          <w:tcPr>
            <w:tcW w:w="1173"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lang w:eastAsia="fr-FR"/>
              </w:rPr>
            </w:pPr>
            <w:r>
              <w:rPr>
                <w:lang w:eastAsia="fr-FR"/>
              </w:rPr>
              <w:t>2 800</w:t>
            </w:r>
          </w:p>
        </w:tc>
      </w:tr>
      <w:tr>
        <w:trPr>
          <w:trHeight w:val="654" w:hRule="atLeast"/>
        </w:trPr>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lang w:eastAsia="fr-FR"/>
              </w:rPr>
            </w:pPr>
            <w:r>
              <w:rPr>
                <w:lang w:eastAsia="fr-FR"/>
              </w:rPr>
              <w:t>Vente Pastèque moyen calibre</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Unité</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0</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0</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0</w:t>
            </w:r>
          </w:p>
        </w:tc>
        <w:tc>
          <w:tcPr>
            <w:tcW w:w="14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300</w:t>
            </w:r>
          </w:p>
        </w:tc>
        <w:tc>
          <w:tcPr>
            <w:tcW w:w="1173"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lang w:eastAsia="fr-FR"/>
              </w:rPr>
            </w:pPr>
            <w:r>
              <w:rPr>
                <w:lang w:eastAsia="fr-FR"/>
              </w:rPr>
              <w:t>1 200</w:t>
            </w:r>
          </w:p>
        </w:tc>
      </w:tr>
      <w:tr>
        <w:trPr>
          <w:trHeight w:val="332" w:hRule="atLeast"/>
        </w:trPr>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lang w:eastAsia="fr-FR"/>
              </w:rPr>
            </w:pPr>
            <w:r>
              <w:rPr>
                <w:b/>
                <w:bCs/>
                <w:lang w:eastAsia="fr-FR"/>
              </w:rPr>
              <w:t>TOTAL</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b/>
                <w:bCs/>
                <w:lang w:eastAsia="fr-FR"/>
              </w:rPr>
              <w:t>Unité</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b/>
                <w:bCs/>
                <w:lang w:eastAsia="fr-FR"/>
              </w:rPr>
              <w:t>0</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b/>
                <w:bCs/>
                <w:lang w:eastAsia="fr-FR"/>
              </w:rPr>
              <w:t>0</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b/>
                <w:bCs/>
                <w:lang w:eastAsia="fr-FR"/>
              </w:rPr>
              <w:t>0</w:t>
            </w:r>
          </w:p>
        </w:tc>
        <w:tc>
          <w:tcPr>
            <w:tcW w:w="14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b/>
                <w:bCs/>
                <w:lang w:eastAsia="fr-FR"/>
              </w:rPr>
              <w:t>1 000</w:t>
            </w:r>
          </w:p>
        </w:tc>
        <w:tc>
          <w:tcPr>
            <w:tcW w:w="1173"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lang w:eastAsia="fr-FR"/>
              </w:rPr>
            </w:pPr>
            <w:r>
              <w:rPr>
                <w:b/>
                <w:bCs/>
                <w:lang w:eastAsia="fr-FR"/>
              </w:rPr>
              <w:t>4 000</w:t>
            </w:r>
          </w:p>
        </w:tc>
      </w:tr>
    </w:tbl>
    <w:p>
      <w:pPr>
        <w:pStyle w:val="Normal"/>
        <w:numPr>
          <w:ilvl w:val="0"/>
          <w:numId w:val="6"/>
        </w:numPr>
        <w:shd w:val="clear" w:fill="FFFFFF"/>
        <w:suppressAutoHyphens w:val="false"/>
        <w:spacing w:before="240" w:after="240"/>
        <w:rPr>
          <w:color w:val="0F1115"/>
          <w:lang w:eastAsia="fr-FR"/>
        </w:rPr>
      </w:pPr>
      <w:r>
        <w:rPr>
          <w:i/>
          <w:iCs/>
          <w:color w:val="0F1115"/>
          <w:lang w:eastAsia="fr-FR"/>
        </w:rPr>
        <w:t>(Soit 4 000 fruits par an : 2 800 gros calibres de 12 kg et 1 200 moyens calibres de 8 à 10 kg en moyenne.)</w:t>
      </w:r>
    </w:p>
    <w:p>
      <w:pPr>
        <w:pStyle w:val="Heading2"/>
        <w:keepLines/>
        <w:numPr>
          <w:ilvl w:val="0"/>
          <w:numId w:val="15"/>
        </w:numPr>
        <w:spacing w:before="120" w:after="120"/>
        <w:ind w:hanging="360" w:left="720" w:right="0"/>
        <w:jc w:val="both"/>
        <w:rPr>
          <w:rFonts w:ascii="Times New Roman" w:hAnsi="Times New Roman" w:cs="Times New Roman"/>
          <w:sz w:val="24"/>
          <w:szCs w:val="24"/>
          <w:lang w:val="fr-CI"/>
        </w:rPr>
      </w:pPr>
      <w:bookmarkStart w:id="18" w:name="__RefHeading___Toc234831712"/>
      <w:bookmarkEnd w:id="18"/>
      <w:r>
        <w:rPr>
          <w:rFonts w:cs="Times New Roman" w:ascii="Times New Roman" w:hAnsi="Times New Roman"/>
          <w:i w:val="false"/>
          <w:iCs w:val="false"/>
          <w:sz w:val="24"/>
          <w:szCs w:val="24"/>
          <w:lang w:val="fr-CI"/>
        </w:rPr>
        <w:t xml:space="preserve">Le personnel : </w:t>
      </w:r>
      <w:r>
        <w:rPr>
          <w:rFonts w:cs="Times New Roman" w:ascii="Times New Roman" w:hAnsi="Times New Roman"/>
          <w:sz w:val="24"/>
          <w:szCs w:val="24"/>
          <w:lang w:val="fr-CI"/>
        </w:rPr>
        <w:t>(profil et compétences)</w:t>
      </w:r>
    </w:p>
    <w:p>
      <w:pPr>
        <w:pStyle w:val="Normal"/>
        <w:rPr>
          <w:sz w:val="22"/>
          <w:szCs w:val="22"/>
          <w:lang w:val="fr-CI"/>
        </w:rPr>
      </w:pPr>
      <w:r>
        <w:rPr>
          <w:sz w:val="22"/>
          <w:szCs w:val="22"/>
          <w:lang w:val="fr-CI"/>
        </w:rPr>
        <w:t xml:space="preserve">L’entreprise emploie cinq (5) hommes : deux (2) en permanence (le promoteur et l’agronome) et trois (3) ouvriers saisonniers. </w:t>
      </w:r>
    </w:p>
    <w:tbl>
      <w:tblPr>
        <w:tblW w:w="4750" w:type="pct"/>
        <w:jc w:val="center"/>
        <w:tblInd w:w="0" w:type="dxa"/>
        <w:tblLayout w:type="fixed"/>
        <w:tblCellMar>
          <w:top w:w="0" w:type="dxa"/>
          <w:left w:w="70" w:type="dxa"/>
          <w:bottom w:w="0" w:type="dxa"/>
          <w:right w:w="70" w:type="dxa"/>
        </w:tblCellMar>
      </w:tblPr>
      <w:tblGrid>
        <w:gridCol w:w="2549"/>
        <w:gridCol w:w="963"/>
        <w:gridCol w:w="1002"/>
        <w:gridCol w:w="2269"/>
        <w:gridCol w:w="1072"/>
        <w:gridCol w:w="1302"/>
      </w:tblGrid>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Cambria" w:hAnsi="Cambria" w:cs="Arial"/>
                <w:b/>
                <w:bCs/>
                <w:sz w:val="22"/>
                <w:szCs w:val="22"/>
                <w:lang w:val="fr-ML" w:eastAsia="fr-ML"/>
              </w:rPr>
            </w:pPr>
            <w:r>
              <w:rPr>
                <w:rFonts w:cs="Arial" w:ascii="Cambria" w:hAnsi="Cambria"/>
                <w:b/>
                <w:bCs/>
                <w:sz w:val="22"/>
                <w:szCs w:val="22"/>
              </w:rPr>
              <w:t>Noms et Prénoms</w:t>
            </w:r>
          </w:p>
        </w:tc>
        <w:tc>
          <w:tcPr>
            <w:tcW w:w="9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Sexe</w:t>
            </w:r>
          </w:p>
        </w:tc>
        <w:tc>
          <w:tcPr>
            <w:tcW w:w="10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Nombre</w:t>
            </w:r>
          </w:p>
        </w:tc>
        <w:tc>
          <w:tcPr>
            <w:tcW w:w="22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Poste</w:t>
            </w:r>
          </w:p>
        </w:tc>
        <w:tc>
          <w:tcPr>
            <w:tcW w:w="107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Salaire mensuel</w:t>
            </w:r>
          </w:p>
        </w:tc>
        <w:tc>
          <w:tcPr>
            <w:tcW w:w="13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Montant annuel</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tbl>
            <w:tblPr>
              <w:tblW w:w="2915" w:type="dxa"/>
              <w:jc w:val="left"/>
              <w:tblInd w:w="0" w:type="dxa"/>
              <w:tblLayout w:type="fixed"/>
              <w:tblCellMar>
                <w:top w:w="150" w:type="dxa"/>
                <w:left w:w="0" w:type="dxa"/>
                <w:bottom w:w="150" w:type="dxa"/>
                <w:right w:w="240" w:type="dxa"/>
              </w:tblCellMar>
            </w:tblPr>
            <w:tblGrid>
              <w:gridCol w:w="2415"/>
              <w:gridCol w:w="499"/>
            </w:tblGrid>
            <w:tr>
              <w:trPr/>
              <w:tc>
                <w:tcPr>
                  <w:tcW w:w="2415" w:type="dxa"/>
                  <w:tcBorders/>
                  <w:shd w:fill="FFFFFF" w:val="clear"/>
                  <w:vAlign w:val="center"/>
                </w:tcPr>
                <w:p>
                  <w:pPr>
                    <w:pStyle w:val="Normal"/>
                    <w:suppressAutoHyphens w:val="false"/>
                    <w:spacing w:lineRule="atLeast" w:line="375"/>
                    <w:rPr>
                      <w:color w:val="0F1115"/>
                      <w:sz w:val="23"/>
                      <w:szCs w:val="23"/>
                      <w:lang w:eastAsia="fr-FR"/>
                    </w:rPr>
                  </w:pPr>
                  <w:r>
                    <w:rPr>
                      <w:color w:val="0F1115"/>
                      <w:sz w:val="23"/>
                      <w:szCs w:val="23"/>
                      <w:lang w:eastAsia="fr-FR"/>
                    </w:rPr>
                    <w:t>Boubacar COULIBALY</w:t>
                  </w:r>
                </w:p>
              </w:tc>
              <w:tc>
                <w:tcPr>
                  <w:tcW w:w="499" w:type="dxa"/>
                  <w:tcBorders/>
                  <w:shd w:fill="FFFFFF" w:val="clear"/>
                  <w:tcMar>
                    <w:left w:w="240" w:type="dxa"/>
                  </w:tcMar>
                  <w:vAlign w:val="center"/>
                </w:tcPr>
                <w:p>
                  <w:pPr>
                    <w:pStyle w:val="Normal"/>
                    <w:suppressAutoHyphens w:val="false"/>
                    <w:snapToGrid w:val="false"/>
                    <w:spacing w:lineRule="atLeast" w:line="375"/>
                    <w:rPr>
                      <w:rFonts w:ascii="Segoe UI" w:hAnsi="Segoe UI" w:cs="Segoe UI"/>
                      <w:color w:val="0F1115"/>
                      <w:sz w:val="23"/>
                      <w:szCs w:val="23"/>
                      <w:lang w:eastAsia="fr-FR"/>
                    </w:rPr>
                  </w:pPr>
                  <w:r>
                    <w:rPr>
                      <w:rFonts w:cs="Segoe UI" w:ascii="Segoe UI" w:hAnsi="Segoe UI"/>
                      <w:color w:val="0F1115"/>
                      <w:sz w:val="23"/>
                      <w:szCs w:val="23"/>
                      <w:lang w:eastAsia="fr-FR"/>
                    </w:rPr>
                  </w:r>
                </w:p>
              </w:tc>
            </w:tr>
          </w:tbl>
          <w:p>
            <w:pPr>
              <w:pStyle w:val="Normal"/>
              <w:jc w:val="both"/>
              <w:rPr>
                <w:sz w:val="22"/>
                <w:szCs w:val="22"/>
                <w:lang w:eastAsia="fr-CA"/>
              </w:rPr>
            </w:pPr>
            <w:r>
              <w:rPr>
                <w:sz w:val="22"/>
                <w:szCs w:val="22"/>
                <w:lang w:eastAsia="fr-CA"/>
              </w:rPr>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Promoteur</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Agronome</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Contractuel</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Ouvriers</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3</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Saisonnier (6 mois)</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900 000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both"/>
              <w:rPr>
                <w:rFonts w:ascii="Cambria" w:hAnsi="Cambria" w:cs="Arial"/>
                <w:b/>
                <w:bCs/>
                <w:sz w:val="22"/>
                <w:szCs w:val="22"/>
              </w:rPr>
            </w:pPr>
            <w:r>
              <w:rPr>
                <w:rFonts w:cs="Arial" w:ascii="Cambria" w:hAnsi="Cambria"/>
                <w:b/>
                <w:bCs/>
                <w:sz w:val="22"/>
                <w:szCs w:val="22"/>
              </w:rPr>
              <w:t>Total</w:t>
            </w:r>
          </w:p>
        </w:tc>
        <w:tc>
          <w:tcPr>
            <w:tcW w:w="963"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
          </w:p>
        </w:tc>
        <w:tc>
          <w:tcPr>
            <w:tcW w:w="10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5</w:t>
            </w:r>
          </w:p>
        </w:tc>
        <w:tc>
          <w:tcPr>
            <w:tcW w:w="2269" w:type="dxa"/>
            <w:tcBorders>
              <w:top w:val="single" w:sz="4" w:space="0" w:color="000000"/>
              <w:left w:val="single" w:sz="4" w:space="0" w:color="000000"/>
              <w:bottom w:val="single" w:sz="4" w:space="0" w:color="000000"/>
              <w:right w:val="single" w:sz="4" w:space="0" w:color="000000"/>
            </w:tcBorders>
            <w:shd w:fill="C4BD97" w:val="clear"/>
          </w:tcPr>
          <w:p>
            <w:pPr>
              <w:pStyle w:val="Normal"/>
              <w:snapToGrid w:val="false"/>
              <w:jc w:val="center"/>
              <w:rPr>
                <w:rFonts w:ascii="Cambria" w:hAnsi="Cambria" w:cs="Arial"/>
                <w:b/>
                <w:bCs/>
                <w:sz w:val="22"/>
                <w:szCs w:val="22"/>
              </w:rPr>
            </w:pPr>
            <w:r>
              <w:rPr>
                <w:rFonts w:cs="Arial" w:ascii="Cambria" w:hAnsi="Cambria"/>
                <w:b/>
                <w:bCs/>
                <w:sz w:val="22"/>
                <w:szCs w:val="22"/>
              </w:rPr>
            </w:r>
          </w:p>
        </w:tc>
        <w:tc>
          <w:tcPr>
            <w:tcW w:w="107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150 000</w:t>
            </w:r>
          </w:p>
        </w:tc>
        <w:tc>
          <w:tcPr>
            <w:tcW w:w="13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2 100 000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both"/>
              <w:rPr>
                <w:rFonts w:ascii="Cambria" w:hAnsi="Cambria" w:cs="Arial"/>
                <w:b/>
                <w:bCs/>
                <w:i/>
                <w:i/>
                <w:iCs/>
                <w:sz w:val="22"/>
                <w:szCs w:val="22"/>
              </w:rPr>
            </w:pPr>
            <w:r>
              <w:rPr>
                <w:rFonts w:cs="Arial" w:ascii="Cambria" w:hAnsi="Cambria"/>
                <w:b/>
                <w:bCs/>
                <w:i/>
                <w:iCs/>
                <w:sz w:val="22"/>
                <w:szCs w:val="22"/>
              </w:rPr>
              <w:t>Frais du personnel</w:t>
            </w:r>
          </w:p>
        </w:tc>
        <w:tc>
          <w:tcPr>
            <w:tcW w:w="963"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2269" w:type="dxa"/>
            <w:tcBorders>
              <w:top w:val="single" w:sz="4" w:space="0" w:color="000000"/>
              <w:left w:val="single" w:sz="4" w:space="0" w:color="000000"/>
              <w:bottom w:val="single" w:sz="4" w:space="0" w:color="000000"/>
              <w:right w:val="single" w:sz="4" w:space="0" w:color="000000"/>
            </w:tcBorders>
            <w:shd w:fill="8DB4E2" w:val="clear"/>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7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150 000</w:t>
            </w:r>
          </w:p>
        </w:tc>
        <w:tc>
          <w:tcPr>
            <w:tcW w:w="13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2 100 000</w:t>
            </w:r>
          </w:p>
        </w:tc>
      </w:tr>
    </w:tbl>
    <w:p>
      <w:pPr>
        <w:pStyle w:val="Heading1"/>
        <w:keepLines/>
        <w:numPr>
          <w:ilvl w:val="0"/>
          <w:numId w:val="2"/>
        </w:numPr>
        <w:spacing w:before="240" w:after="120"/>
        <w:ind w:hanging="431" w:left="431" w:right="0"/>
        <w:jc w:val="both"/>
        <w:rPr>
          <w:rFonts w:ascii="Times New Roman" w:hAnsi="Times New Roman" w:cs="Times New Roman"/>
          <w:caps/>
          <w:color w:val="166B7F"/>
          <w:kern w:val="0"/>
          <w:lang w:eastAsia="en-US"/>
        </w:rPr>
      </w:pPr>
      <w:bookmarkStart w:id="19" w:name="__RefHeading___Toc234831713"/>
      <w:bookmarkEnd w:id="19"/>
      <w:r>
        <w:rPr>
          <w:rFonts w:cs="Times New Roman" w:ascii="Times New Roman" w:hAnsi="Times New Roman"/>
          <w:caps/>
          <w:color w:val="166B7F"/>
          <w:kern w:val="0"/>
          <w:lang w:eastAsia="en-US"/>
        </w:rPr>
        <w:t>ÉTUDE ÉCONOMIQUE ET FINANCIÈRE</w:t>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20" w:name="__RefHeading___Toc234831714"/>
      <w:bookmarkEnd w:id="20"/>
      <w:r>
        <w:rPr>
          <w:rFonts w:cs="Times New Roman" w:ascii="Times New Roman" w:hAnsi="Times New Roman"/>
          <w:i w:val="false"/>
          <w:iCs w:val="false"/>
          <w:lang w:val="fr-CI"/>
        </w:rPr>
        <w:t xml:space="preserve">Hypothèses de base </w:t>
      </w:r>
    </w:p>
    <w:p>
      <w:pPr>
        <w:pStyle w:val="Heading3"/>
        <w:numPr>
          <w:ilvl w:val="2"/>
          <w:numId w:val="2"/>
        </w:numPr>
        <w:ind w:hanging="720" w:left="502" w:right="0"/>
        <w:rPr>
          <w:rFonts w:ascii="Times New Roman" w:hAnsi="Times New Roman" w:cs="Times New Roman"/>
          <w:sz w:val="24"/>
          <w:szCs w:val="24"/>
        </w:rPr>
      </w:pPr>
      <w:bookmarkStart w:id="21" w:name="__RefHeading___Toc234831715"/>
      <w:bookmarkEnd w:id="21"/>
      <w:r>
        <w:rPr>
          <w:rFonts w:cs="Times New Roman" w:ascii="Times New Roman" w:hAnsi="Times New Roman"/>
          <w:sz w:val="24"/>
          <w:szCs w:val="24"/>
        </w:rPr>
        <w:t>Recettes prévisionnelles annuelles</w:t>
      </w:r>
    </w:p>
    <w:p>
      <w:pPr>
        <w:pStyle w:val="Normal"/>
        <w:rPr/>
      </w:pPr>
      <w:r>
        <w:rPr>
          <w:sz w:val="22"/>
          <w:szCs w:val="22"/>
        </w:rPr>
        <w:t>Les recettes prévisionnelles annuelles sont croissantes sur les cinq années. Elles sont décrites</w:t>
      </w:r>
      <w:r>
        <w:rPr/>
        <w:t xml:space="preserve"> dans le tableau ci-dessous :</w:t>
      </w:r>
    </w:p>
    <w:p>
      <w:pPr>
        <w:pStyle w:val="Normal"/>
        <w:rPr/>
      </w:pPr>
      <w:r>
        <w:rPr/>
      </w:r>
    </w:p>
    <w:tbl>
      <w:tblPr>
        <w:tblW w:w="9791" w:type="dxa"/>
        <w:jc w:val="left"/>
        <w:tblInd w:w="60" w:type="dxa"/>
        <w:tblLayout w:type="fixed"/>
        <w:tblCellMar>
          <w:top w:w="0" w:type="dxa"/>
          <w:left w:w="70" w:type="dxa"/>
          <w:bottom w:w="0" w:type="dxa"/>
          <w:right w:w="70" w:type="dxa"/>
        </w:tblCellMar>
      </w:tblPr>
      <w:tblGrid>
        <w:gridCol w:w="3271"/>
        <w:gridCol w:w="1274"/>
        <w:gridCol w:w="1276"/>
        <w:gridCol w:w="1277"/>
        <w:gridCol w:w="1276"/>
        <w:gridCol w:w="1416"/>
      </w:tblGrid>
      <w:tr>
        <w:trPr>
          <w:trHeight w:val="360" w:hRule="atLeast"/>
        </w:trPr>
        <w:tc>
          <w:tcPr>
            <w:tcW w:w="3271"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8"/>
                <w:szCs w:val="28"/>
              </w:rPr>
            </w:pPr>
            <w:r>
              <w:rPr>
                <w:rFonts w:cs="Calibri" w:ascii="Cambria" w:hAnsi="Cambria"/>
                <w:b/>
                <w:bCs/>
                <w:i/>
                <w:iCs/>
                <w:color w:val="FFFFFF"/>
                <w:sz w:val="28"/>
                <w:szCs w:val="28"/>
              </w:rPr>
              <w:t>Recettes prévisionnelles</w:t>
            </w:r>
          </w:p>
        </w:tc>
        <w:tc>
          <w:tcPr>
            <w:tcW w:w="1274"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7"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41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r>
      <w:tr>
        <w:trPr>
          <w:trHeight w:val="285" w:hRule="atLeast"/>
        </w:trPr>
        <w:tc>
          <w:tcPr>
            <w:tcW w:w="3271" w:type="dxa"/>
            <w:tcBorders/>
            <w:vAlign w:val="bottom"/>
          </w:tcPr>
          <w:p>
            <w:pPr>
              <w:pStyle w:val="Normal"/>
              <w:rPr>
                <w:rFonts w:ascii="Cambria" w:hAnsi="Cambria" w:cs="Calibri"/>
                <w:b/>
                <w:bCs/>
                <w:i/>
                <w:i/>
                <w:iCs/>
                <w:sz w:val="20"/>
                <w:szCs w:val="20"/>
              </w:rPr>
            </w:pPr>
            <w:r>
              <w:rPr>
                <w:rFonts w:cs="Calibri" w:ascii="Cambria" w:hAnsi="Cambria"/>
                <w:b/>
                <w:bCs/>
                <w:i/>
                <w:iCs/>
                <w:sz w:val="20"/>
                <w:szCs w:val="20"/>
              </w:rPr>
              <w:t>Taux de croissance</w:t>
            </w:r>
          </w:p>
        </w:tc>
        <w:tc>
          <w:tcPr>
            <w:tcW w:w="1274"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0%</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7"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41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r>
      <w:tr>
        <w:trPr>
          <w:trHeight w:val="315" w:hRule="atLeast"/>
        </w:trPr>
        <w:tc>
          <w:tcPr>
            <w:tcW w:w="3271"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rPr>
            </w:pPr>
            <w:r>
              <w:rPr>
                <w:rFonts w:cs="Calibri" w:ascii="Cambria" w:hAnsi="Cambria"/>
                <w:b/>
                <w:bCs/>
                <w:i/>
                <w:iCs/>
              </w:rPr>
              <w:t>Désignations/Années</w:t>
            </w:r>
          </w:p>
        </w:tc>
        <w:tc>
          <w:tcPr>
            <w:tcW w:w="1274"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AN1</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AN2</w:t>
            </w:r>
          </w:p>
        </w:tc>
        <w:tc>
          <w:tcPr>
            <w:tcW w:w="1277"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AN3</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AN4</w:t>
            </w:r>
          </w:p>
        </w:tc>
        <w:tc>
          <w:tcPr>
            <w:tcW w:w="141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AN5</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 gros calibre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5 600 000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5 712 000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5 826 240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5 942 765</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6 061 620</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 moyen calibre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1 800 000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1 836 000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1 872 720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1 910 174</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1 948 378</w:t>
            </w:r>
          </w:p>
        </w:tc>
      </w:tr>
      <w:tr>
        <w:trPr>
          <w:trHeight w:val="285" w:hRule="atLeast"/>
        </w:trPr>
        <w:tc>
          <w:tcPr>
            <w:tcW w:w="3271"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recettes</w:t>
            </w:r>
          </w:p>
        </w:tc>
        <w:tc>
          <w:tcPr>
            <w:tcW w:w="1274"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7 400 000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7 548 000</w:t>
            </w:r>
          </w:p>
        </w:tc>
        <w:tc>
          <w:tcPr>
            <w:tcW w:w="1277"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7 698 960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7 852 939</w:t>
            </w:r>
          </w:p>
        </w:tc>
        <w:tc>
          <w:tcPr>
            <w:tcW w:w="141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8 009 998</w:t>
            </w:r>
          </w:p>
        </w:tc>
      </w:tr>
    </w:tbl>
    <w:p>
      <w:pPr>
        <w:pStyle w:val="Heading3"/>
        <w:numPr>
          <w:ilvl w:val="2"/>
          <w:numId w:val="2"/>
        </w:numPr>
        <w:spacing w:before="0" w:after="60"/>
        <w:ind w:hanging="720" w:left="502" w:right="0"/>
        <w:rPr>
          <w:rFonts w:ascii="Times New Roman" w:hAnsi="Times New Roman" w:cs="Times New Roman"/>
          <w:sz w:val="24"/>
          <w:szCs w:val="24"/>
        </w:rPr>
      </w:pPr>
      <w:bookmarkStart w:id="22" w:name="__RefHeading___Toc234831716"/>
      <w:bookmarkEnd w:id="22"/>
      <w:r>
        <w:rPr>
          <w:rFonts w:cs="Times New Roman" w:ascii="Times New Roman" w:hAnsi="Times New Roman"/>
          <w:sz w:val="24"/>
          <w:szCs w:val="24"/>
        </w:rPr>
        <w:t xml:space="preserve">Données prévisionnelles sur les achats </w:t>
      </w:r>
    </w:p>
    <w:p>
      <w:pPr>
        <w:pStyle w:val="Heading3"/>
        <w:tabs>
          <w:tab w:val="clear" w:pos="0"/>
        </w:tabs>
        <w:spacing w:before="0" w:after="60"/>
        <w:ind w:hanging="720" w:left="720" w:right="0"/>
        <w:rPr>
          <w:rFonts w:ascii="Times New Roman" w:hAnsi="Times New Roman" w:cs="Times New Roman"/>
          <w:sz w:val="24"/>
          <w:szCs w:val="24"/>
        </w:rPr>
      </w:pPr>
      <w:bookmarkStart w:id="23" w:name="__RefHeading___Toc234831717"/>
      <w:bookmarkEnd w:id="23"/>
      <w:r>
        <w:rPr>
          <w:rFonts w:cs="Times New Roman" w:ascii="Times New Roman" w:hAnsi="Times New Roman"/>
          <w:sz w:val="24"/>
          <w:szCs w:val="24"/>
        </w:rPr>
        <w:t>Achats de matières premières</w:t>
      </w:r>
    </w:p>
    <w:p>
      <w:pPr>
        <w:pStyle w:val="Normal"/>
        <w:jc w:val="both"/>
        <w:rPr>
          <w:iCs/>
          <w:sz w:val="22"/>
          <w:szCs w:val="22"/>
        </w:rPr>
      </w:pPr>
      <w:r>
        <w:rPr>
          <w:iCs/>
          <w:sz w:val="22"/>
          <w:szCs w:val="22"/>
        </w:rPr>
        <w:t>Les achats de matières premières ont été évalués en tenant compte des quantités qui seront utilisées par an. Les projections d’achat sont les suivantes :</w:t>
      </w:r>
    </w:p>
    <w:p>
      <w:pPr>
        <w:pStyle w:val="Normal"/>
        <w:jc w:val="both"/>
        <w:rPr>
          <w:b/>
          <w:bCs/>
          <w:iCs/>
          <w:sz w:val="22"/>
          <w:szCs w:val="22"/>
          <w:lang w:eastAsia="fr-CA"/>
        </w:rPr>
      </w:pPr>
      <w:r>
        <w:rPr>
          <w:b/>
          <w:bCs/>
          <w:iCs/>
          <w:sz w:val="22"/>
          <w:szCs w:val="22"/>
          <w:lang w:eastAsia="fr-CA"/>
        </w:rPr>
        <w:t>ACHAT DE MATIERES PREMIERES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Semence pastèque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Boîte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6</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70 000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420 000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Engrais NPK 50 kg</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18</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450 000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Intrant Urée 50 kg</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9</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180 000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Fongicide + insecticide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Boîte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6</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60 000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360 000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Fumure organique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60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60 000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1 470 000</w:t>
            </w:r>
          </w:p>
        </w:tc>
      </w:tr>
    </w:tbl>
    <w:p>
      <w:pPr>
        <w:pStyle w:val="Normal"/>
        <w:jc w:val="both"/>
        <w:rPr>
          <w:b/>
          <w:bCs/>
          <w:iCs/>
          <w:sz w:val="22"/>
          <w:szCs w:val="22"/>
          <w:lang w:eastAsia="fr-CA"/>
        </w:rPr>
      </w:pPr>
      <w:r>
        <w:rPr>
          <w:b/>
          <w:bCs/>
          <w:iCs/>
          <w:sz w:val="22"/>
          <w:szCs w:val="22"/>
          <w:lang w:eastAsia="fr-CA"/>
        </w:rPr>
        <w:t>AUTRES ACHATS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Carburant / énergie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300 000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Emballages (sacs, caisses)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Eau d'irrigation</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50 000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450 000</w:t>
            </w:r>
          </w:p>
        </w:tc>
      </w:tr>
    </w:tbl>
    <w:p>
      <w:pPr>
        <w:pStyle w:val="Heading3"/>
        <w:numPr>
          <w:ilvl w:val="2"/>
          <w:numId w:val="2"/>
        </w:numPr>
        <w:ind w:hanging="720" w:left="502" w:right="0"/>
        <w:rPr>
          <w:rFonts w:ascii="Times New Roman" w:hAnsi="Times New Roman" w:cs="Times New Roman"/>
          <w:sz w:val="24"/>
          <w:szCs w:val="24"/>
        </w:rPr>
      </w:pPr>
      <w:bookmarkStart w:id="24" w:name="__RefHeading___Toc234831718"/>
      <w:bookmarkEnd w:id="24"/>
      <w:r>
        <w:rPr>
          <w:rFonts w:cs="Times New Roman" w:ascii="Times New Roman" w:hAnsi="Times New Roman"/>
          <w:sz w:val="24"/>
          <w:szCs w:val="24"/>
        </w:rPr>
        <w:t>Frais Généraux</w:t>
      </w:r>
    </w:p>
    <w:p>
      <w:pPr>
        <w:pStyle w:val="Normal"/>
        <w:rPr>
          <w:sz w:val="22"/>
          <w:szCs w:val="22"/>
        </w:rPr>
      </w:pPr>
      <w:r>
        <w:rPr>
          <w:sz w:val="22"/>
          <w:szCs w:val="22"/>
        </w:rPr>
        <w:t>Les frais généraux de l’entreprise portent sur les éléments qui sont : transports et déplacements,. Le montant est évalué à 450 000 F durant toute l’année.</w:t>
      </w:r>
    </w:p>
    <w:p>
      <w:pPr>
        <w:pStyle w:val="Normal"/>
        <w:rPr>
          <w:b/>
          <w:bCs/>
          <w:sz w:val="22"/>
          <w:szCs w:val="22"/>
          <w:lang w:eastAsia="fr-CA"/>
        </w:rPr>
      </w:pPr>
      <w:r>
        <w:rPr>
          <w:b/>
          <w:bCs/>
          <w:sz w:val="22"/>
          <w:szCs w:val="22"/>
          <w:lang w:eastAsia="fr-CA"/>
        </w:rPr>
        <w:t>Frais généraux :</w:t>
      </w:r>
    </w:p>
    <w:tbl>
      <w:tblPr>
        <w:tblW w:w="9828" w:type="dxa"/>
        <w:jc w:val="center"/>
        <w:tblInd w:w="0" w:type="dxa"/>
        <w:tblLayout w:type="fixed"/>
        <w:tblCellMar>
          <w:top w:w="0" w:type="dxa"/>
          <w:left w:w="70" w:type="dxa"/>
          <w:bottom w:w="0" w:type="dxa"/>
          <w:right w:w="70" w:type="dxa"/>
        </w:tblCellMar>
      </w:tblPr>
      <w:tblGrid>
        <w:gridCol w:w="3546"/>
        <w:gridCol w:w="920"/>
        <w:gridCol w:w="1545"/>
        <w:gridCol w:w="1392"/>
        <w:gridCol w:w="1069"/>
        <w:gridCol w:w="1355"/>
      </w:tblGrid>
      <w:tr>
        <w:trPr>
          <w:trHeight w:val="573" w:hRule="atLeast"/>
        </w:trPr>
        <w:tc>
          <w:tcPr>
            <w:tcW w:w="3546" w:type="dxa"/>
            <w:tcBorders>
              <w:top w:val="single" w:sz="8" w:space="0" w:color="000000"/>
              <w:left w:val="single" w:sz="8" w:space="0" w:color="000000"/>
              <w:bottom w:val="single" w:sz="8" w:space="0" w:color="000000"/>
              <w:right w:val="single" w:sz="4" w:space="0" w:color="000000"/>
            </w:tcBorders>
            <w:shd w:fill="C65911" w:val="clear"/>
            <w:vAlign w:val="center"/>
          </w:tcPr>
          <w:p>
            <w:pPr>
              <w:pStyle w:val="Normal"/>
              <w:rPr>
                <w:b/>
                <w:bCs/>
                <w:color w:val="FFFFFF"/>
                <w:sz w:val="22"/>
                <w:szCs w:val="22"/>
                <w:lang w:eastAsia="fr-CA"/>
              </w:rPr>
            </w:pPr>
            <w:r>
              <w:rPr>
                <w:b/>
                <w:bCs/>
                <w:color w:val="FFFFFF"/>
                <w:sz w:val="22"/>
                <w:szCs w:val="22"/>
                <w:lang w:eastAsia="fr-CA"/>
              </w:rPr>
              <w:t>Désignation</w:t>
            </w:r>
          </w:p>
        </w:tc>
        <w:tc>
          <w:tcPr>
            <w:tcW w:w="920"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Unité</w:t>
            </w:r>
          </w:p>
        </w:tc>
        <w:tc>
          <w:tcPr>
            <w:tcW w:w="1545"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Qté/nbre/mois</w:t>
            </w:r>
          </w:p>
        </w:tc>
        <w:tc>
          <w:tcPr>
            <w:tcW w:w="1392"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Qté/nbre/an</w:t>
            </w:r>
          </w:p>
        </w:tc>
        <w:tc>
          <w:tcPr>
            <w:tcW w:w="1069"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Prix unitaire</w:t>
            </w:r>
          </w:p>
        </w:tc>
        <w:tc>
          <w:tcPr>
            <w:tcW w:w="1355" w:type="dxa"/>
            <w:tcBorders>
              <w:top w:val="single" w:sz="8" w:space="0" w:color="000000"/>
              <w:right w:val="single" w:sz="8"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Montant</w:t>
              <w:br/>
              <w:t xml:space="preserve"> (F.CFA)</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Transports / déplacements</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37 500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450 000</w:t>
            </w:r>
          </w:p>
        </w:tc>
      </w:tr>
      <w:tr>
        <w:trPr>
          <w:trHeight w:val="295" w:hRule="atLeast"/>
        </w:trPr>
        <w:tc>
          <w:tcPr>
            <w:tcW w:w="3546" w:type="dxa"/>
            <w:tcBorders>
              <w:top w:val="single" w:sz="4" w:space="0" w:color="000000"/>
              <w:left w:val="single" w:sz="4" w:space="0" w:color="000000"/>
              <w:bottom w:val="single" w:sz="8" w:space="0" w:color="000000"/>
              <w:right w:val="single" w:sz="4" w:space="0" w:color="000000"/>
            </w:tcBorders>
            <w:shd w:fill="ACB9CA" w:val="clear"/>
            <w:vAlign w:val="center"/>
          </w:tcPr>
          <w:p>
            <w:pPr>
              <w:pStyle w:val="Normal"/>
              <w:jc w:val="center"/>
              <w:rPr>
                <w:b/>
                <w:bCs/>
                <w:sz w:val="22"/>
                <w:szCs w:val="22"/>
                <w:lang w:eastAsia="fr-CA"/>
              </w:rPr>
            </w:pPr>
            <w:r>
              <w:rPr>
                <w:b/>
                <w:bCs/>
                <w:sz w:val="22"/>
                <w:szCs w:val="22"/>
                <w:lang w:eastAsia="fr-CA"/>
              </w:rPr>
              <w:t>TOTAL</w:t>
            </w:r>
          </w:p>
        </w:tc>
        <w:tc>
          <w:tcPr>
            <w:tcW w:w="920"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545"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92"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069"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55" w:type="dxa"/>
            <w:tcBorders>
              <w:bottom w:val="single" w:sz="8" w:space="0" w:color="000000"/>
              <w:right w:val="single" w:sz="4" w:space="0" w:color="000000"/>
            </w:tcBorders>
            <w:shd w:fill="ACB9CA" w:val="clear"/>
            <w:vAlign w:val="center"/>
          </w:tcPr>
          <w:p>
            <w:pPr>
              <w:pStyle w:val="Normal"/>
              <w:jc w:val="center"/>
              <w:rPr>
                <w:sz w:val="22"/>
                <w:szCs w:val="22"/>
                <w:lang w:eastAsia="fr-CA"/>
              </w:rPr>
            </w:pPr>
            <w:r>
              <w:rPr>
                <w:sz w:val="22"/>
                <w:szCs w:val="22"/>
                <w:lang w:eastAsia="fr-CA"/>
              </w:rPr>
              <w:t>450 000</w:t>
            </w:r>
          </w:p>
        </w:tc>
      </w:tr>
    </w:tbl>
    <w:p>
      <w:pPr>
        <w:pStyle w:val="Heading3"/>
        <w:numPr>
          <w:ilvl w:val="2"/>
          <w:numId w:val="2"/>
        </w:numPr>
        <w:ind w:hanging="720" w:left="502" w:right="0"/>
        <w:rPr>
          <w:rFonts w:ascii="Times New Roman" w:hAnsi="Times New Roman" w:cs="Times New Roman"/>
          <w:sz w:val="24"/>
          <w:szCs w:val="24"/>
        </w:rPr>
      </w:pPr>
      <w:bookmarkStart w:id="25" w:name="__RefHeading___Toc234831719"/>
      <w:bookmarkEnd w:id="25"/>
      <w:r>
        <w:rPr>
          <w:rFonts w:cs="Times New Roman" w:ascii="Times New Roman" w:hAnsi="Times New Roman"/>
          <w:sz w:val="24"/>
          <w:szCs w:val="24"/>
        </w:rPr>
        <w:t>Dotations aux amortissements</w:t>
      </w:r>
    </w:p>
    <w:p>
      <w:pPr>
        <w:pStyle w:val="Normal"/>
        <w:spacing w:before="120" w:after="0"/>
        <w:jc w:val="both"/>
        <w:rPr>
          <w:iCs/>
          <w:sz w:val="22"/>
          <w:szCs w:val="22"/>
        </w:rPr>
      </w:pPr>
      <w:r>
        <w:rPr>
          <w:iCs/>
          <w:sz w:val="22"/>
          <w:szCs w:val="22"/>
        </w:rPr>
        <w:t>Les dotations aux amortissements sont calculées dans le tableau ci-dessous sur les cinq prochaines années.</w:t>
      </w:r>
    </w:p>
    <w:tbl>
      <w:tblPr>
        <w:tblW w:w="9644" w:type="dxa"/>
        <w:jc w:val="left"/>
        <w:tblInd w:w="65" w:type="dxa"/>
        <w:tblLayout w:type="fixed"/>
        <w:tblCellMar>
          <w:top w:w="0" w:type="dxa"/>
          <w:left w:w="70" w:type="dxa"/>
          <w:bottom w:w="0" w:type="dxa"/>
          <w:right w:w="70" w:type="dxa"/>
        </w:tblCellMar>
      </w:tblPr>
      <w:tblGrid>
        <w:gridCol w:w="2511"/>
        <w:gridCol w:w="1005"/>
        <w:gridCol w:w="1105"/>
        <w:gridCol w:w="1004"/>
        <w:gridCol w:w="1005"/>
        <w:gridCol w:w="1005"/>
        <w:gridCol w:w="1004"/>
        <w:gridCol w:w="1003"/>
      </w:tblGrid>
      <w:tr>
        <w:trPr>
          <w:trHeight w:val="315" w:hRule="atLeast"/>
        </w:trPr>
        <w:tc>
          <w:tcPr>
            <w:tcW w:w="2511"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Dotation aux amortissements</w:t>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1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3"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15" w:hRule="atLeast"/>
        </w:trPr>
        <w:tc>
          <w:tcPr>
            <w:tcW w:w="2511"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Désignations/Années</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Montant</w:t>
            </w:r>
          </w:p>
        </w:tc>
        <w:tc>
          <w:tcPr>
            <w:tcW w:w="11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Taux</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AN1</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AN2</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AN3</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AN4</w:t>
            </w:r>
          </w:p>
        </w:tc>
        <w:tc>
          <w:tcPr>
            <w:tcW w:w="1003"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AN5</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d'établissement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100,00%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2.1 Constructions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3"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2.2 Agencement-Aménagement-Installations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Aménagement préparatoire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11 250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11 250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11 250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11 250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Formation des billons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Système goutte-à-goutte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187 500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187 500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187 500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187 500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Clôture en grillage 0,75 ha</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1 000 000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Bassin 40 m³</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62 500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62 500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62 500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62 500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Puits à grand diamètre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980 000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245 000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245 000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245 000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245 000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2.3 Mobiliers et matériels</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Balance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33%</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6 667</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6 667</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6 667</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2.4 Equipements de production</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Paillage en plastique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Pulvérisateurs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Brouettes + Houes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 17 (2000 m)</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Outils divers (dabas, pioches, pelles)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r>
      <w:tr>
        <w:trPr>
          <w:trHeight w:val="285" w:hRule="atLeast"/>
        </w:trPr>
        <w:tc>
          <w:tcPr>
            <w:tcW w:w="2511"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4 000 000</w:t>
            </w:r>
          </w:p>
        </w:tc>
        <w:tc>
          <w:tcPr>
            <w:tcW w:w="1105" w:type="dxa"/>
            <w:tcBorders>
              <w:bottom w:val="single" w:sz="4" w:space="0" w:color="000000"/>
              <w:right w:val="single" w:sz="4" w:space="0" w:color="000000"/>
            </w:tcBorders>
            <w:shd w:fill="F4C9C8" w:val="clear"/>
            <w:vAlign w:val="bottom"/>
          </w:tcPr>
          <w:p>
            <w:pPr>
              <w:pStyle w:val="Normal"/>
              <w:snapToGrid w:val="false"/>
              <w:jc w:val="center"/>
              <w:rPr>
                <w:b/>
                <w:bCs/>
                <w:i/>
                <w:i/>
                <w:iCs/>
                <w:sz w:val="22"/>
                <w:szCs w:val="22"/>
              </w:rPr>
            </w:pPr>
            <w:r>
              <w:rPr>
                <w:b/>
                <w:bCs/>
                <w:i/>
                <w:iCs/>
                <w:sz w:val="22"/>
                <w:szCs w:val="22"/>
              </w:rPr>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968 917</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953 917</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953 917</w:t>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947 250</w:t>
            </w:r>
          </w:p>
        </w:tc>
        <w:tc>
          <w:tcPr>
            <w:tcW w:w="1003"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176 000</w:t>
            </w:r>
          </w:p>
        </w:tc>
      </w:tr>
      <w:tr>
        <w:trPr>
          <w:trHeight w:val="285" w:hRule="atLeast"/>
        </w:trPr>
        <w:tc>
          <w:tcPr>
            <w:tcW w:w="2511" w:type="dxa"/>
            <w:tcBorders/>
            <w:vAlign w:val="bottom"/>
          </w:tcPr>
          <w:p>
            <w:pPr>
              <w:pStyle w:val="Normal"/>
              <w:snapToGrid w:val="false"/>
              <w:jc w:val="right"/>
              <w:rPr>
                <w:b/>
                <w:bCs/>
                <w:i/>
                <w:i/>
                <w:iCs/>
                <w:sz w:val="22"/>
                <w:szCs w:val="22"/>
              </w:rPr>
            </w:pPr>
            <w:r>
              <w:rPr>
                <w:b/>
                <w:bCs/>
                <w:i/>
                <w:iCs/>
                <w:sz w:val="22"/>
                <w:szCs w:val="22"/>
              </w:rPr>
            </w:r>
          </w:p>
        </w:tc>
        <w:tc>
          <w:tcPr>
            <w:tcW w:w="1005" w:type="dxa"/>
            <w:tcBorders/>
            <w:vAlign w:val="bottom"/>
          </w:tcPr>
          <w:p>
            <w:pPr>
              <w:pStyle w:val="Normal"/>
              <w:snapToGrid w:val="false"/>
              <w:jc w:val="right"/>
              <w:rPr>
                <w:b/>
                <w:bCs/>
                <w:i/>
                <w:i/>
                <w:iCs/>
                <w:sz w:val="22"/>
                <w:szCs w:val="22"/>
              </w:rPr>
            </w:pPr>
            <w:r>
              <w:rPr>
                <w:b/>
                <w:bCs/>
                <w:i/>
                <w:iCs/>
                <w:sz w:val="22"/>
                <w:szCs w:val="22"/>
              </w:rPr>
            </w:r>
          </w:p>
        </w:tc>
        <w:tc>
          <w:tcPr>
            <w:tcW w:w="11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3" w:type="dxa"/>
            <w:tcBorders/>
            <w:vAlign w:val="bottom"/>
          </w:tcPr>
          <w:p>
            <w:pPr>
              <w:pStyle w:val="Normal"/>
              <w:snapToGrid w:val="false"/>
              <w:jc w:val="right"/>
              <w:rPr>
                <w:sz w:val="22"/>
                <w:szCs w:val="22"/>
              </w:rPr>
            </w:pPr>
            <w:r>
              <w:rPr>
                <w:sz w:val="22"/>
                <w:szCs w:val="22"/>
              </w:rPr>
            </w:r>
          </w:p>
        </w:tc>
      </w:tr>
    </w:tbl>
    <w:p>
      <w:pPr>
        <w:pStyle w:val="Heading3"/>
        <w:numPr>
          <w:ilvl w:val="2"/>
          <w:numId w:val="2"/>
        </w:numPr>
        <w:spacing w:before="120" w:after="120"/>
        <w:ind w:hanging="720" w:left="502" w:right="0"/>
        <w:jc w:val="both"/>
        <w:rPr>
          <w:rFonts w:ascii="Times New Roman" w:hAnsi="Times New Roman" w:cs="Times New Roman"/>
          <w:iCs/>
          <w:sz w:val="22"/>
          <w:szCs w:val="22"/>
        </w:rPr>
      </w:pPr>
      <w:bookmarkStart w:id="26" w:name="__RefHeading___Toc234831720"/>
      <w:bookmarkEnd w:id="26"/>
      <w:r>
        <w:rPr>
          <w:rFonts w:cs="Times New Roman" w:ascii="Times New Roman" w:hAnsi="Times New Roman"/>
          <w:sz w:val="24"/>
          <w:szCs w:val="24"/>
        </w:rPr>
        <w:t>Echéancier de remboursement</w:t>
      </w:r>
    </w:p>
    <w:p>
      <w:pPr>
        <w:pStyle w:val="Normal"/>
        <w:spacing w:before="120" w:after="120"/>
        <w:jc w:val="both"/>
        <w:rPr>
          <w:iCs/>
          <w:sz w:val="22"/>
          <w:szCs w:val="22"/>
        </w:rPr>
      </w:pPr>
      <w:r>
        <w:rPr>
          <w:iCs/>
          <w:sz w:val="22"/>
          <w:szCs w:val="22"/>
        </w:rPr>
        <w:t>L’échéancier de remboursement porte sur 36 mois, dont un différé de 3 mois pendant lequel seuls les intérêts sont payés, soit 33 échéances mensuelles.</w:t>
      </w:r>
    </w:p>
    <w:tbl>
      <w:tblPr>
        <w:tblW w:w="10070" w:type="dxa"/>
        <w:jc w:val="left"/>
        <w:tblInd w:w="65" w:type="dxa"/>
        <w:tblLayout w:type="fixed"/>
        <w:tblCellMar>
          <w:top w:w="0" w:type="dxa"/>
          <w:left w:w="70" w:type="dxa"/>
          <w:bottom w:w="0" w:type="dxa"/>
          <w:right w:w="70" w:type="dxa"/>
        </w:tblCellMar>
      </w:tblPr>
      <w:tblGrid>
        <w:gridCol w:w="997"/>
        <w:gridCol w:w="1417"/>
        <w:gridCol w:w="1134"/>
        <w:gridCol w:w="1134"/>
        <w:gridCol w:w="1135"/>
        <w:gridCol w:w="1701"/>
        <w:gridCol w:w="1276"/>
        <w:gridCol w:w="1274"/>
      </w:tblGrid>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Montant du Prêt :</w:t>
            </w:r>
          </w:p>
        </w:tc>
        <w:tc>
          <w:tcPr>
            <w:tcW w:w="1134" w:type="dxa"/>
            <w:tcBorders>
              <w:top w:val="single" w:sz="4" w:space="0" w:color="000000"/>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3 000 000</w:t>
            </w:r>
          </w:p>
        </w:tc>
        <w:tc>
          <w:tcPr>
            <w:tcW w:w="1134" w:type="dxa"/>
            <w:tcBorders>
              <w:top w:val="single" w:sz="4" w:space="0" w:color="000000"/>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FCFA</w:t>
            </w:r>
          </w:p>
        </w:tc>
        <w:tc>
          <w:tcPr>
            <w:tcW w:w="1135"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8%</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 soit</w:t>
            </w:r>
          </w:p>
        </w:tc>
        <w:tc>
          <w:tcPr>
            <w:tcW w:w="1135" w:type="dxa"/>
            <w:tcBorders>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0,67%</w:t>
            </w:r>
          </w:p>
        </w:tc>
        <w:tc>
          <w:tcPr>
            <w:tcW w:w="1701"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mois</w:t>
            </w:r>
          </w:p>
        </w:tc>
        <w:tc>
          <w:tcPr>
            <w:tcW w:w="1276"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TAF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17%</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appliqué TTC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9,36%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remboursement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sz w:val="22"/>
                <w:szCs w:val="22"/>
              </w:rPr>
            </w:pPr>
            <w:r>
              <w:rPr>
                <w:sz w:val="22"/>
                <w:szCs w:val="22"/>
              </w:rPr>
              <w:t>par mois</w:t>
            </w:r>
          </w:p>
        </w:tc>
        <w:tc>
          <w:tcPr>
            <w:tcW w:w="1134"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différé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Durée du prêt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Nombre d'échéance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33</w:t>
            </w:r>
          </w:p>
        </w:tc>
        <w:tc>
          <w:tcPr>
            <w:tcW w:w="1134"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00" w:hRule="atLeast"/>
        </w:trPr>
        <w:tc>
          <w:tcPr>
            <w:tcW w:w="997" w:type="dxa"/>
            <w:tcBorders/>
            <w:shd w:fill="FFFFFF" w:val="clear"/>
            <w:vAlign w:val="bottom"/>
          </w:tcPr>
          <w:p>
            <w:pPr>
              <w:pStyle w:val="Normal"/>
              <w:snapToGrid w:val="false"/>
              <w:jc w:val="center"/>
              <w:rPr>
                <w:color w:val="800000"/>
                <w:sz w:val="22"/>
                <w:szCs w:val="22"/>
              </w:rPr>
            </w:pPr>
            <w:r>
              <w:rPr>
                <w:color w:val="800000"/>
                <w:sz w:val="22"/>
                <w:szCs w:val="22"/>
              </w:rPr>
            </w:r>
          </w:p>
        </w:tc>
        <w:tc>
          <w:tcPr>
            <w:tcW w:w="1417" w:type="dxa"/>
            <w:tcBorders/>
            <w:shd w:fill="FFFFFF" w:val="clear"/>
            <w:vAlign w:val="bottom"/>
          </w:tcPr>
          <w:p>
            <w:pPr>
              <w:pStyle w:val="Normal"/>
              <w:snapToGrid w:val="false"/>
              <w:jc w:val="center"/>
              <w:rPr>
                <w:color w:val="800000"/>
                <w:sz w:val="22"/>
                <w:szCs w:val="22"/>
              </w:rPr>
            </w:pPr>
            <w:r>
              <w:rPr>
                <w:color w:val="800000"/>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5" w:type="dxa"/>
            <w:tcBorders/>
            <w:shd w:fill="FFFFFF" w:val="clear"/>
            <w:vAlign w:val="bottom"/>
          </w:tcPr>
          <w:p>
            <w:pPr>
              <w:pStyle w:val="Normal"/>
              <w:snapToGrid w:val="false"/>
              <w:jc w:val="center"/>
              <w:rPr>
                <w:sz w:val="22"/>
                <w:szCs w:val="22"/>
              </w:rPr>
            </w:pPr>
            <w:r>
              <w:rPr>
                <w:sz w:val="22"/>
                <w:szCs w:val="22"/>
              </w:rPr>
            </w:r>
          </w:p>
        </w:tc>
        <w:tc>
          <w:tcPr>
            <w:tcW w:w="1701" w:type="dxa"/>
            <w:tcBorders/>
            <w:shd w:fill="FFFFFF" w:val="clear"/>
            <w:vAlign w:val="bottom"/>
          </w:tcPr>
          <w:p>
            <w:pPr>
              <w:pStyle w:val="Normal"/>
              <w:snapToGrid w:val="false"/>
              <w:jc w:val="center"/>
              <w:rPr>
                <w:sz w:val="22"/>
                <w:szCs w:val="22"/>
              </w:rPr>
            </w:pPr>
            <w:r>
              <w:rPr>
                <w:sz w:val="22"/>
                <w:szCs w:val="22"/>
              </w:rPr>
            </w:r>
          </w:p>
        </w:tc>
        <w:tc>
          <w:tcPr>
            <w:tcW w:w="1276" w:type="dxa"/>
            <w:tcBorders/>
            <w:shd w:fill="FFFFFF" w:val="clear"/>
            <w:vAlign w:val="bottom"/>
          </w:tcPr>
          <w:p>
            <w:pPr>
              <w:pStyle w:val="Normal"/>
              <w:snapToGrid w:val="false"/>
              <w:jc w:val="center"/>
              <w:rPr>
                <w:sz w:val="22"/>
                <w:szCs w:val="22"/>
              </w:rPr>
            </w:pPr>
            <w:r>
              <w:rPr>
                <w:sz w:val="22"/>
                <w:szCs w:val="22"/>
              </w:rPr>
            </w:r>
          </w:p>
        </w:tc>
        <w:tc>
          <w:tcPr>
            <w:tcW w:w="1274" w:type="dxa"/>
            <w:tcBorders/>
            <w:shd w:fill="FFFFFF" w:val="clear"/>
            <w:vAlign w:val="bottom"/>
          </w:tcPr>
          <w:p>
            <w:pPr>
              <w:pStyle w:val="Normal"/>
              <w:snapToGrid w:val="false"/>
              <w:jc w:val="center"/>
              <w:rPr>
                <w:sz w:val="22"/>
                <w:szCs w:val="22"/>
              </w:rPr>
            </w:pPr>
            <w:r>
              <w:rPr>
                <w:sz w:val="22"/>
                <w:szCs w:val="22"/>
              </w:rPr>
            </w:r>
          </w:p>
        </w:tc>
      </w:tr>
      <w:tr>
        <w:trPr>
          <w:trHeight w:val="315" w:hRule="atLeast"/>
        </w:trPr>
        <w:tc>
          <w:tcPr>
            <w:tcW w:w="99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Période</w:t>
            </w:r>
          </w:p>
        </w:tc>
        <w:tc>
          <w:tcPr>
            <w:tcW w:w="141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Montant</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Intérêts</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TAF</w:t>
            </w:r>
          </w:p>
        </w:tc>
        <w:tc>
          <w:tcPr>
            <w:tcW w:w="1135"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Frais Financier</w:t>
            </w:r>
          </w:p>
        </w:tc>
        <w:tc>
          <w:tcPr>
            <w:tcW w:w="1701" w:type="dxa"/>
            <w:tcBorders>
              <w:top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Remboursement</w:t>
            </w:r>
          </w:p>
        </w:tc>
        <w:tc>
          <w:tcPr>
            <w:tcW w:w="1276"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274"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r>
      <w:tr>
        <w:trPr>
          <w:trHeight w:val="630" w:hRule="atLeast"/>
        </w:trPr>
        <w:tc>
          <w:tcPr>
            <w:tcW w:w="99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41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5"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701"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Principal</w:t>
            </w:r>
          </w:p>
        </w:tc>
        <w:tc>
          <w:tcPr>
            <w:tcW w:w="1276"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dégressive</w:t>
            </w:r>
          </w:p>
        </w:tc>
        <w:tc>
          <w:tcPr>
            <w:tcW w:w="1274"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linéaire</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sz w:val="22"/>
                <w:szCs w:val="22"/>
              </w:rPr>
            </w:pPr>
            <w:r>
              <w:rPr>
                <w:b/>
                <w:bCs/>
                <w:sz w:val="22"/>
                <w:szCs w:val="22"/>
              </w:rPr>
              <w:t>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3 400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23 400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23 400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3 400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23 400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23 400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3 400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23 400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23 400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3 400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23 400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114 309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2 909 091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19 394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3 297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22 691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113 600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2 818 182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18 788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3 194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21 982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112 891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3 091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21 273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112 182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2 636 364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17 576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2 988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20 564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111 473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16 970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2 885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19 855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110 764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2 782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19 145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110 055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15 758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2 679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18 436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109 345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2 272 727</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15 152</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2 576</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17 727</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90 909</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108 636</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2 473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17 018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107 927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2 090 909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13 939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2 370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16 309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107 218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13 333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2 267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15 600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106 509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1 909 091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2 164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14 891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105 800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12 121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2 061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14 182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11 515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1 958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13 473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104 382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1 636 364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1 855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12 764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103 673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10 303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1 752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12 055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102 964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9 697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1 648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11 345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102 255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1 545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10 636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101 545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1 272 727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8 485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1 442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9 927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100 836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1 181 818</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7 879</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1 339</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9 218</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90 909</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100 127</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1 090 909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1 236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8 509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99 418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1 133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7 800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98 709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6 061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1 030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7 091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98 000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927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6 382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97 291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4 848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824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5 673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96 582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636 364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4 242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721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4 964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95 873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618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4 255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95 164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3 030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515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3 545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94 455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2 424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412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2 836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93 745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2 127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93 036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1 212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1 418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90 909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92 327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36</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90 909</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606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103</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709</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90 909</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91 618</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105 091</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TOTAL</w:t>
            </w:r>
          </w:p>
        </w:tc>
        <w:tc>
          <w:tcPr>
            <w:tcW w:w="1417"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5"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468 000</w:t>
            </w:r>
          </w:p>
        </w:tc>
        <w:tc>
          <w:tcPr>
            <w:tcW w:w="1701"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3 000 000</w:t>
            </w:r>
          </w:p>
        </w:tc>
        <w:tc>
          <w:tcPr>
            <w:tcW w:w="1276"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3 468 000</w:t>
            </w:r>
          </w:p>
        </w:tc>
        <w:tc>
          <w:tcPr>
            <w:tcW w:w="1274"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3 468 000</w:t>
            </w:r>
          </w:p>
        </w:tc>
      </w:tr>
    </w:tbl>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27" w:name="__RefHeading___Toc234831721"/>
      <w:bookmarkEnd w:id="27"/>
      <w:r>
        <w:rPr>
          <w:rFonts w:cs="Times New Roman" w:ascii="Times New Roman" w:hAnsi="Times New Roman"/>
          <w:i w:val="false"/>
          <w:iCs w:val="false"/>
          <w:lang w:val="fr-CI"/>
        </w:rPr>
        <w:t>Coût total du projet</w:t>
      </w:r>
    </w:p>
    <w:p>
      <w:pPr>
        <w:pStyle w:val="Normal"/>
        <w:spacing w:before="120" w:after="120"/>
        <w:rPr>
          <w:iCs/>
          <w:sz w:val="22"/>
          <w:szCs w:val="22"/>
        </w:rPr>
      </w:pPr>
      <w:r>
        <w:rPr>
          <w:iCs/>
          <w:sz w:val="22"/>
          <w:szCs w:val="22"/>
        </w:rPr>
        <w:t xml:space="preserve">Le coût total du projet est évalué à </w:t>
      </w:r>
      <w:r>
        <w:rPr>
          <w:b/>
          <w:bCs/>
          <w:iCs/>
          <w:color w:val="000000"/>
          <w:sz w:val="22"/>
          <w:szCs w:val="22"/>
          <w:lang w:eastAsia="fr-CA"/>
        </w:rPr>
        <w:t xml:space="preserve">5 000 000 </w:t>
      </w:r>
      <w:r>
        <w:rPr>
          <w:iCs/>
          <w:sz w:val="22"/>
          <w:szCs w:val="22"/>
        </w:rPr>
        <w:t xml:space="preserve">FCFA. Ce montant est composé par : les frais d’investissement </w:t>
      </w:r>
      <w:r>
        <w:rPr>
          <w:b/>
          <w:bCs/>
          <w:iCs/>
          <w:sz w:val="22"/>
          <w:szCs w:val="22"/>
          <w:lang w:eastAsia="fr-CA"/>
        </w:rPr>
        <w:t xml:space="preserve">3 985 000 </w:t>
      </w:r>
      <w:r>
        <w:rPr>
          <w:iCs/>
          <w:sz w:val="22"/>
          <w:szCs w:val="22"/>
        </w:rPr>
        <w:t xml:space="preserve">FCFA (79,7%) , le besoin en fonds de roulement </w:t>
      </w:r>
      <w:r>
        <w:rPr>
          <w:b/>
          <w:bCs/>
          <w:iCs/>
          <w:sz w:val="22"/>
          <w:szCs w:val="22"/>
          <w:lang w:eastAsia="fr-CA"/>
        </w:rPr>
        <w:t xml:space="preserve">1 000 000 </w:t>
      </w:r>
      <w:r>
        <w:rPr>
          <w:iCs/>
          <w:sz w:val="22"/>
          <w:szCs w:val="22"/>
        </w:rPr>
        <w:t xml:space="preserve"> FCFA (20,0%) et les frais d’établissement 15 000 FCFA (0,3%).</w:t>
      </w:r>
    </w:p>
    <w:tbl>
      <w:tblPr>
        <w:tblW w:w="9600" w:type="dxa"/>
        <w:jc w:val="left"/>
        <w:tblInd w:w="65" w:type="dxa"/>
        <w:tblLayout w:type="fixed"/>
        <w:tblCellMar>
          <w:top w:w="0" w:type="dxa"/>
          <w:left w:w="70" w:type="dxa"/>
          <w:bottom w:w="0" w:type="dxa"/>
          <w:right w:w="70" w:type="dxa"/>
        </w:tblCellMar>
      </w:tblPr>
      <w:tblGrid>
        <w:gridCol w:w="5940"/>
        <w:gridCol w:w="1289"/>
        <w:gridCol w:w="1551"/>
        <w:gridCol w:w="819"/>
      </w:tblGrid>
      <w:tr>
        <w:trPr>
          <w:trHeight w:val="405" w:hRule="atLeast"/>
        </w:trPr>
        <w:tc>
          <w:tcPr>
            <w:tcW w:w="5940" w:type="dxa"/>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EVALUATION DU COÛT DE  PROJET (FCFA)</w:t>
            </w:r>
          </w:p>
        </w:tc>
        <w:tc>
          <w:tcPr>
            <w:tcW w:w="2840" w:type="dxa"/>
            <w:gridSpan w:val="2"/>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Montant FCFA</w:t>
            </w:r>
          </w:p>
        </w:tc>
        <w:tc>
          <w:tcPr>
            <w:tcW w:w="819" w:type="dxa"/>
            <w:tcBorders>
              <w:top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w:t>
            </w:r>
          </w:p>
        </w:tc>
      </w:tr>
      <w:tr>
        <w:trPr>
          <w:trHeight w:val="300" w:hRule="atLeast"/>
        </w:trPr>
        <w:tc>
          <w:tcPr>
            <w:tcW w:w="5940" w:type="dxa"/>
            <w:tcBorders>
              <w:left w:val="single" w:sz="4" w:space="0" w:color="000000"/>
            </w:tcBorders>
            <w:vAlign w:val="bottom"/>
          </w:tcPr>
          <w:p>
            <w:pPr>
              <w:pStyle w:val="Normal"/>
              <w:rPr>
                <w:color w:val="000000"/>
                <w:sz w:val="22"/>
                <w:szCs w:val="22"/>
              </w:rPr>
            </w:pPr>
            <w:r>
              <w:rPr/>
            </w:r>
          </w:p>
        </w:tc>
        <w:tc>
          <w:tcPr>
            <w:tcW w:w="1289" w:type="dxa"/>
            <w:tcBorders/>
            <w:vAlign w:val="center"/>
          </w:tcPr>
          <w:p>
            <w:pPr>
              <w:pStyle w:val="Normal"/>
              <w:snapToGrid w:val="false"/>
              <w:jc w:val="center"/>
              <w:rPr>
                <w:color w:val="000000"/>
                <w:sz w:val="22"/>
                <w:szCs w:val="22"/>
              </w:rPr>
            </w:pPr>
            <w:r>
              <w:rPr>
                <w:color w:val="000000"/>
                <w:sz w:val="22"/>
                <w:szCs w:val="22"/>
              </w:rPr>
            </w:r>
          </w:p>
        </w:tc>
        <w:tc>
          <w:tcPr>
            <w:tcW w:w="1551" w:type="dxa"/>
            <w:tcBorders/>
            <w:vAlign w:val="center"/>
          </w:tcPr>
          <w:p>
            <w:pPr>
              <w:pStyle w:val="Normal"/>
              <w:snapToGrid w:val="false"/>
              <w:jc w:val="center"/>
              <w:rPr>
                <w:color w:val="000000"/>
                <w:sz w:val="22"/>
                <w:szCs w:val="22"/>
              </w:rPr>
            </w:pPr>
            <w:r>
              <w:rPr>
                <w:color w:val="000000"/>
                <w:sz w:val="22"/>
                <w:szCs w:val="22"/>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Frais d'établissement</w:t>
            </w:r>
          </w:p>
        </w:tc>
        <w:tc>
          <w:tcPr>
            <w:tcW w:w="128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15 000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0,3%</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de constitution</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Frais d'investissement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3 985 000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79,7%</w:t>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Constructions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Agencement-Aménagement-Installations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3 085 000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Aménagement préparatoire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pPr>
            <w:r>
              <w:rPr>
                <w:color w:val="000000"/>
                <w:sz w:val="22"/>
                <w:szCs w:val="22"/>
              </w:rPr>
              <w:t>Formation des billons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Système goutte-à-goutte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750 000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Clôture en grillage 0,75 ha</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1 000 000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Bassin 40 m³</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Puits à grand diamètre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980 000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Mobiliers et matériels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20 000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Balance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2.4 Equipements de production</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880 000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Paillage en plastique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Pulvérisateurs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75 000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Brouettes + Houes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 17 (2000 m)</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Outils divers (dabas, pioches, pelles)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3. Besoin en fonds de roulement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1 000 000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20,0%</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Achats de matières premières (3 mois)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480 000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Sécurité de caisse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520 000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447" w:hRule="atLeast"/>
        </w:trPr>
        <w:tc>
          <w:tcPr>
            <w:tcW w:w="7229" w:type="dxa"/>
            <w:gridSpan w:val="2"/>
            <w:tcBorders>
              <w:top w:val="single" w:sz="4" w:space="0" w:color="000000"/>
              <w:left w:val="single" w:sz="4" w:space="0" w:color="000000"/>
              <w:bottom w:val="single" w:sz="4" w:space="0" w:color="000000"/>
              <w:right w:val="single" w:sz="4" w:space="0" w:color="000000"/>
            </w:tcBorders>
            <w:shd w:fill="CCFFFF" w:val="clear"/>
            <w:vAlign w:val="center"/>
          </w:tcPr>
          <w:p>
            <w:pPr>
              <w:pStyle w:val="Normal"/>
              <w:jc w:val="center"/>
              <w:rPr>
                <w:b/>
                <w:bCs/>
                <w:color w:val="000000"/>
                <w:sz w:val="22"/>
                <w:szCs w:val="22"/>
              </w:rPr>
            </w:pPr>
            <w:r>
              <w:rPr>
                <w:b/>
                <w:bCs/>
                <w:color w:val="000000"/>
                <w:sz w:val="22"/>
                <w:szCs w:val="22"/>
              </w:rPr>
              <w:t>COÛT TOTAL DU PROJET</w:t>
            </w:r>
          </w:p>
        </w:tc>
        <w:tc>
          <w:tcPr>
            <w:tcW w:w="1551" w:type="dxa"/>
            <w:tcBorders>
              <w:bottom w:val="single" w:sz="4" w:space="0" w:color="000000"/>
              <w:right w:val="single" w:sz="4" w:space="0" w:color="000000"/>
            </w:tcBorders>
            <w:shd w:fill="CCFFFF" w:val="clear"/>
            <w:vAlign w:val="center"/>
          </w:tcPr>
          <w:p>
            <w:pPr>
              <w:pStyle w:val="Normal"/>
              <w:jc w:val="right"/>
              <w:rPr>
                <w:b/>
                <w:bCs/>
                <w:color w:val="000000"/>
                <w:sz w:val="22"/>
                <w:szCs w:val="22"/>
              </w:rPr>
            </w:pPr>
            <w:r>
              <w:rPr>
                <w:b/>
                <w:bCs/>
                <w:color w:val="000000"/>
                <w:sz w:val="22"/>
                <w:szCs w:val="22"/>
              </w:rPr>
              <w:t>5 000 000</w:t>
            </w:r>
          </w:p>
        </w:tc>
        <w:tc>
          <w:tcPr>
            <w:tcW w:w="819" w:type="dxa"/>
            <w:tcBorders>
              <w:bottom w:val="single" w:sz="4" w:space="0" w:color="000000"/>
              <w:right w:val="single" w:sz="4" w:space="0" w:color="000000"/>
            </w:tcBorders>
            <w:shd w:fill="CCFFFF" w:val="clear"/>
            <w:vAlign w:val="center"/>
          </w:tcPr>
          <w:p>
            <w:pPr>
              <w:pStyle w:val="Normal"/>
              <w:rPr>
                <w:b/>
                <w:bCs/>
                <w:color w:val="000000"/>
                <w:sz w:val="22"/>
                <w:szCs w:val="22"/>
              </w:rPr>
            </w:pPr>
            <w:r>
              <w:rPr/>
            </w:r>
          </w:p>
        </w:tc>
      </w:tr>
    </w:tbl>
    <w:p>
      <w:pPr>
        <w:pStyle w:val="Normal"/>
        <w:spacing w:before="120" w:after="120"/>
        <w:jc w:val="both"/>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28" w:name="__RefHeading___Toc234831722"/>
      <w:bookmarkEnd w:id="28"/>
      <w:r>
        <w:rPr>
          <w:rFonts w:cs="Times New Roman" w:ascii="Times New Roman" w:hAnsi="Times New Roman"/>
          <w:i w:val="false"/>
          <w:iCs w:val="false"/>
          <w:lang w:val="fr-CI"/>
        </w:rPr>
        <w:t>Plan de financement</w:t>
      </w:r>
    </w:p>
    <w:p>
      <w:pPr>
        <w:pStyle w:val="Normal"/>
        <w:spacing w:before="120" w:after="120"/>
        <w:jc w:val="both"/>
        <w:rPr>
          <w:iCs/>
          <w:sz w:val="22"/>
          <w:szCs w:val="22"/>
        </w:rPr>
      </w:pPr>
      <w:r>
        <w:rPr>
          <w:iCs/>
          <w:sz w:val="22"/>
          <w:szCs w:val="22"/>
        </w:rPr>
        <w:t xml:space="preserve">Le plan de financement montre que sur un coût total du projet de </w:t>
      </w:r>
      <w:r>
        <w:rPr>
          <w:b/>
          <w:bCs/>
          <w:iCs/>
          <w:color w:val="000000"/>
          <w:sz w:val="22"/>
          <w:szCs w:val="22"/>
          <w:lang w:eastAsia="fr-CA"/>
        </w:rPr>
        <w:t>5 000 000</w:t>
      </w:r>
      <w:r>
        <w:rPr>
          <w:iCs/>
          <w:sz w:val="22"/>
          <w:szCs w:val="22"/>
        </w:rPr>
        <w:t xml:space="preserve"> FCFA, le promoteur s’engage à contribuer à hauteur de 10% de ce montant, soit </w:t>
      </w:r>
      <w:r>
        <w:rPr>
          <w:rFonts w:cs="Calibri" w:ascii="Cambria" w:hAnsi="Cambria"/>
          <w:b/>
          <w:iCs/>
          <w:color w:val="000000"/>
          <w:sz w:val="22"/>
          <w:szCs w:val="22"/>
        </w:rPr>
        <w:t>500 000</w:t>
      </w:r>
      <w:r>
        <w:rPr>
          <w:rFonts w:cs="Calibri" w:ascii="Cambria" w:hAnsi="Cambria"/>
          <w:iCs/>
          <w:color w:val="000000"/>
          <w:sz w:val="22"/>
          <w:szCs w:val="22"/>
        </w:rPr>
        <w:t xml:space="preserve"> </w:t>
      </w:r>
      <w:r>
        <w:rPr>
          <w:iCs/>
          <w:sz w:val="22"/>
          <w:szCs w:val="22"/>
        </w:rPr>
        <w:t>FCFA, la subvention « Projet Vert » (30 %) couvre 1 500 000 FCFA et le crédit sollicité (60 %) s’élève à 3 000 000 FCFA.</w:t>
      </w:r>
    </w:p>
    <w:tbl>
      <w:tblPr>
        <w:tblW w:w="8580" w:type="dxa"/>
        <w:jc w:val="left"/>
        <w:tblInd w:w="65" w:type="dxa"/>
        <w:tblLayout w:type="fixed"/>
        <w:tblCellMar>
          <w:top w:w="0" w:type="dxa"/>
          <w:left w:w="70" w:type="dxa"/>
          <w:bottom w:w="0" w:type="dxa"/>
          <w:right w:w="70" w:type="dxa"/>
        </w:tblCellMar>
      </w:tblPr>
      <w:tblGrid>
        <w:gridCol w:w="5860"/>
        <w:gridCol w:w="1199"/>
        <w:gridCol w:w="1521"/>
      </w:tblGrid>
      <w:tr>
        <w:trPr>
          <w:trHeight w:val="420" w:hRule="atLeast"/>
        </w:trPr>
        <w:tc>
          <w:tcPr>
            <w:tcW w:w="586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b/>
                <w:bCs/>
                <w:color w:val="FFFFFF"/>
                <w:sz w:val="22"/>
                <w:szCs w:val="22"/>
              </w:rPr>
              <w:t>PLAN DE FINANCEMENT</w:t>
            </w:r>
          </w:p>
        </w:tc>
        <w:tc>
          <w:tcPr>
            <w:tcW w:w="1199" w:type="dxa"/>
            <w:tcBorders>
              <w:top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r>
          </w:p>
        </w:tc>
        <w:tc>
          <w:tcPr>
            <w:tcW w:w="1521" w:type="dxa"/>
            <w:tcBorders>
              <w:top w:val="single" w:sz="4"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r>
      <w:tr>
        <w:trPr>
          <w:trHeight w:val="360" w:hRule="atLeast"/>
        </w:trPr>
        <w:tc>
          <w:tcPr>
            <w:tcW w:w="5860"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Le coût total de projet</w:t>
            </w:r>
          </w:p>
        </w:tc>
        <w:tc>
          <w:tcPr>
            <w:tcW w:w="1199" w:type="dxa"/>
            <w:tcBorders>
              <w:top w:val="single" w:sz="8"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100%</w:t>
            </w:r>
          </w:p>
        </w:tc>
        <w:tc>
          <w:tcPr>
            <w:tcW w:w="1521" w:type="dxa"/>
            <w:tcBorders>
              <w:top w:val="single" w:sz="8"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b/>
                <w:bCs/>
                <w:i/>
                <w:iCs/>
                <w:color w:val="FFFFFF"/>
                <w:sz w:val="22"/>
                <w:szCs w:val="22"/>
              </w:rPr>
              <w:t>5 000 000</w:t>
            </w:r>
          </w:p>
        </w:tc>
      </w:tr>
      <w:tr>
        <w:trPr>
          <w:trHeight w:val="360" w:hRule="atLeast"/>
        </w:trPr>
        <w:tc>
          <w:tcPr>
            <w:tcW w:w="5860" w:type="dxa"/>
            <w:tcBorders>
              <w:top w:val="single" w:sz="4"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Le financement de projet</w:t>
            </w:r>
          </w:p>
        </w:tc>
        <w:tc>
          <w:tcPr>
            <w:tcW w:w="1199"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r>
          </w:p>
        </w:tc>
        <w:tc>
          <w:tcPr>
            <w:tcW w:w="1521" w:type="dxa"/>
            <w:tcBorders>
              <w:top w:val="single" w:sz="4"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L'apport personnel</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10%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500 000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en numéraire</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500 000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La contribution (Primes) du FACEJ</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30%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1 500 000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création emploi »</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innovants»</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(Projets verts et Verdissement)</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1 500 000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Le crédit sollicité</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60%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3 000 000</w:t>
            </w:r>
          </w:p>
        </w:tc>
      </w:tr>
      <w:tr>
        <w:trPr>
          <w:trHeight w:val="300" w:hRule="atLeast"/>
        </w:trPr>
        <w:tc>
          <w:tcPr>
            <w:tcW w:w="5860" w:type="dxa"/>
            <w:tcBorders>
              <w:left w:val="single" w:sz="8" w:space="0" w:color="000000"/>
              <w:bottom w:val="single" w:sz="8" w:space="0" w:color="000000"/>
              <w:right w:val="single" w:sz="4" w:space="0" w:color="000000"/>
            </w:tcBorders>
            <w:vAlign w:val="bottom"/>
          </w:tcPr>
          <w:p>
            <w:pPr>
              <w:pStyle w:val="Normal"/>
              <w:rPr>
                <w:color w:val="000000"/>
                <w:sz w:val="22"/>
                <w:szCs w:val="22"/>
              </w:rPr>
            </w:pPr>
            <w:r>
              <w:rPr>
                <w:color w:val="000000"/>
                <w:sz w:val="22"/>
                <w:szCs w:val="22"/>
              </w:rPr>
              <w:t>Financement</w:t>
            </w:r>
          </w:p>
        </w:tc>
        <w:tc>
          <w:tcPr>
            <w:tcW w:w="1199" w:type="dxa"/>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60%</w:t>
            </w:r>
          </w:p>
        </w:tc>
        <w:tc>
          <w:tcPr>
            <w:tcW w:w="1521" w:type="dxa"/>
            <w:tcBorders>
              <w:bottom w:val="single" w:sz="8" w:space="0" w:color="000000"/>
              <w:right w:val="single" w:sz="8" w:space="0" w:color="000000"/>
            </w:tcBorders>
            <w:shd w:fill="E2EFD9" w:val="clear"/>
            <w:vAlign w:val="center"/>
          </w:tcPr>
          <w:p>
            <w:pPr>
              <w:pStyle w:val="Normal"/>
              <w:jc w:val="center"/>
              <w:rPr>
                <w:b/>
                <w:bCs/>
                <w:color w:val="000000"/>
                <w:sz w:val="22"/>
                <w:szCs w:val="22"/>
              </w:rPr>
            </w:pPr>
            <w:r>
              <w:rPr>
                <w:b/>
                <w:bCs/>
                <w:color w:val="000000"/>
                <w:sz w:val="22"/>
                <w:szCs w:val="22"/>
              </w:rPr>
              <w:t>3 000 000</w:t>
            </w:r>
          </w:p>
        </w:tc>
      </w:tr>
      <w:tr>
        <w:trPr>
          <w:trHeight w:val="285" w:hRule="atLeast"/>
        </w:trPr>
        <w:tc>
          <w:tcPr>
            <w:tcW w:w="5860" w:type="dxa"/>
            <w:tcBorders>
              <w:left w:val="single" w:sz="8" w:space="0" w:color="000000"/>
              <w:bottom w:val="single" w:sz="4" w:space="0" w:color="000000"/>
              <w:right w:val="single" w:sz="4" w:space="0" w:color="000000"/>
            </w:tcBorders>
            <w:shd w:fill="D63431" w:val="clear"/>
            <w:vAlign w:val="center"/>
          </w:tcPr>
          <w:p>
            <w:pPr>
              <w:pStyle w:val="Normal"/>
              <w:rPr>
                <w:b/>
                <w:bCs/>
                <w:i/>
                <w:i/>
                <w:iCs/>
                <w:color w:val="FFFFFF"/>
                <w:sz w:val="22"/>
                <w:szCs w:val="22"/>
              </w:rPr>
            </w:pPr>
            <w:r>
              <w:rPr>
                <w:b/>
                <w:bCs/>
                <w:i/>
                <w:iCs/>
                <w:color w:val="FFFFFF"/>
                <w:sz w:val="22"/>
                <w:szCs w:val="22"/>
              </w:rPr>
              <w:t>Conditions de financement des IFS</w:t>
            </w:r>
          </w:p>
        </w:tc>
        <w:tc>
          <w:tcPr>
            <w:tcW w:w="1199" w:type="dxa"/>
            <w:tcBorders>
              <w:bottom w:val="single" w:sz="4" w:space="0" w:color="000000"/>
              <w:right w:val="single" w:sz="4" w:space="0" w:color="000000"/>
            </w:tcBorders>
            <w:shd w:fill="D63431" w:val="clear"/>
            <w:vAlign w:val="bottom"/>
          </w:tcPr>
          <w:p>
            <w:pPr>
              <w:pStyle w:val="Normal"/>
              <w:rPr>
                <w:b/>
                <w:bCs/>
                <w:i/>
                <w:i/>
                <w:iCs/>
                <w:color w:val="FFFFFF"/>
                <w:sz w:val="22"/>
                <w:szCs w:val="22"/>
              </w:rPr>
            </w:pPr>
            <w:r>
              <w:rPr/>
            </w:r>
          </w:p>
        </w:tc>
        <w:tc>
          <w:tcPr>
            <w:tcW w:w="1521" w:type="dxa"/>
            <w:tcBorders>
              <w:bottom w:val="single" w:sz="4" w:space="0" w:color="000000"/>
              <w:right w:val="single" w:sz="8" w:space="0" w:color="000000"/>
            </w:tcBorders>
            <w:shd w:fill="D63431" w:val="clear"/>
            <w:vAlign w:val="bottom"/>
          </w:tcPr>
          <w:p>
            <w:pPr>
              <w:pStyle w:val="Normal"/>
              <w:rPr>
                <w:b/>
                <w:bCs/>
                <w:i/>
                <w:i/>
                <w:iCs/>
                <w:color w:val="FFFFFF"/>
                <w:sz w:val="22"/>
                <w:szCs w:val="22"/>
              </w:rPr>
            </w:pPr>
            <w:r>
              <w:rPr/>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Durée du prêt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36</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Taux d'intérêt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8%</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An</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Différé</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Échéance de paiement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échéances</w:t>
            </w:r>
          </w:p>
        </w:tc>
      </w:tr>
      <w:tr>
        <w:trPr>
          <w:trHeight w:val="300" w:hRule="atLeast"/>
        </w:trPr>
        <w:tc>
          <w:tcPr>
            <w:tcW w:w="5860" w:type="dxa"/>
            <w:tcBorders>
              <w:left w:val="single" w:sz="8" w:space="0" w:color="000000"/>
              <w:bottom w:val="single" w:sz="8" w:space="0" w:color="000000"/>
              <w:right w:val="single" w:sz="4" w:space="0" w:color="000000"/>
            </w:tcBorders>
            <w:shd w:fill="FFFFFF" w:val="clear"/>
            <w:vAlign w:val="center"/>
          </w:tcPr>
          <w:p>
            <w:pPr>
              <w:pStyle w:val="Normal"/>
              <w:rPr>
                <w:color w:val="000000"/>
                <w:sz w:val="22"/>
                <w:szCs w:val="22"/>
              </w:rPr>
            </w:pPr>
            <w:r>
              <w:rPr>
                <w:color w:val="000000"/>
                <w:sz w:val="22"/>
                <w:szCs w:val="22"/>
              </w:rPr>
              <w:t>TAF</w:t>
            </w:r>
          </w:p>
        </w:tc>
        <w:tc>
          <w:tcPr>
            <w:tcW w:w="1199" w:type="dxa"/>
            <w:tcBorders>
              <w:bottom w:val="single" w:sz="8"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17%</w:t>
            </w:r>
          </w:p>
        </w:tc>
        <w:tc>
          <w:tcPr>
            <w:tcW w:w="1521" w:type="dxa"/>
            <w:tcBorders>
              <w:bottom w:val="single" w:sz="8" w:space="0" w:color="000000"/>
              <w:right w:val="single" w:sz="8" w:space="0" w:color="000000"/>
            </w:tcBorders>
            <w:shd w:fill="FFFFFF" w:val="clear"/>
            <w:vAlign w:val="center"/>
          </w:tcPr>
          <w:p>
            <w:pPr>
              <w:pStyle w:val="Normal"/>
              <w:jc w:val="center"/>
              <w:rPr>
                <w:color w:val="000000"/>
                <w:sz w:val="22"/>
                <w:szCs w:val="22"/>
              </w:rPr>
            </w:pPr>
            <w:r>
              <w:rPr/>
            </w:r>
          </w:p>
        </w:tc>
      </w:tr>
    </w:tbl>
    <w:p>
      <w:pPr>
        <w:pStyle w:val="Normal"/>
        <w:jc w:val="center"/>
        <w:rPr/>
      </w:pPr>
      <w:r>
        <w:rPr/>
        <w:drawing>
          <wp:inline distT="0" distB="0" distL="0" distR="0">
            <wp:extent cx="5400040" cy="20053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
                    <a:stretch>
                      <a:fillRect/>
                    </a:stretch>
                  </pic:blipFill>
                  <pic:spPr bwMode="auto">
                    <a:xfrm>
                      <a:off x="0" y="0"/>
                      <a:ext cx="5400040" cy="2005330"/>
                    </a:xfrm>
                    <a:prstGeom prst="rect">
                      <a:avLst/>
                    </a:prstGeom>
                  </pic:spPr>
                </pic:pic>
              </a:graphicData>
            </a:graphic>
          </wp:inline>
        </w:drawing>
      </w:r>
    </w:p>
    <w:p>
      <w:pPr>
        <w:pStyle w:val="Normal"/>
        <w:jc w:val="center"/>
        <w:rPr/>
      </w:pPr>
      <w:r>
        <w:rPr>
          <w:i/>
          <w:sz w:val="18"/>
        </w:rPr>
        <w:t>Graphique 1 – Emplois et ressources du projet (millions de F CFA)</w:t>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29" w:name="__RefHeading___Toc234831723"/>
      <w:bookmarkEnd w:id="29"/>
      <w:r>
        <w:rPr>
          <w:rFonts w:cs="Times New Roman" w:ascii="Times New Roman" w:hAnsi="Times New Roman"/>
          <w:i w:val="false"/>
          <w:iCs w:val="false"/>
          <w:lang w:val="fr-CI"/>
        </w:rPr>
        <w:t>Compte d'exploitation prévisionnel</w:t>
      </w:r>
    </w:p>
    <w:tbl>
      <w:tblPr>
        <w:tblW w:w="9928" w:type="dxa"/>
        <w:jc w:val="left"/>
        <w:tblInd w:w="65" w:type="dxa"/>
        <w:tblLayout w:type="fixed"/>
        <w:tblCellMar>
          <w:top w:w="0" w:type="dxa"/>
          <w:left w:w="70" w:type="dxa"/>
          <w:bottom w:w="0" w:type="dxa"/>
          <w:right w:w="70" w:type="dxa"/>
        </w:tblCellMar>
      </w:tblPr>
      <w:tblGrid>
        <w:gridCol w:w="3124"/>
        <w:gridCol w:w="1276"/>
        <w:gridCol w:w="1416"/>
        <w:gridCol w:w="1418"/>
        <w:gridCol w:w="1418"/>
        <w:gridCol w:w="284"/>
        <w:gridCol w:w="991"/>
      </w:tblGrid>
      <w:tr>
        <w:trPr>
          <w:trHeight w:val="405" w:hRule="atLeast"/>
        </w:trPr>
        <w:tc>
          <w:tcPr>
            <w:tcW w:w="7234" w:type="dxa"/>
            <w:gridSpan w:val="4"/>
            <w:tcBorders>
              <w:top w:val="single" w:sz="4" w:space="0" w:color="000000"/>
              <w:left w:val="single" w:sz="4" w:space="0" w:color="000000"/>
              <w:bottom w:val="single" w:sz="4" w:space="0" w:color="000000"/>
            </w:tcBorders>
            <w:shd w:fill="166B7F" w:val="clear"/>
            <w:vAlign w:val="bottom"/>
          </w:tcPr>
          <w:p>
            <w:pPr>
              <w:pStyle w:val="Normal"/>
              <w:jc w:val="center"/>
              <w:rPr>
                <w:b/>
                <w:bCs/>
                <w:sz w:val="22"/>
                <w:szCs w:val="22"/>
              </w:rPr>
            </w:pPr>
            <w:r>
              <w:rPr>
                <w:b/>
                <w:bCs/>
                <w:sz w:val="22"/>
                <w:szCs w:val="22"/>
              </w:rPr>
              <w:t>COMPTE D'EXPLOITATION PREVISIONNEL (FCFA)</w:t>
            </w:r>
          </w:p>
        </w:tc>
        <w:tc>
          <w:tcPr>
            <w:tcW w:w="1702" w:type="dxa"/>
            <w:gridSpan w:val="2"/>
            <w:tcBorders>
              <w:top w:val="single" w:sz="4" w:space="0" w:color="000000"/>
              <w:bottom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991"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60" w:hRule="atLeast"/>
        </w:trPr>
        <w:tc>
          <w:tcPr>
            <w:tcW w:w="312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41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AN4</w:t>
            </w:r>
          </w:p>
        </w:tc>
        <w:tc>
          <w:tcPr>
            <w:tcW w:w="1275"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AN5</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1. Recettes prévisionnelles</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recettes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7 400 000</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7 548 000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7 698 960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7 852 939</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8 009 998</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2. Charges d'exploitation</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Achats (matières premières et autres achats)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1 920 000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2 035 200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2 198 016</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2 373 857</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2 563 766</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Charges de Personnel</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2 100 000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r>
      <w:tr>
        <w:trPr>
          <w:trHeight w:val="570"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Travaux-Fournitures et Services Extérieurs (TFSE)</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450 000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472 500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472 500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472 500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472 500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Autres charges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financiers  et charges assimilées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255 273</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157 418</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55 309</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Dotations aux amortissements</w:t>
            </w:r>
          </w:p>
        </w:tc>
        <w:tc>
          <w:tcPr>
            <w:tcW w:w="1276" w:type="dxa"/>
            <w:tcBorders>
              <w:bottom w:val="single" w:sz="4" w:space="0" w:color="000000"/>
              <w:right w:val="single" w:sz="4" w:space="0" w:color="000000"/>
            </w:tcBorders>
            <w:vAlign w:val="bottom"/>
          </w:tcPr>
          <w:p>
            <w:pPr>
              <w:pStyle w:val="Normal"/>
              <w:jc w:val="center"/>
              <w:rPr>
                <w:sz w:val="22"/>
                <w:szCs w:val="22"/>
              </w:rPr>
            </w:pPr>
            <w:r>
              <w:rPr>
                <w:sz w:val="22"/>
                <w:szCs w:val="22"/>
              </w:rPr>
              <w:t>968 917</w:t>
            </w:r>
          </w:p>
        </w:tc>
        <w:tc>
          <w:tcPr>
            <w:tcW w:w="1416" w:type="dxa"/>
            <w:tcBorders>
              <w:bottom w:val="single" w:sz="4" w:space="0" w:color="000000"/>
              <w:right w:val="single" w:sz="4" w:space="0" w:color="000000"/>
            </w:tcBorders>
            <w:vAlign w:val="bottom"/>
          </w:tcPr>
          <w:p>
            <w:pPr>
              <w:pStyle w:val="Normal"/>
              <w:jc w:val="center"/>
              <w:rPr>
                <w:sz w:val="22"/>
                <w:szCs w:val="22"/>
              </w:rPr>
            </w:pPr>
            <w:r>
              <w:rPr>
                <w:sz w:val="22"/>
                <w:szCs w:val="22"/>
              </w:rPr>
              <w:t>953 917</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953 917</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947 250</w:t>
            </w:r>
          </w:p>
        </w:tc>
        <w:tc>
          <w:tcPr>
            <w:tcW w:w="1275" w:type="dxa"/>
            <w:gridSpan w:val="2"/>
            <w:tcBorders>
              <w:bottom w:val="single" w:sz="4" w:space="0" w:color="000000"/>
              <w:right w:val="single" w:sz="4" w:space="0" w:color="000000"/>
            </w:tcBorders>
            <w:vAlign w:val="bottom"/>
          </w:tcPr>
          <w:p>
            <w:pPr>
              <w:pStyle w:val="Normal"/>
              <w:jc w:val="center"/>
              <w:rPr>
                <w:sz w:val="22"/>
                <w:szCs w:val="22"/>
              </w:rPr>
            </w:pPr>
            <w:r>
              <w:rPr>
                <w:sz w:val="22"/>
                <w:szCs w:val="22"/>
              </w:rPr>
              <w:t>176 000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charges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5 694 189</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5 824 035</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5 884 742</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5 998 607</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5 417 266</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bruts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1 705 811</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1 723 965</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1 814 218</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1 854 332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2 592 732</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BIC</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Impôts et taxes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189 000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198 450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nets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1 516 811</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1 525 515</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1 615 768</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1 655 882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2 394 282</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CAF</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2 485 727</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2 479 432</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2 569 685</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2 603 132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2 570 282</w:t>
            </w:r>
          </w:p>
        </w:tc>
      </w:tr>
      <w:tr>
        <w:trPr>
          <w:trHeight w:val="360" w:hRule="atLeast"/>
        </w:trPr>
        <w:tc>
          <w:tcPr>
            <w:tcW w:w="3124" w:type="dxa"/>
            <w:tcBorders>
              <w:left w:val="single" w:sz="4" w:space="0" w:color="000000"/>
              <w:bottom w:val="single" w:sz="4" w:space="0" w:color="000000"/>
              <w:right w:val="single" w:sz="4" w:space="0" w:color="000000"/>
            </w:tcBorders>
            <w:shd w:fill="00CCFF" w:val="clear"/>
            <w:vAlign w:val="bottom"/>
          </w:tcPr>
          <w:p>
            <w:pPr>
              <w:pStyle w:val="Normal"/>
              <w:jc w:val="center"/>
              <w:rPr>
                <w:b/>
                <w:bCs/>
                <w:sz w:val="22"/>
                <w:szCs w:val="22"/>
              </w:rPr>
            </w:pPr>
            <w:r>
              <w:rPr>
                <w:b/>
                <w:bCs/>
                <w:sz w:val="22"/>
                <w:szCs w:val="22"/>
              </w:rPr>
              <w:t>CAF CUMULEE</w:t>
            </w:r>
          </w:p>
        </w:tc>
        <w:tc>
          <w:tcPr>
            <w:tcW w:w="127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2 485 727</w:t>
            </w:r>
          </w:p>
        </w:tc>
        <w:tc>
          <w:tcPr>
            <w:tcW w:w="141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4 965 159</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7 534 844</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10 137 976</w:t>
            </w:r>
          </w:p>
        </w:tc>
        <w:tc>
          <w:tcPr>
            <w:tcW w:w="1275" w:type="dxa"/>
            <w:gridSpan w:val="2"/>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12 708 258</w:t>
            </w:r>
          </w:p>
        </w:tc>
      </w:tr>
    </w:tbl>
    <w:p>
      <w:pPr>
        <w:pStyle w:val="Normal"/>
        <w:jc w:val="center"/>
        <w:rPr/>
      </w:pPr>
      <w:r>
        <w:rPr/>
        <w:drawing>
          <wp:inline distT="0" distB="0" distL="0" distR="0">
            <wp:extent cx="5400040" cy="26231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3"/>
                    <a:stretch>
                      <a:fillRect/>
                    </a:stretch>
                  </pic:blipFill>
                  <pic:spPr bwMode="auto">
                    <a:xfrm>
                      <a:off x="0" y="0"/>
                      <a:ext cx="5400040" cy="2623185"/>
                    </a:xfrm>
                    <a:prstGeom prst="rect">
                      <a:avLst/>
                    </a:prstGeom>
                  </pic:spPr>
                </pic:pic>
              </a:graphicData>
            </a:graphic>
          </wp:inline>
        </w:drawing>
      </w:r>
    </w:p>
    <w:p>
      <w:pPr>
        <w:pStyle w:val="Normal"/>
        <w:jc w:val="center"/>
        <w:rPr/>
      </w:pPr>
      <w:r>
        <w:rPr>
          <w:i/>
          <w:sz w:val="18"/>
        </w:rPr>
        <w:t>Graphique 2 – Chiffre d'affaires et résultat net sur 5 ans (millions de F CFA)</w:t>
      </w:r>
    </w:p>
    <w:p>
      <w:pPr>
        <w:pStyle w:val="Normal"/>
        <w:jc w:val="center"/>
        <w:rPr>
          <w:sz w:val="22"/>
          <w:szCs w:val="22"/>
          <w:lang w:val="fr-CI"/>
        </w:rPr>
      </w:pPr>
      <w:r>
        <w:rPr>
          <w:sz w:val="22"/>
          <w:szCs w:val="22"/>
          <w:lang w:val="fr-CI"/>
        </w:rPr>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30" w:name="__RefHeading___Toc234831724"/>
      <w:bookmarkEnd w:id="30"/>
      <w:r>
        <w:rPr>
          <w:rFonts w:cs="Times New Roman" w:ascii="Times New Roman" w:hAnsi="Times New Roman"/>
          <w:i w:val="false"/>
          <w:iCs w:val="false"/>
          <w:lang w:val="fr-CI"/>
        </w:rPr>
        <w:t>Tableau de financement annuel</w:t>
      </w:r>
    </w:p>
    <w:tbl>
      <w:tblPr>
        <w:tblW w:w="10070" w:type="dxa"/>
        <w:jc w:val="left"/>
        <w:tblInd w:w="65" w:type="dxa"/>
        <w:tblLayout w:type="fixed"/>
        <w:tblCellMar>
          <w:top w:w="0" w:type="dxa"/>
          <w:left w:w="70" w:type="dxa"/>
          <w:bottom w:w="0" w:type="dxa"/>
          <w:right w:w="70" w:type="dxa"/>
        </w:tblCellMar>
      </w:tblPr>
      <w:tblGrid>
        <w:gridCol w:w="2556"/>
        <w:gridCol w:w="1276"/>
        <w:gridCol w:w="1134"/>
        <w:gridCol w:w="1135"/>
        <w:gridCol w:w="1275"/>
        <w:gridCol w:w="142"/>
        <w:gridCol w:w="1276"/>
        <w:gridCol w:w="1275"/>
      </w:tblGrid>
      <w:tr>
        <w:trPr>
          <w:trHeight w:val="405" w:hRule="atLeast"/>
        </w:trPr>
        <w:tc>
          <w:tcPr>
            <w:tcW w:w="3832" w:type="dxa"/>
            <w:gridSpan w:val="2"/>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COMPTE DE TRESORERIE  (FCFA)</w:t>
            </w:r>
          </w:p>
        </w:tc>
        <w:tc>
          <w:tcPr>
            <w:tcW w:w="1134"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135"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417" w:type="dxa"/>
            <w:gridSpan w:val="2"/>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276" w:type="dxa"/>
            <w:tcBorders>
              <w:top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
          </w:p>
        </w:tc>
        <w:tc>
          <w:tcPr>
            <w:tcW w:w="1275" w:type="dxa"/>
            <w:tcBorders>
              <w:top w:val="single" w:sz="4" w:space="0" w:color="000000"/>
              <w:bottom w:val="single" w:sz="4" w:space="0" w:color="000000"/>
            </w:tcBorders>
            <w:shd w:fill="166B7F" w:val="clear"/>
            <w:vAlign w:val="bottom"/>
          </w:tcPr>
          <w:p>
            <w:pPr>
              <w:pStyle w:val="Normal"/>
              <w:rPr>
                <w:rFonts w:ascii="Cambria" w:hAnsi="Cambria" w:cs="Calibri"/>
                <w:b/>
                <w:bCs/>
                <w:color w:val="FFFFFF"/>
                <w:sz w:val="32"/>
                <w:szCs w:val="32"/>
              </w:rPr>
            </w:pPr>
            <w:r>
              <w:rPr/>
            </w:r>
          </w:p>
        </w:tc>
      </w:tr>
      <w:tr>
        <w:trPr>
          <w:trHeight w:val="375" w:hRule="atLeast"/>
        </w:trPr>
        <w:tc>
          <w:tcPr>
            <w:tcW w:w="255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27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134" w:type="dxa"/>
            <w:tcBorders/>
            <w:vAlign w:val="bottom"/>
          </w:tcPr>
          <w:p>
            <w:pPr>
              <w:pStyle w:val="Normal"/>
              <w:snapToGrid w:val="false"/>
              <w:rPr>
                <w:b/>
                <w:bCs/>
                <w:color w:val="000000"/>
                <w:sz w:val="22"/>
                <w:szCs w:val="22"/>
              </w:rPr>
            </w:pPr>
            <w:r>
              <w:rPr>
                <w:b/>
                <w:bCs/>
                <w:color w:val="000000"/>
                <w:sz w:val="22"/>
                <w:szCs w:val="22"/>
              </w:rPr>
            </w:r>
          </w:p>
        </w:tc>
        <w:tc>
          <w:tcPr>
            <w:tcW w:w="1135" w:type="dxa"/>
            <w:tcBorders/>
            <w:vAlign w:val="bottom"/>
          </w:tcPr>
          <w:p>
            <w:pPr>
              <w:pStyle w:val="Normal"/>
              <w:snapToGrid w:val="false"/>
              <w:rPr>
                <w:b/>
                <w:bCs/>
                <w:color w:val="000000"/>
                <w:sz w:val="22"/>
                <w:szCs w:val="22"/>
              </w:rPr>
            </w:pPr>
            <w:r>
              <w:rPr>
                <w:b/>
                <w:bCs/>
                <w:color w:val="000000"/>
                <w:sz w:val="22"/>
                <w:szCs w:val="22"/>
              </w:rPr>
            </w:r>
          </w:p>
        </w:tc>
        <w:tc>
          <w:tcPr>
            <w:tcW w:w="1417" w:type="dxa"/>
            <w:gridSpan w:val="2"/>
            <w:tcBorders/>
            <w:vAlign w:val="bottom"/>
          </w:tcPr>
          <w:p>
            <w:pPr>
              <w:pStyle w:val="Normal"/>
              <w:snapToGrid w:val="false"/>
              <w:rPr>
                <w:color w:val="000000"/>
                <w:sz w:val="22"/>
                <w:szCs w:val="22"/>
              </w:rPr>
            </w:pPr>
            <w:r>
              <w:rPr>
                <w:color w:val="000000"/>
                <w:sz w:val="22"/>
                <w:szCs w:val="22"/>
              </w:rPr>
            </w:r>
          </w:p>
        </w:tc>
        <w:tc>
          <w:tcPr>
            <w:tcW w:w="1276"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r>
      <w:tr>
        <w:trPr>
          <w:trHeight w:val="360"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AN0</w:t>
            </w:r>
          </w:p>
        </w:tc>
        <w:tc>
          <w:tcPr>
            <w:tcW w:w="1134"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13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gridSpan w:val="2"/>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AN4</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SOURCES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personnel</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Crédit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3 000 000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 Vert / Verdissement)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1 500 000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Dotation aux Amortissements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968 917</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953 917</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953 917</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947 250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176 000</w:t>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Résultats nets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1 516 811</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1 525 515</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1 615 768</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1 655 882</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2 394 282</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RESSOURCES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5 000 000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2 485 727</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2 479 432</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2 569 685</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2 603 132</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2 570 282</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EMPLOIS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d'établissements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15 000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d'investissement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3 985 000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BFR</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1 000 000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Remboursement de CREDIT MOYEN TERME</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818 182</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1 090 909</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1 090 909</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EMPLOIS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5 000 000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818 182</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1 090 909</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1 090 909</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r>
      <w:tr>
        <w:trPr>
          <w:trHeight w:val="300" w:hRule="atLeast"/>
        </w:trPr>
        <w:tc>
          <w:tcPr>
            <w:tcW w:w="2556" w:type="dxa"/>
            <w:tcBorders/>
            <w:vAlign w:val="bottom"/>
          </w:tcPr>
          <w:p>
            <w:pPr>
              <w:pStyle w:val="Normal"/>
              <w:snapToGrid w:val="false"/>
              <w:rPr>
                <w:rFonts w:ascii="Cambria" w:hAnsi="Cambria" w:cs="Calibri"/>
                <w:b/>
                <w:bCs/>
                <w:i/>
                <w:i/>
                <w:iCs/>
                <w:color w:val="000000"/>
                <w:sz w:val="22"/>
                <w:szCs w:val="22"/>
              </w:rPr>
            </w:pPr>
            <w:r>
              <w:rPr>
                <w:rFonts w:cs="Calibri" w:ascii="Cambria" w:hAnsi="Cambria"/>
                <w:b/>
                <w:bCs/>
                <w:i/>
                <w:iCs/>
                <w:color w:val="000000"/>
                <w:sz w:val="22"/>
                <w:szCs w:val="22"/>
              </w:rPr>
            </w:r>
          </w:p>
        </w:tc>
        <w:tc>
          <w:tcPr>
            <w:tcW w:w="1276" w:type="dxa"/>
            <w:tcBorders/>
            <w:vAlign w:val="bottom"/>
          </w:tcPr>
          <w:p>
            <w:pPr>
              <w:pStyle w:val="Normal"/>
              <w:snapToGrid w:val="false"/>
              <w:jc w:val="center"/>
              <w:rPr>
                <w:rFonts w:ascii="Cambria" w:hAnsi="Cambria" w:cs="Calibri"/>
                <w:b/>
                <w:bCs/>
                <w:i/>
                <w:i/>
                <w:iCs/>
                <w:color w:val="000000"/>
                <w:sz w:val="22"/>
                <w:szCs w:val="22"/>
              </w:rPr>
            </w:pPr>
            <w:r>
              <w:rPr>
                <w:rFonts w:cs="Calibri" w:ascii="Cambria" w:hAnsi="Cambria"/>
                <w:b/>
                <w:bCs/>
                <w:i/>
                <w:iCs/>
                <w:color w:val="000000"/>
                <w:sz w:val="22"/>
                <w:szCs w:val="22"/>
              </w:rPr>
            </w:r>
          </w:p>
        </w:tc>
        <w:tc>
          <w:tcPr>
            <w:tcW w:w="1134" w:type="dxa"/>
            <w:tcBorders/>
            <w:vAlign w:val="bottom"/>
          </w:tcPr>
          <w:p>
            <w:pPr>
              <w:pStyle w:val="Normal"/>
              <w:snapToGrid w:val="false"/>
              <w:jc w:val="center"/>
              <w:rPr>
                <w:color w:val="000000"/>
                <w:sz w:val="22"/>
                <w:szCs w:val="22"/>
              </w:rPr>
            </w:pPr>
            <w:r>
              <w:rPr>
                <w:color w:val="000000"/>
                <w:sz w:val="22"/>
                <w:szCs w:val="22"/>
              </w:rPr>
            </w:r>
          </w:p>
        </w:tc>
        <w:tc>
          <w:tcPr>
            <w:tcW w:w="1135" w:type="dxa"/>
            <w:tcBorders/>
            <w:vAlign w:val="bottom"/>
          </w:tcPr>
          <w:p>
            <w:pPr>
              <w:pStyle w:val="Normal"/>
              <w:snapToGrid w:val="false"/>
              <w:jc w:val="center"/>
              <w:rPr>
                <w:color w:val="000000"/>
                <w:sz w:val="22"/>
                <w:szCs w:val="22"/>
              </w:rPr>
            </w:pPr>
            <w:r>
              <w:rPr>
                <w:color w:val="000000"/>
                <w:sz w:val="22"/>
                <w:szCs w:val="22"/>
              </w:rPr>
            </w:r>
          </w:p>
        </w:tc>
        <w:tc>
          <w:tcPr>
            <w:tcW w:w="1275" w:type="dxa"/>
            <w:tcBorders/>
            <w:vAlign w:val="bottom"/>
          </w:tcPr>
          <w:p>
            <w:pPr>
              <w:pStyle w:val="Normal"/>
              <w:snapToGrid w:val="false"/>
              <w:jc w:val="center"/>
              <w:rPr>
                <w:color w:val="000000"/>
                <w:sz w:val="22"/>
                <w:szCs w:val="22"/>
              </w:rPr>
            </w:pPr>
            <w:r>
              <w:rPr>
                <w:color w:val="000000"/>
                <w:sz w:val="22"/>
                <w:szCs w:val="22"/>
              </w:rPr>
            </w:r>
          </w:p>
        </w:tc>
        <w:tc>
          <w:tcPr>
            <w:tcW w:w="1418" w:type="dxa"/>
            <w:gridSpan w:val="2"/>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r>
      <w:tr>
        <w:trPr>
          <w:trHeight w:val="315"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DEGAGEE</w:t>
            </w:r>
          </w:p>
        </w:tc>
        <w:tc>
          <w:tcPr>
            <w:tcW w:w="1276"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1 667 545</w:t>
            </w:r>
          </w:p>
        </w:tc>
        <w:tc>
          <w:tcPr>
            <w:tcW w:w="113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1 388 523</w:t>
            </w:r>
          </w:p>
        </w:tc>
        <w:tc>
          <w:tcPr>
            <w:tcW w:w="127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1 478 776</w:t>
            </w:r>
          </w:p>
        </w:tc>
        <w:tc>
          <w:tcPr>
            <w:tcW w:w="1418" w:type="dxa"/>
            <w:gridSpan w:val="2"/>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2 603 132</w:t>
            </w:r>
          </w:p>
        </w:tc>
        <w:tc>
          <w:tcPr>
            <w:tcW w:w="1275"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i/>
                <w:color w:val="FFFFFF"/>
                <w:sz w:val="22"/>
              </w:rPr>
              <w:t>2 570 282</w:t>
            </w:r>
          </w:p>
        </w:tc>
      </w:tr>
      <w:tr>
        <w:trPr>
          <w:trHeight w:val="315" w:hRule="atLeast"/>
        </w:trPr>
        <w:tc>
          <w:tcPr>
            <w:tcW w:w="2556"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CUMULEE</w:t>
            </w:r>
          </w:p>
        </w:tc>
        <w:tc>
          <w:tcPr>
            <w:tcW w:w="1276"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1 667 545</w:t>
            </w:r>
          </w:p>
        </w:tc>
        <w:tc>
          <w:tcPr>
            <w:tcW w:w="113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3 056 068</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4 534 844</w:t>
            </w:r>
          </w:p>
        </w:tc>
        <w:tc>
          <w:tcPr>
            <w:tcW w:w="1418" w:type="dxa"/>
            <w:gridSpan w:val="2"/>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7 137 976</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9 708 258</w:t>
            </w:r>
          </w:p>
        </w:tc>
      </w:tr>
    </w:tbl>
    <w:p>
      <w:pPr>
        <w:pStyle w:val="Normal"/>
        <w:jc w:val="center"/>
        <w:rPr/>
      </w:pPr>
      <w:r>
        <w:rPr/>
        <w:drawing>
          <wp:inline distT="0" distB="0" distL="0" distR="0">
            <wp:extent cx="5400040" cy="24682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4"/>
                    <a:stretch>
                      <a:fillRect/>
                    </a:stretch>
                  </pic:blipFill>
                  <pic:spPr bwMode="auto">
                    <a:xfrm>
                      <a:off x="0" y="0"/>
                      <a:ext cx="5400040" cy="2468245"/>
                    </a:xfrm>
                    <a:prstGeom prst="rect">
                      <a:avLst/>
                    </a:prstGeom>
                  </pic:spPr>
                </pic:pic>
              </a:graphicData>
            </a:graphic>
          </wp:inline>
        </w:drawing>
      </w:r>
    </w:p>
    <w:p>
      <w:pPr>
        <w:pStyle w:val="Normal"/>
        <w:jc w:val="center"/>
        <w:rPr/>
      </w:pPr>
      <w:r>
        <w:rPr>
          <w:i/>
          <w:sz w:val="18"/>
        </w:rPr>
        <w:t>Graphique 3 – Trésorerie cumulée sur 5 ans (millions de F CFA)</w:t>
      </w:r>
    </w:p>
    <w:p>
      <w:pPr>
        <w:pStyle w:val="Normal"/>
        <w:rPr>
          <w:lang w:val="fr-CI"/>
        </w:rPr>
      </w:pPr>
      <w:r>
        <w:rPr>
          <w:lang w:val="fr-CI"/>
        </w:rPr>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31" w:name="__RefHeading___Toc234831725"/>
      <w:bookmarkEnd w:id="31"/>
      <w:r>
        <w:rPr>
          <w:rFonts w:cs="Times New Roman" w:ascii="Times New Roman" w:hAnsi="Times New Roman"/>
          <w:i w:val="false"/>
          <w:iCs w:val="false"/>
          <w:lang w:val="fr-CI"/>
        </w:rPr>
        <w:t>Bilan de départ</w:t>
      </w:r>
    </w:p>
    <w:tbl>
      <w:tblPr>
        <w:tblW w:w="16240" w:type="dxa"/>
        <w:jc w:val="left"/>
        <w:tblInd w:w="65" w:type="dxa"/>
        <w:tblLayout w:type="fixed"/>
        <w:tblCellMar>
          <w:top w:w="0" w:type="dxa"/>
          <w:left w:w="70" w:type="dxa"/>
          <w:bottom w:w="0" w:type="dxa"/>
          <w:right w:w="70" w:type="dxa"/>
        </w:tblCellMar>
      </w:tblPr>
      <w:tblGrid>
        <w:gridCol w:w="9860"/>
        <w:gridCol w:w="1559"/>
        <w:gridCol w:w="3403"/>
        <w:gridCol w:w="1417"/>
      </w:tblGrid>
      <w:tr>
        <w:trPr>
          <w:trHeight w:val="300" w:hRule="atLeast"/>
        </w:trPr>
        <w:tc>
          <w:tcPr>
            <w:tcW w:w="9860" w:type="dxa"/>
            <w:tcBorders/>
            <w:shd w:fill="FFFFFF" w:val="clear"/>
            <w:vAlign w:val="bottom"/>
          </w:tcPr>
          <w:tbl>
            <w:tblPr>
              <w:tblW w:w="9711" w:type="dxa"/>
              <w:jc w:val="left"/>
              <w:tblInd w:w="225" w:type="dxa"/>
              <w:tblLayout w:type="fixed"/>
              <w:tblCellMar>
                <w:top w:w="0" w:type="dxa"/>
                <w:left w:w="70" w:type="dxa"/>
                <w:bottom w:w="0" w:type="dxa"/>
                <w:right w:w="70" w:type="dxa"/>
              </w:tblCellMar>
            </w:tblPr>
            <w:tblGrid>
              <w:gridCol w:w="3540"/>
              <w:gridCol w:w="1560"/>
              <w:gridCol w:w="3260"/>
              <w:gridCol w:w="1350"/>
            </w:tblGrid>
            <w:tr>
              <w:trPr>
                <w:trHeight w:val="360" w:hRule="atLeast"/>
              </w:trPr>
              <w:tc>
                <w:tcPr>
                  <w:tcW w:w="9710" w:type="dxa"/>
                  <w:gridSpan w:val="4"/>
                  <w:tcBorders>
                    <w:top w:val="single" w:sz="4" w:space="0" w:color="000000"/>
                    <w:left w:val="single" w:sz="4" w:space="0" w:color="000000"/>
                    <w:bottom w:val="single" w:sz="4" w:space="0" w:color="000000"/>
                  </w:tcBorders>
                  <w:shd w:fill="7F1F1F" w:val="clear"/>
                  <w:vAlign w:val="bottom"/>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BILAN DE DEMARRAGE TOUT TYPE PROJET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ACTIF</w:t>
                  </w:r>
                </w:p>
              </w:tc>
              <w:tc>
                <w:tcPr>
                  <w:tcW w:w="15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c>
                <w:tcPr>
                  <w:tcW w:w="32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PASSIF</w:t>
                  </w:r>
                </w:p>
              </w:tc>
              <w:tc>
                <w:tcPr>
                  <w:tcW w:w="135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r>
            <w:tr>
              <w:trPr>
                <w:trHeight w:val="540"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IMMOBILISE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incorporelles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(a)+(b)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Nature (a)</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Espèces (b)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500 000</w:t>
                  </w:r>
                </w:p>
              </w:tc>
            </w:tr>
            <w:tr>
              <w:trPr>
                <w:trHeight w:val="349"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Frais de constitution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15 000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Résultat net de l'exercice (bénéfice + ou perte -)</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Subventions d'investissement (Projet Vert)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t>1 500 000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Aménagement préparatoire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CAPITAUX PROPRES (I)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2 000 000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Formation des billons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DETTES FINANCIERES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Système goutte-à-goutte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750 000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Emprunts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3 000 000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Clôture en grillage 0,75 ha</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1 000 000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de crédit-bail et contrats assimilés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Bassin 40 m³</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250 000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financières diverses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Puits à grand diamètre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980 000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DETTES FINANCIERES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3 000 000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Balance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20 000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RESSOURCES STABLES ( I +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5 000 000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Paillage en plastique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Pulvérisateurs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75 000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Brouettes + Houes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 17 (2000 m)</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Outils divers (dabas, pioches, pelles)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IMMOBILISE (I)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4 000 000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CIRCULANT</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PASSIF CIRCULANT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Stocks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Matières premières et autres approvisionnements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480 000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En-cours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Créances et emplois assimilés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PASSIF CIRCULANT (III)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Clients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TRESORERIE – PASSIF</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CIRCULANT (II)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480 000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PASSIF (IV)</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TRESORERIE - ACTIF</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Banques, caisse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rPr>
                    <w:t>520 000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ACTIF (III)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520 000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420" w:hRule="atLeast"/>
              </w:trPr>
              <w:tc>
                <w:tcPr>
                  <w:tcW w:w="3540" w:type="dxa"/>
                  <w:tcBorders>
                    <w:top w:val="single" w:sz="4" w:space="0" w:color="000000"/>
                    <w:left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w:t>
                  </w:r>
                </w:p>
              </w:tc>
              <w:tc>
                <w:tcPr>
                  <w:tcW w:w="156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5 000 000</w:t>
                  </w:r>
                </w:p>
              </w:tc>
              <w:tc>
                <w:tcPr>
                  <w:tcW w:w="3260" w:type="dxa"/>
                  <w:tcBorders>
                    <w:top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I+II+III+IV )</w:t>
                  </w:r>
                </w:p>
              </w:tc>
              <w:tc>
                <w:tcPr>
                  <w:tcW w:w="135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5 000 000</w:t>
                  </w:r>
                </w:p>
              </w:tc>
            </w:tr>
            <w:tr>
              <w:trPr>
                <w:trHeight w:val="390" w:hRule="atLeast"/>
              </w:trPr>
              <w:tc>
                <w:tcPr>
                  <w:tcW w:w="354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156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3260" w:type="dxa"/>
                  <w:tcBorders/>
                  <w:shd w:fill="D9E2F3" w:val="clear"/>
                  <w:vAlign w:val="bottom"/>
                </w:tcPr>
                <w:p>
                  <w:pPr>
                    <w:pStyle w:val="Normal"/>
                    <w:snapToGrid w:val="false"/>
                    <w:jc w:val="center"/>
                    <w:rPr>
                      <w:color w:val="000000"/>
                      <w:sz w:val="22"/>
                      <w:szCs w:val="22"/>
                    </w:rPr>
                  </w:pPr>
                  <w:r>
                    <w:rPr>
                      <w:color w:val="000000"/>
                      <w:sz w:val="22"/>
                      <w:szCs w:val="22"/>
                    </w:rPr>
                  </w:r>
                </w:p>
              </w:tc>
              <w:tc>
                <w:tcPr>
                  <w:tcW w:w="1350" w:type="dxa"/>
                  <w:tcBorders/>
                  <w:shd w:fill="D9E2F3" w:val="clear"/>
                  <w:vAlign w:val="bottom"/>
                </w:tcPr>
                <w:p>
                  <w:pPr>
                    <w:pStyle w:val="Normal"/>
                    <w:snapToGrid w:val="false"/>
                    <w:jc w:val="center"/>
                    <w:rPr>
                      <w:color w:val="000000"/>
                      <w:sz w:val="22"/>
                      <w:szCs w:val="22"/>
                    </w:rPr>
                  </w:pPr>
                  <w:r>
                    <w:rPr>
                      <w:color w:val="000000"/>
                      <w:sz w:val="22"/>
                      <w:szCs w:val="22"/>
                    </w:rPr>
                  </w:r>
                </w:p>
              </w:tc>
            </w:tr>
          </w:tbl>
          <w:p>
            <w:pPr>
              <w:pStyle w:val="Normal"/>
              <w:rPr>
                <w:rFonts w:ascii="Cambria" w:hAnsi="Cambria" w:cs="Calibri"/>
                <w:color w:val="000000"/>
                <w:sz w:val="22"/>
                <w:szCs w:val="22"/>
              </w:rPr>
            </w:pPr>
            <w:r>
              <w:rPr/>
            </w:r>
          </w:p>
        </w:tc>
        <w:tc>
          <w:tcPr>
            <w:tcW w:w="1559" w:type="dxa"/>
            <w:tcBorders/>
            <w:shd w:fill="FFFFFF" w:val="clear"/>
            <w:vAlign w:val="bottom"/>
          </w:tcPr>
          <w:p>
            <w:pPr>
              <w:pStyle w:val="Normal"/>
              <w:rPr>
                <w:rFonts w:ascii="Cambria" w:hAnsi="Cambria" w:cs="Calibri"/>
                <w:color w:val="000000"/>
                <w:sz w:val="22"/>
                <w:szCs w:val="22"/>
              </w:rPr>
            </w:pPr>
            <w:r>
              <w:rPr/>
            </w:r>
          </w:p>
        </w:tc>
        <w:tc>
          <w:tcPr>
            <w:tcW w:w="3403" w:type="dxa"/>
            <w:tcBorders/>
            <w:shd w:fill="FFFFFF" w:val="clear"/>
            <w:vAlign w:val="bottom"/>
          </w:tcPr>
          <w:p>
            <w:pPr>
              <w:pStyle w:val="Normal"/>
              <w:rPr>
                <w:rFonts w:ascii="Cambria" w:hAnsi="Cambria" w:cs="Calibri"/>
                <w:color w:val="000000"/>
                <w:sz w:val="22"/>
                <w:szCs w:val="22"/>
              </w:rPr>
            </w:pPr>
            <w:r>
              <w:rPr/>
            </w:r>
          </w:p>
        </w:tc>
        <w:tc>
          <w:tcPr>
            <w:tcW w:w="1417" w:type="dxa"/>
            <w:tcBorders/>
            <w:shd w:fill="FFFFFF" w:val="clear"/>
            <w:vAlign w:val="bottom"/>
          </w:tcPr>
          <w:p>
            <w:pPr>
              <w:pStyle w:val="Normal"/>
              <w:rPr>
                <w:rFonts w:ascii="Cambria" w:hAnsi="Cambria" w:cs="Calibri"/>
                <w:color w:val="000000"/>
                <w:sz w:val="22"/>
                <w:szCs w:val="22"/>
              </w:rPr>
            </w:pPr>
            <w:r>
              <w:rPr/>
            </w:r>
          </w:p>
        </w:tc>
      </w:tr>
    </w:tbl>
    <w:p>
      <w:pPr>
        <w:pStyle w:val="Normal"/>
        <w:jc w:val="center"/>
        <w:rPr>
          <w:sz w:val="22"/>
          <w:szCs w:val="22"/>
          <w:lang w:val="fr-CI"/>
        </w:rPr>
      </w:pPr>
      <w:r>
        <w:rPr>
          <w:sz w:val="22"/>
          <w:szCs w:val="22"/>
          <w:lang w:val="fr-CI"/>
        </w:rPr>
      </w:r>
    </w:p>
    <w:p>
      <w:pPr>
        <w:pStyle w:val="Normal"/>
        <w:jc w:val="both"/>
        <w:rPr>
          <w:iCs/>
          <w:sz w:val="22"/>
          <w:szCs w:val="22"/>
        </w:rPr>
      </w:pPr>
      <w:r>
        <w:rPr>
          <w:iCs/>
          <w:sz w:val="22"/>
          <w:szCs w:val="22"/>
        </w:rPr>
        <w:t xml:space="preserve">Ce bilan de départ montre la situation de démarrage de l’entreprise ainsi que l’allocation des ressources provenant du financement du projet qui est de </w:t>
      </w:r>
      <w:r>
        <w:rPr>
          <w:b/>
          <w:bCs/>
          <w:iCs/>
          <w:sz w:val="22"/>
          <w:szCs w:val="22"/>
          <w:lang w:eastAsia="fr-CA"/>
        </w:rPr>
        <w:t>5 000 000</w:t>
      </w:r>
      <w:r>
        <w:rPr>
          <w:iCs/>
          <w:sz w:val="22"/>
          <w:szCs w:val="22"/>
        </w:rPr>
        <w:t xml:space="preserve"> FCFA.  </w:t>
      </w:r>
    </w:p>
    <w:p>
      <w:pPr>
        <w:pStyle w:val="Normal"/>
        <w:jc w:val="both"/>
        <w:rPr>
          <w:iCs/>
          <w:sz w:val="22"/>
          <w:szCs w:val="22"/>
        </w:rPr>
      </w:pPr>
      <w:r>
        <w:rPr>
          <w:iCs/>
          <w:sz w:val="22"/>
          <w:szCs w:val="22"/>
        </w:rPr>
      </w:r>
    </w:p>
    <w:p>
      <w:pPr>
        <w:pStyle w:val="Heading2"/>
        <w:keepLines/>
        <w:numPr>
          <w:ilvl w:val="1"/>
          <w:numId w:val="2"/>
        </w:numPr>
        <w:spacing w:before="0" w:after="120"/>
        <w:ind w:hanging="491" w:left="851" w:right="0"/>
        <w:jc w:val="both"/>
        <w:rPr>
          <w:rFonts w:ascii="Times New Roman" w:hAnsi="Times New Roman" w:cs="Times New Roman"/>
          <w:i w:val="false"/>
          <w:i w:val="false"/>
          <w:iCs w:val="false"/>
          <w:lang w:val="fr-CI"/>
        </w:rPr>
      </w:pPr>
      <w:bookmarkStart w:id="32" w:name="__RefHeading___Toc234831726"/>
      <w:bookmarkEnd w:id="32"/>
      <w:r>
        <w:rPr>
          <w:rFonts w:cs="Times New Roman" w:ascii="Times New Roman" w:hAnsi="Times New Roman"/>
          <w:i w:val="false"/>
          <w:iCs w:val="false"/>
          <w:lang w:val="fr-CI"/>
        </w:rPr>
        <w:t>Calcul de rentabilité</w:t>
      </w:r>
    </w:p>
    <w:tbl>
      <w:tblPr>
        <w:tblW w:w="9923" w:type="dxa"/>
        <w:jc w:val="left"/>
        <w:tblInd w:w="70" w:type="dxa"/>
        <w:tblLayout w:type="fixed"/>
        <w:tblCellMar>
          <w:top w:w="0" w:type="dxa"/>
          <w:left w:w="70" w:type="dxa"/>
          <w:bottom w:w="0" w:type="dxa"/>
          <w:right w:w="70" w:type="dxa"/>
        </w:tblCellMar>
      </w:tblPr>
      <w:tblGrid>
        <w:gridCol w:w="3544"/>
        <w:gridCol w:w="284"/>
        <w:gridCol w:w="2552"/>
        <w:gridCol w:w="142"/>
        <w:gridCol w:w="1559"/>
        <w:gridCol w:w="142"/>
        <w:gridCol w:w="1419"/>
        <w:gridCol w:w="280"/>
      </w:tblGrid>
      <w:tr>
        <w:trPr>
          <w:trHeight w:val="405" w:hRule="atLeast"/>
        </w:trPr>
        <w:tc>
          <w:tcPr>
            <w:tcW w:w="9642" w:type="dxa"/>
            <w:gridSpan w:val="7"/>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Fonts w:cs="Calibri" w:ascii="Cambria" w:hAnsi="Cambria"/>
                <w:b/>
                <w:bCs/>
                <w:color w:val="FFFFFF"/>
                <w:sz w:val="32"/>
                <w:szCs w:val="32"/>
              </w:rPr>
              <w:t>G. RATIOS D'ANALYSE ECONOMIQUE ET FINANCIERE (FCFA)</w:t>
            </w:r>
          </w:p>
        </w:tc>
        <w:tc>
          <w:tcPr>
            <w:tcW w:w="28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3262" w:type="dxa"/>
            <w:gridSpan w:val="4"/>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2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1. Le taux de valeur ajoutée</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Désignations/Années</w:t>
            </w:r>
          </w:p>
        </w:tc>
        <w:tc>
          <w:tcPr>
            <w:tcW w:w="2836" w:type="dxa"/>
            <w:gridSpan w:val="2"/>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AN1</w:t>
            </w:r>
          </w:p>
        </w:tc>
        <w:tc>
          <w:tcPr>
            <w:tcW w:w="1843" w:type="dxa"/>
            <w:gridSpan w:val="3"/>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AN2</w:t>
            </w:r>
          </w:p>
        </w:tc>
        <w:tc>
          <w:tcPr>
            <w:tcW w:w="1699" w:type="dxa"/>
            <w:gridSpan w:val="2"/>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AN3</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2 100 000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968 917</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953 917</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953 917</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255 273</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157 418</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55 309</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Résultats bruts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1 705 811</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1 723 965</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1 814 218</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VA</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5 030 000</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5 040 300</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5 028 444</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Chiffre d'affaires</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7 400 000</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7 548 000</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7 698 960</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de VA (%)</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68%</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67%</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65%</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moyen de la Valeur Ajoutée</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67%</w:t>
            </w:r>
          </w:p>
        </w:tc>
        <w:tc>
          <w:tcPr>
            <w:tcW w:w="1843" w:type="dxa"/>
            <w:gridSpan w:val="3"/>
            <w:tcBorders>
              <w:top w:val="single" w:sz="4" w:space="0" w:color="000000"/>
              <w:left w:val="single" w:sz="4" w:space="0" w:color="000000"/>
              <w:bottom w:val="single" w:sz="4" w:space="0" w:color="000000"/>
              <w:right w:val="single" w:sz="4" w:space="0" w:color="000000"/>
            </w:tcBorders>
            <w:shd w:fill="A9D18D" w:val="clear"/>
            <w:vAlign w:val="bottom"/>
          </w:tcPr>
          <w:p>
            <w:pPr>
              <w:pStyle w:val="Normal"/>
              <w:jc w:val="center"/>
              <w:rPr>
                <w:rFonts w:ascii="Cambria" w:hAnsi="Cambria" w:cs="Calibri"/>
                <w:b/>
                <w:bCs/>
                <w:i/>
                <w:i/>
                <w:iCs/>
                <w:sz w:val="22"/>
                <w:szCs w:val="22"/>
              </w:rPr>
            </w:pPr>
            <w:r>
              <w:rPr>
                <w:rFonts w:cs="Cambria" w:ascii="Cambria" w:hAnsi="Cambria"/>
                <w:b/>
                <w:i/>
                <w:sz w:val="22"/>
              </w:rPr>
              <w:t>67%</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w:t>
            </w:r>
          </w:p>
        </w:tc>
        <w:tc>
          <w:tcPr>
            <w:tcW w:w="2836" w:type="dxa"/>
            <w:gridSpan w:val="2"/>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Charges fixes</w:t>
            </w:r>
          </w:p>
        </w:tc>
        <w:tc>
          <w:tcPr>
            <w:tcW w:w="1843" w:type="dxa"/>
            <w:gridSpan w:val="3"/>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Charges variables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Achats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2 198 016</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Impôts et taxes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198 450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45"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Travaux-Fournitures et Services Extérieurs (TFSE)</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472 500</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Autres charges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0</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 et services de la dette</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55 309</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953 917</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right"/>
              <w:rPr>
                <w:rFonts w:ascii="Cambria" w:hAnsi="Cambria" w:cs="Calibri"/>
                <w:b/>
                <w:bCs/>
                <w:i/>
                <w:i/>
                <w:iCs/>
                <w:sz w:val="22"/>
                <w:szCs w:val="22"/>
              </w:rPr>
            </w:pPr>
            <w:r>
              <w:rPr>
                <w:rFonts w:cs="Calibri" w:ascii="Cambria" w:hAnsi="Cambria"/>
                <w:b/>
                <w:bCs/>
                <w:i/>
                <w:iCs/>
                <w:sz w:val="22"/>
                <w:szCs w:val="22"/>
              </w:rPr>
              <w:t>3 412 676</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libri" w:ascii="Cambria" w:hAnsi="Cambria"/>
                <w:b/>
                <w:bCs/>
                <w:i/>
                <w:iCs/>
                <w:sz w:val="22"/>
                <w:szCs w:val="22"/>
              </w:rPr>
              <w:t>2 670 516</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 (année 3)</w:t>
            </w:r>
          </w:p>
        </w:tc>
        <w:tc>
          <w:tcPr>
            <w:tcW w:w="2836" w:type="dxa"/>
            <w:gridSpan w:val="2"/>
            <w:tcBorders>
              <w:top w:val="single" w:sz="4" w:space="0" w:color="000000"/>
              <w:left w:val="single" w:sz="4" w:space="0" w:color="000000"/>
              <w:bottom w:val="single" w:sz="4" w:space="0" w:color="000000"/>
              <w:right w:val="single" w:sz="4" w:space="0" w:color="000000"/>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68%</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 xml:space="preserve">    </w:t>
            </w:r>
            <w:r>
              <w:rPr>
                <w:rFonts w:cs="Calibri" w:ascii="Cambria" w:hAnsi="Cambria"/>
                <w:b/>
                <w:bCs/>
                <w:i/>
                <w:iCs/>
                <w:color w:val="FFFFFF"/>
                <w:sz w:val="22"/>
                <w:szCs w:val="22"/>
              </w:rPr>
              <w:t>Seuil de rentabilité (année 1)</w:t>
            </w:r>
          </w:p>
        </w:tc>
        <w:tc>
          <w:tcPr>
            <w:tcW w:w="2836" w:type="dxa"/>
            <w:gridSpan w:val="2"/>
            <w:tcBorders>
              <w:top w:val="single" w:sz="4" w:space="0" w:color="000000"/>
              <w:left w:val="single" w:sz="4" w:space="0" w:color="000000"/>
              <w:bottom w:val="single" w:sz="4" w:space="0" w:color="000000"/>
              <w:right w:val="single" w:sz="4" w:space="0" w:color="000000"/>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70%</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18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3. Le taux de rentabilité interne (TRI)</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41,6%</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4. La valeur actuelle nette (VAN)</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ind w:firstLine="212" w:left="-212" w:right="0"/>
              <w:jc w:val="center"/>
              <w:rPr>
                <w:rFonts w:ascii="Cambria" w:hAnsi="Cambria" w:cs="Cambria"/>
                <w:b/>
                <w:i/>
                <w:i/>
                <w:color w:val="FFFFFF"/>
                <w:sz w:val="22"/>
              </w:rPr>
            </w:pPr>
            <w:r>
              <w:rPr>
                <w:rFonts w:cs="Cambria" w:ascii="Cambria" w:hAnsi="Cambria"/>
                <w:b/>
                <w:i/>
                <w:color w:val="FFFFFF"/>
                <w:sz w:val="22"/>
              </w:rPr>
              <w:t>5 129 882</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F.CFA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135"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6380"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5.  Délais de récupération (sans actualisation, avec actualisation)</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Sans actualisation</w:t>
            </w:r>
          </w:p>
        </w:tc>
        <w:tc>
          <w:tcPr>
            <w:tcW w:w="2552"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2 ans et 0 mois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Avec actualisation au taux de</w:t>
            </w:r>
          </w:p>
        </w:tc>
        <w:tc>
          <w:tcPr>
            <w:tcW w:w="255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w:t>
            </w:r>
          </w:p>
        </w:tc>
        <w:tc>
          <w:tcPr>
            <w:tcW w:w="1843" w:type="dxa"/>
            <w:gridSpan w:val="3"/>
            <w:tcBorders>
              <w:top w:val="single" w:sz="4" w:space="0" w:color="000000"/>
              <w:left w:val="single" w:sz="4" w:space="0" w:color="000000"/>
              <w:bottom w:val="single" w:sz="4" w:space="0" w:color="000000"/>
              <w:right w:val="single" w:sz="4" w:space="0" w:color="000000"/>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2 ans et 3 mois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552"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585" w:hRule="atLeast"/>
        </w:trPr>
        <w:tc>
          <w:tcPr>
            <w:tcW w:w="3828"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6. Le taux de marge nette de la troisième année</w:t>
              <w:br/>
            </w:r>
            <w:r>
              <w:rPr>
                <w:rFonts w:cs="Calibri" w:ascii="Cambira;Cambria;Cambria" w:hAnsi="Cambira;Cambria;Cambria"/>
                <w:i/>
                <w:iCs/>
                <w:sz w:val="22"/>
                <w:szCs w:val="22"/>
              </w:rPr>
              <w:t>(résultat net/Chiffres d'affaires)</w:t>
            </w:r>
          </w:p>
        </w:tc>
        <w:tc>
          <w:tcPr>
            <w:tcW w:w="2552" w:type="dxa"/>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mbria" w:ascii="Cambria" w:hAnsi="Cambria"/>
                <w:b/>
                <w:i/>
                <w:color w:val="FFFFFF"/>
                <w:sz w:val="22"/>
              </w:rPr>
              <w:t>21%</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90" w:hRule="atLeast"/>
        </w:trPr>
        <w:tc>
          <w:tcPr>
            <w:tcW w:w="3828"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rFonts w:ascii="Cambira;Cambria;Cambria" w:hAnsi="Cambira;Cambria;Cambria" w:cs="Calibri"/>
                <w:b/>
                <w:bCs/>
                <w:color w:val="000080"/>
                <w:sz w:val="22"/>
                <w:szCs w:val="22"/>
              </w:rPr>
            </w:pPr>
            <w:r>
              <w:rPr/>
            </w:r>
          </w:p>
        </w:tc>
        <w:tc>
          <w:tcPr>
            <w:tcW w:w="2694"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rFonts w:ascii="Cambira;Cambria;Cambria" w:hAnsi="Cambira;Cambria;Cambria" w:cs="Calibri"/>
                <w:b/>
                <w:bCs/>
                <w:color w:val="000080"/>
                <w:sz w:val="22"/>
                <w:szCs w:val="22"/>
              </w:rPr>
            </w:pPr>
            <w:r>
              <w:rPr/>
            </w:r>
          </w:p>
        </w:tc>
        <w:tc>
          <w:tcPr>
            <w:tcW w:w="1559"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841"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bl>
    <w:p>
      <w:pPr>
        <w:pStyle w:val="Normal"/>
        <w:rPr/>
      </w:pPr>
      <w:r>
        <w:rPr>
          <w:b/>
          <w:i w:val="false"/>
          <w:sz w:val="22"/>
        </w:rPr>
        <w:t>Analyse de sensibilité</w:t>
      </w:r>
    </w:p>
    <w:p>
      <w:pPr>
        <w:pStyle w:val="Normal"/>
        <w:rPr/>
      </w:pPr>
      <w:r>
        <w:rPr>
          <w:b w:val="false"/>
          <w:i w:val="false"/>
          <w:sz w:val="20"/>
        </w:rPr>
        <w:t>Les indicateurs ont été recalculés dans l’hypothèse d’une baisse de 20 % puis de 30 % des quantités vendues (rendement) ou des prix de vente, toutes les charges étant maintenues.</w:t>
      </w:r>
    </w:p>
    <w:tbl>
      <w:tblPr>
        <w:tblW w:w="9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928"/>
        <w:gridCol w:w="1928"/>
        <w:gridCol w:w="1928"/>
        <w:gridCol w:w="1928"/>
      </w:tblGrid>
      <w:tr>
        <w:trPr/>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Scénario</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Chiffre d’affaires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Résultat net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TRI</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Couverture du principal an 2 (CAF / principal)</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Scénario de base</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7 400 000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1 516 811</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41,6%</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2,27</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−20 %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5 920 000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36 811</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0,89</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−30 %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5 180 000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-703 189</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non défini (négatif)</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0,20</w:t>
            </w:r>
          </w:p>
        </w:tc>
      </w:tr>
    </w:tbl>
    <w:p>
      <w:pPr>
        <w:pStyle w:val="Normal"/>
        <w:rPr/>
      </w:pPr>
      <w:r>
        <w:rPr>
          <w:b w:val="false"/>
          <w:i/>
          <w:sz w:val="18"/>
        </w:rPr>
        <w:t>Valeur actuelle nette du scénario de base : 5 129 882 F CFA à 8 % (taux du prêt), 4 613 429 F CFA à 10 % et 4 137 823 F CFA à 12 % (coût d’opportunité du capital). Le coefficient de couverture rapporte la capacité d’autofinancement de l’année 2 au principal remboursé la même année ; il doit rester supérieur à 1,2 pour que le remboursement soit assuré.</w:t>
      </w:r>
    </w:p>
    <w:p>
      <w:pPr>
        <w:pStyle w:val="Normal"/>
        <w:rPr/>
      </w:pPr>
      <w:r>
        <w:rPr/>
      </w:r>
    </w:p>
    <w:p>
      <w:pPr>
        <w:pStyle w:val="Heading1"/>
        <w:keepLines/>
        <w:numPr>
          <w:ilvl w:val="0"/>
          <w:numId w:val="2"/>
        </w:numPr>
        <w:spacing w:before="240" w:after="0"/>
        <w:ind w:hanging="431" w:left="431" w:right="0"/>
        <w:jc w:val="both"/>
        <w:rPr>
          <w:rFonts w:ascii="Times New Roman" w:hAnsi="Times New Roman" w:cs="Times New Roman"/>
          <w:caps/>
          <w:color w:val="166B7F"/>
          <w:kern w:val="0"/>
          <w:sz w:val="24"/>
          <w:szCs w:val="24"/>
          <w:lang w:eastAsia="en-US"/>
        </w:rPr>
      </w:pPr>
      <w:bookmarkStart w:id="33" w:name="__RefHeading___Toc234831727"/>
      <w:bookmarkEnd w:id="33"/>
      <w:r>
        <w:rPr>
          <w:rFonts w:cs="Times New Roman" w:ascii="Times New Roman" w:hAnsi="Times New Roman"/>
          <w:caps/>
          <w:color w:val="166B7F"/>
          <w:kern w:val="0"/>
          <w:sz w:val="24"/>
          <w:szCs w:val="24"/>
          <w:lang w:eastAsia="en-US"/>
        </w:rPr>
        <w:t>ANALYSE DES FORCES, FAIBLESSES, OPPORTUNITÉS ET MENACES</w:t>
      </w:r>
    </w:p>
    <w:p>
      <w:pPr>
        <w:pStyle w:val="Normal"/>
        <w:rPr>
          <w:sz w:val="22"/>
          <w:szCs w:val="22"/>
          <w:lang w:val="fr-CI"/>
        </w:rPr>
      </w:pPr>
      <w:r>
        <w:rPr>
          <w:sz w:val="22"/>
          <w:szCs w:val="22"/>
        </w:rPr>
        <w:t xml:space="preserve">L’analyse FFOM montre que l’entreprise </w:t>
      </w:r>
      <w:r>
        <w:rPr>
          <w:b/>
          <w:bCs/>
          <w:sz w:val="22"/>
          <w:szCs w:val="22"/>
        </w:rPr>
        <w:t>ZÉRÉ KÈNÈ &amp; DÉLICE</w:t>
      </w:r>
      <w:r>
        <w:rPr>
          <w:sz w:val="22"/>
          <w:szCs w:val="22"/>
        </w:rPr>
        <w:t xml:space="preserve"> dispose d’importantes forces qu’elle doit bien exploiter et mettre en valeur pour mieux se positionner face aux concurrents informels. L’expérience du promoteur dans la production de pastèque en contre-saison, la maîtrise des itinéraires techniques et la bonne planification des deux campagnes annuelles constituent des atouts majeurs. Les opportunités doivent être bien analysées et saisies à temps, notamment la forte demande en pastèque à Bamako, l’appui de l’APEJ/OIT à travers la subvention « Projet Vert » et la possibilité d’extension progressive de la superficie exploitée. Les faiblesses identifiées (insuffisance de financement, équipement limité) doivent être atténuées à travers des actions efficaces de communication et de recherche de partenariats. Les menaces qui sont réelles (concurrence, aléas climatiques, volatilité des prix) sont des signaux à suivre et analyser afin de mieux anticiper leurs effets néfastes pour le projet.</w:t>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tbl>
      <w:tblPr>
        <w:tblW w:w="10101" w:type="dxa"/>
        <w:jc w:val="left"/>
        <w:tblInd w:w="0" w:type="dxa"/>
        <w:tblLayout w:type="fixed"/>
        <w:tblCellMar>
          <w:top w:w="0" w:type="dxa"/>
          <w:left w:w="108" w:type="dxa"/>
          <w:bottom w:w="0" w:type="dxa"/>
          <w:right w:w="108" w:type="dxa"/>
        </w:tblCellMar>
      </w:tblPr>
      <w:tblGrid>
        <w:gridCol w:w="6486"/>
        <w:gridCol w:w="3614"/>
      </w:tblGrid>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FORCES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FAIBLESSE</w:t>
            </w:r>
          </w:p>
        </w:tc>
      </w:tr>
      <w:tr>
        <w:trPr>
          <w:trHeight w:val="2325" w:hRule="atLeast"/>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rPr>
                <w:sz w:val="22"/>
                <w:szCs w:val="22"/>
              </w:rPr>
            </w:pPr>
            <w:r>
              <w:rPr>
                <w:sz w:val="22"/>
                <w:szCs w:val="22"/>
              </w:rPr>
              <w:t>Expérience du promoteur dans la production de pastèque en contre-saison ;</w:t>
            </w:r>
          </w:p>
          <w:p>
            <w:pPr>
              <w:pStyle w:val="Normal"/>
              <w:numPr>
                <w:ilvl w:val="0"/>
                <w:numId w:val="17"/>
              </w:numPr>
              <w:rPr>
                <w:sz w:val="22"/>
                <w:szCs w:val="22"/>
              </w:rPr>
            </w:pPr>
            <w:r>
              <w:rPr>
                <w:sz w:val="22"/>
                <w:szCs w:val="22"/>
              </w:rPr>
              <w:t>Maîtrise du processus de production et des itinéraires techniques de la pastèque ;</w:t>
            </w:r>
          </w:p>
          <w:p>
            <w:pPr>
              <w:pStyle w:val="Normal"/>
              <w:numPr>
                <w:ilvl w:val="0"/>
                <w:numId w:val="17"/>
              </w:numPr>
              <w:rPr>
                <w:sz w:val="22"/>
                <w:szCs w:val="22"/>
              </w:rPr>
            </w:pPr>
            <w:r>
              <w:rPr>
                <w:sz w:val="22"/>
                <w:szCs w:val="22"/>
              </w:rPr>
              <w:t>Bonne planification et anticipation des deux campagnes annuelles ;</w:t>
            </w:r>
          </w:p>
          <w:p>
            <w:pPr>
              <w:pStyle w:val="Normal"/>
              <w:numPr>
                <w:ilvl w:val="0"/>
                <w:numId w:val="17"/>
              </w:numPr>
              <w:rPr>
                <w:sz w:val="22"/>
                <w:szCs w:val="22"/>
              </w:rPr>
            </w:pPr>
            <w:r>
              <w:rPr>
                <w:sz w:val="22"/>
                <w:szCs w:val="22"/>
              </w:rPr>
              <w:t>Volonté de fidéliser la clientèle et de lui offrir un bon accueil ;</w:t>
            </w:r>
          </w:p>
          <w:p>
            <w:pPr>
              <w:pStyle w:val="Normal"/>
              <w:numPr>
                <w:ilvl w:val="0"/>
                <w:numId w:val="17"/>
              </w:numPr>
              <w:rPr>
                <w:sz w:val="22"/>
                <w:szCs w:val="22"/>
              </w:rPr>
            </w:pPr>
            <w:r>
              <w:rPr>
                <w:sz w:val="22"/>
                <w:szCs w:val="22"/>
              </w:rPr>
              <w:t>Bonne connaissance du marché des produits maraîchers à Bamako et Sanankoroba ;</w:t>
            </w:r>
          </w:p>
          <w:p>
            <w:pPr>
              <w:pStyle w:val="Normal"/>
              <w:numPr>
                <w:ilvl w:val="0"/>
                <w:numId w:val="17"/>
              </w:numPr>
              <w:rPr>
                <w:sz w:val="22"/>
                <w:szCs w:val="22"/>
              </w:rPr>
            </w:pPr>
            <w:r>
              <w:rPr>
                <w:sz w:val="22"/>
                <w:szCs w:val="22"/>
              </w:rPr>
              <w:t>Existence de personnel qualifié et expérimenté ;</w:t>
            </w:r>
          </w:p>
          <w:p>
            <w:pPr>
              <w:pStyle w:val="Normal"/>
              <w:numPr>
                <w:ilvl w:val="0"/>
                <w:numId w:val="17"/>
              </w:numPr>
              <w:rPr>
                <w:sz w:val="22"/>
                <w:szCs w:val="22"/>
              </w:rPr>
            </w:pPr>
            <w:r>
              <w:rPr>
                <w:sz w:val="22"/>
                <w:szCs w:val="22"/>
              </w:rPr>
              <w:t>Utilisation prioritaire de la fumure organique et peu d’engrais chimiques ;</w:t>
            </w:r>
          </w:p>
          <w:p>
            <w:pPr>
              <w:pStyle w:val="Normal"/>
              <w:numPr>
                <w:ilvl w:val="0"/>
                <w:numId w:val="17"/>
              </w:numPr>
              <w:rPr>
                <w:sz w:val="22"/>
                <w:szCs w:val="22"/>
              </w:rPr>
            </w:pPr>
            <w:r>
              <w:rPr>
                <w:sz w:val="22"/>
                <w:szCs w:val="22"/>
              </w:rPr>
              <w:t>Marque porteuse de sens (santé et délice)</w:t>
            </w:r>
          </w:p>
          <w:p>
            <w:pPr>
              <w:pStyle w:val="Normal"/>
              <w:numPr>
                <w:ilvl w:val="0"/>
                <w:numId w:val="17"/>
              </w:numPr>
              <w:rPr>
                <w:sz w:val="22"/>
                <w:szCs w:val="22"/>
              </w:rPr>
            </w:pPr>
            <w:r>
              <w:rPr>
                <w:sz w:val="22"/>
                <w:szCs w:val="22"/>
              </w:rPr>
              <w:t>Amélioration de la fertilité des sols par le compost ;</w:t>
            </w:r>
          </w:p>
          <w:p>
            <w:pPr>
              <w:pStyle w:val="Normal"/>
              <w:ind w:left="567" w:right="0"/>
              <w:rPr>
                <w:bCs/>
                <w:sz w:val="22"/>
                <w:szCs w:val="22"/>
              </w:rPr>
            </w:pPr>
            <w:r>
              <w:rPr>
                <w:bCs/>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6"/>
              </w:numPr>
              <w:tabs>
                <w:tab w:val="clear" w:pos="708"/>
                <w:tab w:val="left" w:pos="720" w:leader="none"/>
              </w:tabs>
              <w:rPr>
                <w:sz w:val="22"/>
                <w:szCs w:val="22"/>
              </w:rPr>
            </w:pPr>
            <w:r>
              <w:rPr>
                <w:sz w:val="22"/>
                <w:szCs w:val="22"/>
              </w:rPr>
              <w:t>Insuffisance de financement propre (apport limité à 10 %) ;</w:t>
            </w:r>
          </w:p>
          <w:p>
            <w:pPr>
              <w:pStyle w:val="Normal"/>
              <w:numPr>
                <w:ilvl w:val="0"/>
                <w:numId w:val="16"/>
              </w:numPr>
              <w:tabs>
                <w:tab w:val="clear" w:pos="708"/>
                <w:tab w:val="left" w:pos="720" w:leader="none"/>
              </w:tabs>
              <w:rPr>
                <w:sz w:val="22"/>
                <w:szCs w:val="22"/>
              </w:rPr>
            </w:pPr>
            <w:r>
              <w:rPr>
                <w:sz w:val="22"/>
                <w:szCs w:val="22"/>
              </w:rPr>
              <w:t>Superficie exploitée encore limitée (0,75 ha sur 10 ha disponibles) ;</w:t>
            </w:r>
          </w:p>
          <w:p>
            <w:pPr>
              <w:pStyle w:val="Normal"/>
              <w:numPr>
                <w:ilvl w:val="0"/>
                <w:numId w:val="16"/>
              </w:numPr>
              <w:tabs>
                <w:tab w:val="clear" w:pos="708"/>
                <w:tab w:val="left" w:pos="720" w:leader="none"/>
              </w:tabs>
              <w:rPr>
                <w:sz w:val="22"/>
                <w:szCs w:val="22"/>
              </w:rPr>
            </w:pPr>
            <w:r>
              <w:rPr>
                <w:sz w:val="22"/>
                <w:szCs w:val="22"/>
              </w:rPr>
              <w:t>Faible niveau d’équipement de l’exploitation au démarrage ;</w:t>
            </w:r>
          </w:p>
          <w:p>
            <w:pPr>
              <w:pStyle w:val="Normal"/>
              <w:numPr>
                <w:ilvl w:val="0"/>
                <w:numId w:val="16"/>
              </w:numPr>
              <w:tabs>
                <w:tab w:val="clear" w:pos="708"/>
                <w:tab w:val="left" w:pos="720" w:leader="none"/>
              </w:tabs>
              <w:rPr>
                <w:sz w:val="22"/>
                <w:szCs w:val="22"/>
              </w:rPr>
            </w:pPr>
            <w:r>
              <w:rPr>
                <w:sz w:val="22"/>
                <w:szCs w:val="22"/>
              </w:rPr>
              <w:t>Qualité et disponibilité irrégulières des intrants organiques ;</w:t>
            </w:r>
          </w:p>
          <w:p>
            <w:pPr>
              <w:pStyle w:val="Normal"/>
              <w:numPr>
                <w:ilvl w:val="0"/>
                <w:numId w:val="16"/>
              </w:numPr>
              <w:tabs>
                <w:tab w:val="clear" w:pos="708"/>
                <w:tab w:val="left" w:pos="720" w:leader="none"/>
              </w:tabs>
              <w:rPr>
                <w:sz w:val="22"/>
                <w:szCs w:val="22"/>
              </w:rPr>
            </w:pPr>
            <w:r>
              <w:rPr>
                <w:sz w:val="22"/>
                <w:szCs w:val="22"/>
              </w:rPr>
              <w:t>Dépendance à l’irrigation (puits, goutte-à-goutte) ;</w:t>
            </w:r>
          </w:p>
          <w:p>
            <w:pPr>
              <w:pStyle w:val="Normal"/>
              <w:numPr>
                <w:ilvl w:val="0"/>
                <w:numId w:val="16"/>
              </w:numPr>
              <w:tabs>
                <w:tab w:val="clear" w:pos="708"/>
                <w:tab w:val="left" w:pos="720" w:leader="none"/>
              </w:tabs>
              <w:rPr>
                <w:sz w:val="22"/>
                <w:szCs w:val="22"/>
              </w:rPr>
            </w:pPr>
            <w:r>
              <w:rPr>
                <w:sz w:val="22"/>
                <w:szCs w:val="22"/>
              </w:rPr>
              <w:t>Notoriété de la marque ZÉRÉ KÈNÈ &amp; DÉLICE encore à construire ;</w:t>
            </w:r>
          </w:p>
          <w:p>
            <w:pPr>
              <w:pStyle w:val="Normal"/>
              <w:numPr>
                <w:ilvl w:val="0"/>
                <w:numId w:val="16"/>
              </w:numPr>
              <w:tabs>
                <w:tab w:val="clear" w:pos="708"/>
                <w:tab w:val="left" w:pos="720" w:leader="none"/>
              </w:tabs>
              <w:rPr>
                <w:sz w:val="22"/>
                <w:szCs w:val="22"/>
              </w:rPr>
            </w:pPr>
            <w:r>
              <w:rPr>
                <w:sz w:val="22"/>
                <w:szCs w:val="22"/>
              </w:rPr>
              <w:t>Absence de certification formelle (bio, traçabilité)</w:t>
            </w:r>
          </w:p>
          <w:p>
            <w:pPr>
              <w:pStyle w:val="Normal"/>
              <w:rPr>
                <w:sz w:val="22"/>
                <w:szCs w:val="22"/>
              </w:rPr>
            </w:pPr>
            <w:r>
              <w:rPr>
                <w:sz w:val="22"/>
                <w:szCs w:val="22"/>
              </w:rPr>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OPPORTUNITES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MENACES</w:t>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rPr>
                <w:sz w:val="22"/>
                <w:szCs w:val="22"/>
              </w:rPr>
            </w:pPr>
            <w:r>
              <w:rPr>
                <w:sz w:val="22"/>
                <w:szCs w:val="22"/>
              </w:rPr>
              <w:t>Forte demande en pastèque à Bamako et environs ;</w:t>
            </w:r>
          </w:p>
          <w:p>
            <w:pPr>
              <w:pStyle w:val="Normal"/>
              <w:numPr>
                <w:ilvl w:val="0"/>
                <w:numId w:val="17"/>
              </w:numPr>
              <w:rPr>
                <w:sz w:val="22"/>
                <w:szCs w:val="22"/>
              </w:rPr>
            </w:pPr>
            <w:r>
              <w:rPr>
                <w:sz w:val="22"/>
                <w:szCs w:val="22"/>
              </w:rPr>
              <w:t>Existence de marchés de gros, détaillants et restaurants ;</w:t>
            </w:r>
          </w:p>
          <w:p>
            <w:pPr>
              <w:pStyle w:val="Normal"/>
              <w:numPr>
                <w:ilvl w:val="0"/>
                <w:numId w:val="17"/>
              </w:numPr>
              <w:rPr>
                <w:sz w:val="22"/>
                <w:szCs w:val="22"/>
              </w:rPr>
            </w:pPr>
            <w:r>
              <w:rPr>
                <w:sz w:val="22"/>
                <w:szCs w:val="22"/>
              </w:rPr>
              <w:t>Appui APEJ/OIT avec subvention « Projet Vert » (30 %) ;</w:t>
            </w:r>
          </w:p>
          <w:p>
            <w:pPr>
              <w:pStyle w:val="Normal"/>
              <w:numPr>
                <w:ilvl w:val="0"/>
                <w:numId w:val="17"/>
              </w:numPr>
              <w:rPr>
                <w:sz w:val="22"/>
                <w:szCs w:val="22"/>
              </w:rPr>
            </w:pPr>
            <w:r>
              <w:rPr>
                <w:sz w:val="22"/>
                <w:szCs w:val="22"/>
              </w:rPr>
              <w:t>Possibilité d’extension progressive jusqu’à 2,5 ha et plus ;</w:t>
            </w:r>
          </w:p>
          <w:p>
            <w:pPr>
              <w:pStyle w:val="Normal"/>
              <w:numPr>
                <w:ilvl w:val="0"/>
                <w:numId w:val="17"/>
              </w:numPr>
              <w:rPr>
                <w:sz w:val="22"/>
                <w:szCs w:val="22"/>
              </w:rPr>
            </w:pPr>
            <w:r>
              <w:rPr>
                <w:sz w:val="22"/>
                <w:szCs w:val="22"/>
              </w:rPr>
              <w:t>Développement futur de produits dérivés (jus, séchage) ;</w:t>
            </w:r>
          </w:p>
          <w:p>
            <w:pPr>
              <w:pStyle w:val="Normal"/>
              <w:numPr>
                <w:ilvl w:val="0"/>
                <w:numId w:val="17"/>
              </w:numPr>
              <w:rPr>
                <w:sz w:val="22"/>
                <w:szCs w:val="22"/>
              </w:rPr>
            </w:pPr>
            <w:r>
              <w:rPr>
                <w:sz w:val="22"/>
                <w:szCs w:val="22"/>
              </w:rPr>
              <w:t>Politique de substitution aux importations de fruits.</w:t>
            </w:r>
          </w:p>
          <w:p>
            <w:pPr>
              <w:pStyle w:val="Normal"/>
              <w:ind w:left="720" w:right="0"/>
              <w:rPr>
                <w:sz w:val="22"/>
                <w:szCs w:val="22"/>
              </w:rPr>
            </w:pPr>
            <w:r>
              <w:rPr>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rPr>
                <w:sz w:val="22"/>
                <w:szCs w:val="22"/>
              </w:rPr>
            </w:pPr>
            <w:r>
              <w:rPr>
                <w:sz w:val="22"/>
                <w:szCs w:val="22"/>
              </w:rPr>
              <w:t>Forte concurrence des producteurs informels et des grossistes ;</w:t>
            </w:r>
          </w:p>
          <w:p>
            <w:pPr>
              <w:pStyle w:val="Normal"/>
              <w:numPr>
                <w:ilvl w:val="0"/>
                <w:numId w:val="17"/>
              </w:numPr>
              <w:rPr>
                <w:sz w:val="22"/>
                <w:szCs w:val="22"/>
              </w:rPr>
            </w:pPr>
            <w:r>
              <w:rPr>
                <w:sz w:val="22"/>
                <w:szCs w:val="22"/>
              </w:rPr>
              <w:t>Attaques de ravageurs et maladies (pucerons, mildiou, flétrissement) ;</w:t>
            </w:r>
          </w:p>
          <w:p>
            <w:pPr>
              <w:pStyle w:val="Normal"/>
              <w:numPr>
                <w:ilvl w:val="0"/>
                <w:numId w:val="17"/>
              </w:numPr>
              <w:rPr>
                <w:sz w:val="22"/>
                <w:szCs w:val="22"/>
              </w:rPr>
            </w:pPr>
            <w:r>
              <w:rPr>
                <w:sz w:val="22"/>
                <w:szCs w:val="22"/>
              </w:rPr>
              <w:t>Aléas climatiques (sécheresse, fortes chaleurs, pluies tardives) ;</w:t>
            </w:r>
          </w:p>
          <w:p>
            <w:pPr>
              <w:pStyle w:val="Normal"/>
              <w:numPr>
                <w:ilvl w:val="0"/>
                <w:numId w:val="17"/>
              </w:numPr>
              <w:rPr>
                <w:sz w:val="22"/>
                <w:szCs w:val="22"/>
              </w:rPr>
            </w:pPr>
            <w:r>
              <w:rPr>
                <w:sz w:val="22"/>
                <w:szCs w:val="22"/>
              </w:rPr>
              <w:t>Volatilité des prix en période d’abondance ;</w:t>
            </w:r>
          </w:p>
          <w:p>
            <w:pPr>
              <w:pStyle w:val="Normal"/>
              <w:numPr>
                <w:ilvl w:val="0"/>
                <w:numId w:val="17"/>
              </w:numPr>
              <w:rPr>
                <w:sz w:val="22"/>
                <w:szCs w:val="22"/>
              </w:rPr>
            </w:pPr>
            <w:r>
              <w:rPr>
                <w:sz w:val="22"/>
                <w:szCs w:val="22"/>
              </w:rPr>
              <w:t>Cherté des intrants et des équipements ;</w:t>
            </w:r>
          </w:p>
          <w:p>
            <w:pPr>
              <w:pStyle w:val="Normal"/>
              <w:numPr>
                <w:ilvl w:val="0"/>
                <w:numId w:val="17"/>
              </w:numPr>
              <w:rPr>
                <w:sz w:val="22"/>
                <w:szCs w:val="22"/>
              </w:rPr>
            </w:pPr>
            <w:r>
              <w:rPr>
                <w:sz w:val="22"/>
                <w:szCs w:val="22"/>
              </w:rPr>
              <w:t>Risque de mévente si la qualité n’est pas conforme ;</w:t>
            </w:r>
          </w:p>
          <w:p>
            <w:pPr>
              <w:pStyle w:val="Normal"/>
              <w:numPr>
                <w:ilvl w:val="0"/>
                <w:numId w:val="17"/>
              </w:numPr>
              <w:rPr>
                <w:sz w:val="22"/>
                <w:szCs w:val="22"/>
              </w:rPr>
            </w:pPr>
            <w:r>
              <w:rPr>
                <w:sz w:val="22"/>
                <w:szCs w:val="22"/>
              </w:rPr>
              <w:t>Risque de remboursement du crédit en cas d’aléa.</w:t>
            </w:r>
          </w:p>
          <w:p>
            <w:pPr>
              <w:pStyle w:val="Normal"/>
              <w:rPr>
                <w:b/>
                <w:sz w:val="22"/>
                <w:szCs w:val="22"/>
              </w:rPr>
            </w:pPr>
            <w:r>
              <w:rPr>
                <w:b/>
                <w:sz w:val="22"/>
                <w:szCs w:val="22"/>
              </w:rPr>
            </w:r>
          </w:p>
        </w:tc>
      </w:tr>
    </w:tbl>
    <w:p>
      <w:pPr>
        <w:pStyle w:val="Normal"/>
        <w:jc w:val="center"/>
        <w:rPr>
          <w:lang w:eastAsia="en-US"/>
        </w:rPr>
      </w:pPr>
      <w:r>
        <w:rPr>
          <w:lang w:eastAsia="en-US"/>
        </w:rPr>
      </w:r>
    </w:p>
    <w:p>
      <w:pPr>
        <w:pStyle w:val="Heading1"/>
        <w:keepLines/>
        <w:numPr>
          <w:ilvl w:val="0"/>
          <w:numId w:val="2"/>
        </w:numPr>
        <w:spacing w:before="0" w:after="0"/>
        <w:ind w:hanging="431" w:left="431" w:right="0"/>
        <w:jc w:val="both"/>
        <w:rPr>
          <w:rFonts w:ascii="Times New Roman" w:hAnsi="Times New Roman" w:cs="Times New Roman"/>
          <w:caps/>
          <w:color w:val="166B7F"/>
          <w:kern w:val="0"/>
          <w:lang w:eastAsia="en-US"/>
        </w:rPr>
      </w:pPr>
      <w:bookmarkStart w:id="34" w:name="__RefHeading___Toc234831728"/>
      <w:bookmarkEnd w:id="34"/>
      <w:r>
        <w:rPr>
          <w:rFonts w:cs="Times New Roman" w:ascii="Times New Roman" w:hAnsi="Times New Roman"/>
          <w:caps/>
          <w:color w:val="166B7F"/>
          <w:kern w:val="0"/>
          <w:lang w:eastAsia="en-US"/>
        </w:rPr>
        <w:t>CONCLUSION</w:t>
      </w:r>
    </w:p>
    <w:p>
      <w:pPr>
        <w:pStyle w:val="Normal"/>
        <w:jc w:val="both"/>
        <w:rPr/>
      </w:pPr>
      <w:r>
        <w:rPr>
          <w:sz w:val="22"/>
          <w:szCs w:val="22"/>
        </w:rPr>
        <w:t xml:space="preserve">En examinant les ratios de rentabilité économique et financière, le présent projet apparaît rentable, sous réserve de la validation des hypothèses de rendement, de prix et de besoin en fonds de roulement et contribue à la création de cinq (5) emplois, dont deux (2) permanents et trois (3) saisonniers. Le taux de rentabilité interne, la valeur actuelle nette ainsi que le délai de récupération des capitaux investis corroborent la rentabilité du projet de création de l’entreprise </w:t>
      </w:r>
      <w:r>
        <w:rPr>
          <w:b/>
          <w:bCs/>
          <w:sz w:val="22"/>
          <w:szCs w:val="22"/>
        </w:rPr>
        <w:t>ZÉRÉ KÈNÈ &amp; DÉLICE</w:t>
      </w:r>
      <w:r>
        <w:rPr>
          <w:sz w:val="22"/>
          <w:szCs w:val="22"/>
        </w:rPr>
        <w:t xml:space="preserve"> dans la production et la commercialisation de pastèque de qualité sur une superficie de 0,75 hectare, avec deux campagnes par an. L’existence des structures d’accompagnement, notamment l’APEJ et l’OIT à travers le projet AN KA BAARA, permettra au promoteur d’investir dans son champ, et de rembourser les prêts contractés. Le seuil de rentabilité représente 68 % du chiffre d’affaires en année 3 (70 % en année 1). La mise en œuvre est conditionnée à la production de l’acte de mise à disposition du terrain, des factures pro forma des équipements et d’un échéancier de remboursement adapté au cycle de production.</w:t>
      </w:r>
    </w:p>
    <w:p>
      <w:pPr>
        <w:pStyle w:val="Normal"/>
        <w:rPr/>
      </w:pPr>
      <w:r>
        <w:rPr/>
      </w:r>
    </w:p>
    <w:p>
      <w:pPr>
        <w:pStyle w:val="Normal"/>
        <w:rPr/>
      </w:pPr>
      <w:r>
        <w:rPr>
          <w:b/>
          <w:sz w:val="22"/>
        </w:rPr>
        <w:t>Pièces à joindre au dossier</w:t>
      </w:r>
    </w:p>
    <w:p>
      <w:pPr>
        <w:pStyle w:val="Normal"/>
        <w:rPr/>
      </w:pPr>
      <w:r>
        <w:rPr>
          <w:b w:val="false"/>
          <w:sz w:val="20"/>
        </w:rPr>
        <w:t xml:space="preserve">– </w:t>
      </w:r>
      <w:r>
        <w:rPr>
          <w:b w:val="false"/>
          <w:sz w:val="20"/>
        </w:rPr>
        <w:t>Copie de la pièce d’identité du promoteur (justifiant la date et le lieu de naissance, condition d’éligibilité au dispositif APEJ) ;</w:t>
      </w:r>
    </w:p>
    <w:p>
      <w:pPr>
        <w:pStyle w:val="Normal"/>
        <w:rPr/>
      </w:pPr>
      <w:r>
        <w:rPr>
          <w:b w:val="false"/>
          <w:sz w:val="20"/>
        </w:rPr>
        <w:t xml:space="preserve">– </w:t>
      </w:r>
      <w:r>
        <w:rPr>
          <w:b w:val="false"/>
          <w:sz w:val="20"/>
        </w:rPr>
        <w:t>Attestation(s) de formation du promoteur ;</w:t>
      </w:r>
    </w:p>
    <w:p>
      <w:pPr>
        <w:pStyle w:val="Normal"/>
        <w:rPr/>
      </w:pPr>
      <w:r>
        <w:rPr>
          <w:b w:val="false"/>
          <w:sz w:val="20"/>
        </w:rPr>
        <w:t xml:space="preserve">– </w:t>
      </w:r>
      <w:r>
        <w:rPr>
          <w:b w:val="false"/>
          <w:sz w:val="20"/>
        </w:rPr>
        <w:t>Acte de mise à disposition du terrain ou du local, dûment signé et légalisé (condition préalable au décaissement) ;</w:t>
      </w:r>
    </w:p>
    <w:p>
      <w:pPr>
        <w:pStyle w:val="Normal"/>
        <w:rPr/>
      </w:pPr>
      <w:r>
        <w:rPr>
          <w:b w:val="false"/>
          <w:sz w:val="20"/>
        </w:rPr>
        <w:t xml:space="preserve">– </w:t>
      </w:r>
      <w:r>
        <w:rPr>
          <w:b w:val="false"/>
          <w:sz w:val="20"/>
        </w:rPr>
        <w:t>Factures pro forma d’au moins deux fournisseurs pour les équipements principaux (kit solaire, pompe, système d’irrigation goutte-à-goutte) ;</w:t>
      </w:r>
    </w:p>
    <w:p>
      <w:pPr>
        <w:pStyle w:val="Normal"/>
        <w:rPr/>
      </w:pPr>
      <w:r>
        <w:rPr>
          <w:b w:val="false"/>
          <w:sz w:val="20"/>
        </w:rPr>
        <w:t xml:space="preserve">– </w:t>
      </w:r>
      <w:r>
        <w:rPr>
          <w:b w:val="false"/>
          <w:sz w:val="20"/>
        </w:rPr>
        <w:t>Lettres d’intention ou engagements d’achat de deux ou trois clients (grossistes, détaillants, collectivités) ;</w:t>
      </w:r>
    </w:p>
    <w:p>
      <w:pPr>
        <w:pStyle w:val="Normal"/>
        <w:rPr/>
      </w:pPr>
      <w:r>
        <w:rPr>
          <w:b w:val="false"/>
          <w:sz w:val="20"/>
        </w:rPr>
        <w:t xml:space="preserve">– </w:t>
      </w:r>
      <w:r>
        <w:rPr>
          <w:b w:val="false"/>
          <w:sz w:val="20"/>
        </w:rPr>
        <w:t>Calendrier de production (semis, repiquage et récolte, avec une campagne par an).</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849"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Aptos">
    <w:altName w:val="Arial"/>
    <w:charset w:val="01"/>
    <w:family w:val="roman"/>
    <w:pitch w:val="variable"/>
  </w:font>
  <w:font w:name="Aptos Display">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 w:name="Garamond">
    <w:charset w:val="01"/>
    <w:family w:val="roman"/>
    <w:pitch w:val="variable"/>
  </w:font>
  <w:font w:name="Segoe UI">
    <w:charset w:val="01"/>
    <w:family w:val="roman"/>
    <w:pitch w:val="variable"/>
  </w:font>
  <w:font w:name="Cambira">
    <w:altName w:val="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708"/>
      </w:tabs>
      <w:jc w:val="center"/>
      <w:rPr>
        <w:rFonts w:ascii="Cambria" w:hAnsi="Cambria" w:cs="Cambria"/>
        <w:sz w:val="20"/>
      </w:rPr>
    </w:pPr>
    <w:r>
      <w:rPr>
        <w:rFonts w:cs="Cambria" w:ascii="Cambria" w:hAnsi="Cambria"/>
      </w:rPr>
      <w:tab/>
      <w:t xml:space="preserve">Page </w:t>
    </w:r>
    <w:r>
      <w:rPr/>
      <w:fldChar w:fldCharType="begin"/>
    </w:r>
    <w:r>
      <w:rPr/>
      <w:instrText xml:space="preserve"> PAGE </w:instrText>
    </w:r>
    <w:r>
      <w:rPr/>
      <w:fldChar w:fldCharType="separate"/>
    </w:r>
    <w:r>
      <w:rPr/>
      <w:t>20</w:t>
    </w:r>
    <w:r>
      <w:rPr/>
      <w:fldChar w:fldCharType="end"/>
    </w:r>
  </w:p>
  <w:p>
    <w:pPr>
      <w:pStyle w:val="Footer"/>
      <w:rPr>
        <w:rFonts w:ascii="Cambria" w:hAnsi="Cambria" w:cs="Cambria"/>
        <w:sz w:val="20"/>
      </w:rPr>
    </w:pPr>
    <w:r>
      <w:rPr>
        <w:rFonts w:cs="Cambria" w:ascii="Cambria" w:hAnsi="Cambria"/>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numPr>
        <w:ilvl w:val="0"/>
        <w:numId w:val="0"/>
      </w:numPr>
      <w:ind w:hanging="0" w:left="0"/>
      <w:outlineLvl w:val="3"/>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8"/>
        <w:tab w:val="left" w:pos="3075" w:leader="none"/>
      </w:tabs>
      <w:rPr>
        <w:b/>
        <w:bCs/>
        <w:sz w:val="22"/>
        <w:szCs w:val="32"/>
      </w:rPr>
    </w:pPr>
    <w:r>
      <w:drawing>
        <wp:anchor behindDoc="1" distT="0" distB="0" distL="114935" distR="114935" simplePos="0" locked="0" layoutInCell="0" allowOverlap="1" relativeHeight="7">
          <wp:simplePos x="0" y="0"/>
          <wp:positionH relativeFrom="column">
            <wp:posOffset>2243455</wp:posOffset>
          </wp:positionH>
          <wp:positionV relativeFrom="paragraph">
            <wp:posOffset>64770</wp:posOffset>
          </wp:positionV>
          <wp:extent cx="1066800" cy="815340"/>
          <wp:effectExtent l="0" t="0" r="0" b="0"/>
          <wp:wrapSquare wrapText="bothSides"/>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
                  <a:srcRect l="-70" t="-53" r="-70" b="-53"/>
                  <a:stretch>
                    <a:fillRect/>
                  </a:stretch>
                </pic:blipFill>
                <pic:spPr bwMode="auto">
                  <a:xfrm>
                    <a:off x="0" y="0"/>
                    <a:ext cx="1066800" cy="815340"/>
                  </a:xfrm>
                  <a:prstGeom prst="rect">
                    <a:avLst/>
                  </a:prstGeom>
                </pic:spPr>
              </pic:pic>
            </a:graphicData>
          </a:graphic>
        </wp:anchor>
      </w:drawing>
    </w:r>
    <w:r>
      <w:rPr/>
      <w:drawing>
        <wp:inline distT="0" distB="0" distL="0" distR="0">
          <wp:extent cx="925830" cy="845820"/>
          <wp:effectExtent l="0" t="0" r="0" b="0"/>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
                  <pic:cNvPicPr>
                    <a:picLocks noChangeAspect="1" noChangeArrowheads="1"/>
                  </pic:cNvPicPr>
                </pic:nvPicPr>
                <pic:blipFill>
                  <a:blip r:embed="rId2"/>
                  <a:srcRect l="-76" t="-76" r="-76" b="-76"/>
                  <a:stretch>
                    <a:fillRect/>
                  </a:stretch>
                </pic:blipFill>
                <pic:spPr bwMode="auto">
                  <a:xfrm>
                    <a:off x="0" y="0"/>
                    <a:ext cx="925830" cy="845820"/>
                  </a:xfrm>
                  <a:prstGeom prst="rect">
                    <a:avLst/>
                  </a:prstGeom>
                </pic:spPr>
              </pic:pic>
            </a:graphicData>
          </a:graphic>
        </wp:inline>
      </w:drawing>
    </w:r>
    <w:r>
      <w:rPr/>
      <w:tab/>
      <w:tab/>
      <w:tab/>
      <w:t xml:space="preserve">            </w:t>
    </w:r>
    <w:r>
      <w:rPr/>
      <w:drawing>
        <wp:inline distT="0" distB="0" distL="0" distR="0">
          <wp:extent cx="1003300" cy="77343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rcRect l="-270" t="-270" r="-270" b="-270"/>
                  <a:stretch>
                    <a:fillRect/>
                  </a:stretch>
                </pic:blipFill>
                <pic:spPr bwMode="auto">
                  <a:xfrm>
                    <a:off x="0" y="0"/>
                    <a:ext cx="1003300" cy="773430"/>
                  </a:xfrm>
                  <a:prstGeom prst="rect">
                    <a:avLst/>
                  </a:prstGeom>
                </pic:spPr>
              </pic:pic>
            </a:graphicData>
          </a:graphic>
        </wp:inline>
      </w:drawing>
    </w:r>
  </w:p>
  <w:p>
    <w:pPr>
      <w:pStyle w:val="Header"/>
      <w:rPr>
        <w:b/>
        <w:bCs/>
        <w:sz w:val="22"/>
        <w:szCs w:val="32"/>
      </w:rPr>
    </w:pPr>
    <w:r>
      <w:rPr>
        <w:b/>
        <w:bCs/>
        <w:sz w:val="2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4"/>
      <w:numFmt w:val="upperRoman"/>
      <w:lvlText w:val="%1."/>
      <w:lvlJc w:val="left"/>
      <w:pPr>
        <w:tabs>
          <w:tab w:val="num" w:pos="0"/>
        </w:tabs>
        <w:ind w:left="142" w:hanging="360"/>
      </w:pPr>
      <w:rPr/>
    </w:lvl>
    <w:lvl w:ilvl="1">
      <w:start w:val="1"/>
      <w:numFmt w:val="decimal"/>
      <w:lvlText w:val="%1.%2"/>
      <w:lvlJc w:val="left"/>
      <w:pPr>
        <w:tabs>
          <w:tab w:val="num" w:pos="0"/>
        </w:tabs>
        <w:ind w:left="502" w:hanging="360"/>
      </w:pPr>
      <w:rPr/>
    </w:lvl>
    <w:lvl w:ilvl="2">
      <w:start w:val="1"/>
      <w:numFmt w:val="decimal"/>
      <w:lvlText w:val="%1.%2.%3"/>
      <w:lvlJc w:val="left"/>
      <w:pPr>
        <w:tabs>
          <w:tab w:val="num" w:pos="0"/>
        </w:tabs>
        <w:ind w:left="502" w:hanging="720"/>
      </w:pPr>
      <w:rPr/>
    </w:lvl>
    <w:lvl w:ilvl="3">
      <w:start w:val="1"/>
      <w:numFmt w:val="decimal"/>
      <w:lvlText w:val="%1.%2.%3.%4"/>
      <w:lvlJc w:val="left"/>
      <w:pPr>
        <w:tabs>
          <w:tab w:val="num" w:pos="0"/>
        </w:tabs>
        <w:ind w:left="1942" w:hanging="1080"/>
      </w:pPr>
      <w:rPr/>
    </w:lvl>
    <w:lvl w:ilvl="4">
      <w:start w:val="1"/>
      <w:numFmt w:val="decimal"/>
      <w:lvlText w:val="%1.%2.%3.%4.%5"/>
      <w:lvlJc w:val="left"/>
      <w:pPr>
        <w:tabs>
          <w:tab w:val="num" w:pos="0"/>
        </w:tabs>
        <w:ind w:left="2302" w:hanging="1080"/>
      </w:pPr>
      <w:rPr/>
    </w:lvl>
    <w:lvl w:ilvl="5">
      <w:start w:val="1"/>
      <w:numFmt w:val="decimal"/>
      <w:lvlText w:val="%1.%2.%3.%4.%5.%6"/>
      <w:lvlJc w:val="left"/>
      <w:pPr>
        <w:tabs>
          <w:tab w:val="num" w:pos="0"/>
        </w:tabs>
        <w:ind w:left="3022" w:hanging="1440"/>
      </w:pPr>
      <w:rPr/>
    </w:lvl>
    <w:lvl w:ilvl="6">
      <w:start w:val="1"/>
      <w:numFmt w:val="decimal"/>
      <w:lvlText w:val="%1.%2.%3.%4.%5.%6.%7"/>
      <w:lvlJc w:val="left"/>
      <w:pPr>
        <w:tabs>
          <w:tab w:val="num" w:pos="0"/>
        </w:tabs>
        <w:ind w:left="3382" w:hanging="1440"/>
      </w:pPr>
      <w:rPr/>
    </w:lvl>
    <w:lvl w:ilvl="7">
      <w:start w:val="1"/>
      <w:numFmt w:val="decimal"/>
      <w:lvlText w:val="%1.%2.%3.%4.%5.%6.%7.%8"/>
      <w:lvlJc w:val="left"/>
      <w:pPr>
        <w:tabs>
          <w:tab w:val="num" w:pos="0"/>
        </w:tabs>
        <w:ind w:left="4102" w:hanging="1800"/>
      </w:pPr>
      <w:rPr/>
    </w:lvl>
    <w:lvl w:ilvl="8">
      <w:start w:val="1"/>
      <w:numFmt w:val="decimal"/>
      <w:lvlText w:val="%1.%2.%3.%4.%5.%6.%7.%8.%9"/>
      <w:lvlJc w:val="left"/>
      <w:pPr>
        <w:tabs>
          <w:tab w:val="num" w:pos="0"/>
        </w:tabs>
        <w:ind w:left="4462" w:hanging="180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upperRoman"/>
      <w:lvlText w:val="%1."/>
      <w:lvlJc w:val="left"/>
      <w:pPr>
        <w:tabs>
          <w:tab w:val="num" w:pos="0"/>
        </w:tabs>
        <w:ind w:left="1080" w:hanging="72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160" w:hanging="180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11">
    <w:lvl w:ilvl="0">
      <w:start w:val="2"/>
      <w:numFmt w:val="decimal"/>
      <w:lvlText w:val="%1"/>
      <w:lvlJc w:val="left"/>
      <w:pPr>
        <w:tabs>
          <w:tab w:val="num" w:pos="0"/>
        </w:tabs>
        <w:ind w:left="360" w:hanging="360"/>
      </w:pPr>
      <w:rPr/>
    </w:lvl>
    <w:lvl w:ilvl="1">
      <w:start w:val="1"/>
      <w:numFmt w:val="decimal"/>
      <w:lvlText w:val="%1.%2"/>
      <w:lvlJc w:val="left"/>
      <w:pPr>
        <w:tabs>
          <w:tab w:val="num" w:pos="0"/>
        </w:tabs>
        <w:ind w:left="1211" w:hanging="360"/>
      </w:pPr>
      <w:rPr/>
    </w:lvl>
    <w:lvl w:ilvl="2">
      <w:start w:val="1"/>
      <w:numFmt w:val="decimal"/>
      <w:lvlText w:val="%1.%2.%3"/>
      <w:lvlJc w:val="left"/>
      <w:pPr>
        <w:tabs>
          <w:tab w:val="num" w:pos="0"/>
        </w:tabs>
        <w:ind w:left="2422" w:hanging="720"/>
      </w:pPr>
      <w:rPr/>
    </w:lvl>
    <w:lvl w:ilvl="3">
      <w:start w:val="1"/>
      <w:numFmt w:val="decimal"/>
      <w:lvlText w:val="%1.%2.%3.%4"/>
      <w:lvlJc w:val="left"/>
      <w:pPr>
        <w:tabs>
          <w:tab w:val="num" w:pos="0"/>
        </w:tabs>
        <w:ind w:left="3633" w:hanging="1080"/>
      </w:pPr>
      <w:rPr/>
    </w:lvl>
    <w:lvl w:ilvl="4">
      <w:start w:val="1"/>
      <w:numFmt w:val="decimal"/>
      <w:lvlText w:val="%1.%2.%3.%4.%5"/>
      <w:lvlJc w:val="left"/>
      <w:pPr>
        <w:tabs>
          <w:tab w:val="num" w:pos="0"/>
        </w:tabs>
        <w:ind w:left="4484" w:hanging="1080"/>
      </w:pPr>
      <w:rPr/>
    </w:lvl>
    <w:lvl w:ilvl="5">
      <w:start w:val="1"/>
      <w:numFmt w:val="decimal"/>
      <w:lvlText w:val="%1.%2.%3.%4.%5.%6"/>
      <w:lvlJc w:val="left"/>
      <w:pPr>
        <w:tabs>
          <w:tab w:val="num" w:pos="0"/>
        </w:tabs>
        <w:ind w:left="5695" w:hanging="1440"/>
      </w:pPr>
      <w:rPr/>
    </w:lvl>
    <w:lvl w:ilvl="6">
      <w:start w:val="1"/>
      <w:numFmt w:val="decimal"/>
      <w:lvlText w:val="%1.%2.%3.%4.%5.%6.%7"/>
      <w:lvlJc w:val="left"/>
      <w:pPr>
        <w:tabs>
          <w:tab w:val="num" w:pos="0"/>
        </w:tabs>
        <w:ind w:left="6546" w:hanging="1440"/>
      </w:pPr>
      <w:rPr/>
    </w:lvl>
    <w:lvl w:ilvl="7">
      <w:start w:val="1"/>
      <w:numFmt w:val="decimal"/>
      <w:lvlText w:val="%1.%2.%3.%4.%5.%6.%7.%8"/>
      <w:lvlJc w:val="left"/>
      <w:pPr>
        <w:tabs>
          <w:tab w:val="num" w:pos="0"/>
        </w:tabs>
        <w:ind w:left="7757" w:hanging="1800"/>
      </w:pPr>
      <w:rPr/>
    </w:lvl>
    <w:lvl w:ilvl="8">
      <w:start w:val="1"/>
      <w:numFmt w:val="decimal"/>
      <w:lvlText w:val="%1.%2.%3.%4.%5.%6.%7.%8.%9"/>
      <w:lvlJc w:val="left"/>
      <w:pPr>
        <w:tabs>
          <w:tab w:val="num" w:pos="0"/>
        </w:tabs>
        <w:ind w:left="8608" w:hanging="180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5">
    <w:lvl w:ilvl="0">
      <w:start w:val="1"/>
      <w:numFmt w:val="decimal"/>
      <w:lvlText w:val="%1."/>
      <w:lvlJc w:val="left"/>
      <w:pPr>
        <w:tabs>
          <w:tab w:val="num" w:pos="0"/>
        </w:tabs>
        <w:ind w:left="720" w:hanging="360"/>
      </w:pPr>
      <w:rPr>
        <w:b/>
        <w:bCs w:val="false"/>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567"/>
        </w:tabs>
        <w:ind w:left="56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tabs>
        <w:tab w:val="clear" w:pos="708"/>
        <w:tab w:val="left" w:pos="0" w:leader="none"/>
      </w:tabs>
      <w:spacing w:before="240" w:after="60"/>
      <w:ind w:hanging="432" w:left="432" w:right="0"/>
      <w:outlineLvl w:val="1"/>
    </w:pPr>
    <w:rPr>
      <w:rFonts w:ascii="Cambria" w:hAnsi="Cambria" w:cs="Cambria"/>
      <w:b/>
      <w:bCs/>
      <w:i/>
      <w:iCs/>
      <w:sz w:val="28"/>
      <w:szCs w:val="28"/>
    </w:rPr>
  </w:style>
  <w:style w:type="paragraph" w:styleId="Heading3">
    <w:name w:val="Heading 3"/>
    <w:basedOn w:val="Normal"/>
    <w:next w:val="Normal"/>
    <w:qFormat/>
    <w:pPr>
      <w:keepNext w:val="true"/>
      <w:tabs>
        <w:tab w:val="clear" w:pos="708"/>
        <w:tab w:val="left" w:pos="0" w:leader="none"/>
      </w:tabs>
      <w:spacing w:before="240" w:after="60"/>
      <w:ind w:hanging="432" w:left="432" w:right="0"/>
      <w:outlineLvl w:val="2"/>
    </w:pPr>
    <w:rPr>
      <w:rFonts w:ascii="Cambria" w:hAnsi="Cambria" w:cs="Cambria"/>
      <w:b/>
      <w:bCs/>
      <w:sz w:val="26"/>
      <w:szCs w:val="26"/>
    </w:rPr>
  </w:style>
  <w:style w:type="paragraph" w:styleId="Heading4">
    <w:name w:val="Heading 4"/>
    <w:basedOn w:val="Normal"/>
    <w:next w:val="Normal"/>
    <w:qFormat/>
    <w:pPr>
      <w:keepNext w:val="true"/>
      <w:tabs>
        <w:tab w:val="clear" w:pos="708"/>
        <w:tab w:val="left" w:pos="0" w:leader="none"/>
      </w:tabs>
      <w:spacing w:before="240" w:after="60"/>
      <w:ind w:hanging="432" w:left="432" w:right="0"/>
      <w:outlineLvl w:val="3"/>
    </w:pPr>
    <w:rPr>
      <w:rFonts w:ascii="Aptos;Arial" w:hAnsi="Aptos;Arial" w:cs="Aptos;Arial"/>
      <w:b/>
      <w:bCs/>
      <w:sz w:val="28"/>
      <w:szCs w:val="28"/>
    </w:rPr>
  </w:style>
  <w:style w:type="paragraph" w:styleId="Heading5">
    <w:name w:val="Heading 5"/>
    <w:basedOn w:val="Normal"/>
    <w:next w:val="Normal"/>
    <w:qFormat/>
    <w:pPr>
      <w:tabs>
        <w:tab w:val="clear" w:pos="708"/>
        <w:tab w:val="left" w:pos="0" w:leader="none"/>
      </w:tabs>
      <w:spacing w:before="240" w:after="60"/>
      <w:ind w:hanging="432" w:left="432" w:right="0"/>
      <w:outlineLvl w:val="4"/>
    </w:pPr>
    <w:rPr>
      <w:rFonts w:ascii="Aptos;Arial" w:hAnsi="Aptos;Arial" w:cs="Aptos;Arial"/>
      <w:b/>
      <w:bCs/>
      <w:i/>
      <w:iCs/>
      <w:sz w:val="26"/>
      <w:szCs w:val="26"/>
    </w:rPr>
  </w:style>
  <w:style w:type="paragraph" w:styleId="Heading6">
    <w:name w:val="Heading 6"/>
    <w:basedOn w:val="Normal"/>
    <w:next w:val="Normal"/>
    <w:qFormat/>
    <w:pPr>
      <w:tabs>
        <w:tab w:val="clear" w:pos="708"/>
        <w:tab w:val="left" w:pos="0" w:leader="none"/>
      </w:tabs>
      <w:spacing w:before="240" w:after="60"/>
      <w:ind w:hanging="432" w:left="432" w:right="0"/>
      <w:outlineLvl w:val="5"/>
    </w:pPr>
    <w:rPr>
      <w:rFonts w:ascii="Aptos;Arial" w:hAnsi="Aptos;Arial" w:cs="Aptos;Arial"/>
      <w:b/>
      <w:bCs/>
      <w:sz w:val="22"/>
      <w:szCs w:val="22"/>
    </w:rPr>
  </w:style>
  <w:style w:type="paragraph" w:styleId="Heading7">
    <w:name w:val="Heading 7"/>
    <w:basedOn w:val="Normal"/>
    <w:next w:val="Normal"/>
    <w:qFormat/>
    <w:pPr>
      <w:tabs>
        <w:tab w:val="clear" w:pos="708"/>
        <w:tab w:val="left" w:pos="0" w:leader="none"/>
      </w:tabs>
      <w:spacing w:before="240" w:after="60"/>
      <w:ind w:hanging="432" w:left="432" w:right="0"/>
      <w:outlineLvl w:val="6"/>
    </w:pPr>
    <w:rPr>
      <w:rFonts w:ascii="Aptos;Arial" w:hAnsi="Aptos;Arial" w:cs="Aptos;Arial"/>
    </w:rPr>
  </w:style>
  <w:style w:type="paragraph" w:styleId="Heading8">
    <w:name w:val="Heading 8"/>
    <w:basedOn w:val="Normal"/>
    <w:next w:val="Normal"/>
    <w:qFormat/>
    <w:pPr>
      <w:tabs>
        <w:tab w:val="clear" w:pos="708"/>
        <w:tab w:val="left" w:pos="0" w:leader="none"/>
      </w:tabs>
      <w:spacing w:before="240" w:after="60"/>
      <w:ind w:hanging="432" w:left="432" w:right="0"/>
      <w:outlineLvl w:val="7"/>
    </w:pPr>
    <w:rPr>
      <w:rFonts w:ascii="Aptos;Arial" w:hAnsi="Aptos;Arial" w:cs="Aptos;Arial"/>
      <w:i/>
      <w:iCs/>
    </w:rPr>
  </w:style>
  <w:style w:type="paragraph" w:styleId="Heading9">
    <w:name w:val="Heading 9"/>
    <w:basedOn w:val="Normal"/>
    <w:next w:val="Normal"/>
    <w:qFormat/>
    <w:pPr>
      <w:tabs>
        <w:tab w:val="clear" w:pos="708"/>
        <w:tab w:val="left" w:pos="0" w:leader="none"/>
      </w:tabs>
      <w:spacing w:before="240" w:after="60"/>
      <w:ind w:hanging="432" w:left="432" w:right="0"/>
      <w:outlineLvl w:val="8"/>
    </w:pPr>
    <w:rPr>
      <w:rFonts w:ascii="Aptos Display" w:hAnsi="Aptos Display" w:cs="Aptos Display"/>
      <w:sz w:val="22"/>
      <w:szCs w:val="22"/>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7z0">
    <w:name w:val="WW8Num27z0"/>
    <w:qFormat/>
    <w:rPr>
      <w:rFonts w:ascii="Symbol" w:hAnsi="Symbol" w:cs="Symbol"/>
      <w:sz w:val="20"/>
    </w:rPr>
  </w:style>
  <w:style w:type="character" w:styleId="WW8Num27z1">
    <w:name w:val="WW8Num27z1"/>
    <w:qFormat/>
    <w:rPr>
      <w:rFonts w:ascii="Courier New" w:hAnsi="Courier New" w:cs="Courier New"/>
      <w:sz w:val="20"/>
    </w:rPr>
  </w:style>
  <w:style w:type="character" w:styleId="WW8Num27z2">
    <w:name w:val="WW8Num27z2"/>
    <w:qFormat/>
    <w:rPr>
      <w:rFonts w:ascii="Wingdings" w:hAnsi="Wingdings" w:cs="Wingdings"/>
      <w:sz w:val="2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31z0">
    <w:name w:val="WW8Num31z0"/>
    <w:qFormat/>
    <w:rPr>
      <w:b/>
      <w:bCs w:val="false"/>
    </w:rPr>
  </w:style>
  <w:style w:type="character" w:styleId="WW8Num32z0">
    <w:name w:val="WW8Num32z0"/>
    <w:qFormat/>
    <w:rPr>
      <w:rFonts w:ascii="Symbol" w:hAnsi="Symbol" w:cs="Symbol"/>
    </w:rPr>
  </w:style>
  <w:style w:type="character" w:styleId="WW8Num33z0">
    <w:name w:val="WW8Num33z0"/>
    <w:qFormat/>
    <w:rPr>
      <w:rFonts w:ascii="Symbol" w:hAnsi="Symbol" w:cs="Symbol"/>
      <w:sz w:val="20"/>
    </w:rPr>
  </w:style>
  <w:style w:type="character" w:styleId="WW8Num33z1">
    <w:name w:val="WW8Num33z1"/>
    <w:qFormat/>
    <w:rPr>
      <w:rFonts w:ascii="Courier New" w:hAnsi="Courier New" w:cs="Courier New"/>
      <w:sz w:val="20"/>
    </w:rPr>
  </w:style>
  <w:style w:type="character" w:styleId="WW8Num33z2">
    <w:name w:val="WW8Num33z2"/>
    <w:qFormat/>
    <w:rPr>
      <w:rFonts w:ascii="Wingdings" w:hAnsi="Wingdings" w:cs="Wingdings"/>
      <w:sz w:val="20"/>
    </w:rPr>
  </w:style>
  <w:style w:type="character" w:styleId="WW8Num34z0">
    <w:name w:val="WW8Num34z0"/>
    <w:qFormat/>
    <w:rPr>
      <w:rFonts w:ascii="Symbol" w:hAnsi="Symbol" w:cs="Symbol"/>
      <w:sz w:val="20"/>
    </w:rPr>
  </w:style>
  <w:style w:type="character" w:styleId="WW8Num34z1">
    <w:name w:val="WW8Num34z1"/>
    <w:qFormat/>
    <w:rPr>
      <w:rFonts w:ascii="Courier New" w:hAnsi="Courier New" w:cs="Courier New"/>
      <w:sz w:val="20"/>
    </w:rPr>
  </w:style>
  <w:style w:type="character" w:styleId="WW8Num34z2">
    <w:name w:val="WW8Num34z2"/>
    <w:qFormat/>
    <w:rPr>
      <w:rFonts w:ascii="Wingdings" w:hAnsi="Wingdings" w:cs="Wingdings"/>
      <w:sz w:val="20"/>
    </w:rPr>
  </w:style>
  <w:style w:type="character" w:styleId="WW8Num35z0">
    <w:name w:val="WW8Num35z0"/>
    <w:qFormat/>
    <w:rPr>
      <w:rFonts w:ascii="Symbol" w:hAnsi="Symbol" w:cs="Symbol"/>
    </w:rPr>
  </w:style>
  <w:style w:type="character" w:styleId="WW8Num36z0">
    <w:name w:val="WW8Num36z0"/>
    <w:qFormat/>
    <w:rPr>
      <w:rFonts w:ascii="Symbol" w:hAnsi="Symbol" w:cs="Symbol"/>
    </w:rPr>
  </w:style>
  <w:style w:type="character" w:styleId="Policepardfaut">
    <w:name w:val="Police par défaut"/>
    <w:qFormat/>
    <w:rPr/>
  </w:style>
  <w:style w:type="character" w:styleId="WW8Num1z0">
    <w:name w:val="WW8Num1z0"/>
    <w:qFormat/>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CorpsdetexteCar">
    <w:name w:val="Corps de texte Car"/>
    <w:qFormat/>
    <w:rPr>
      <w:sz w:val="24"/>
    </w:rPr>
  </w:style>
  <w:style w:type="character" w:styleId="Corpsdetexte3Car">
    <w:name w:val="Corps de texte 3 Car"/>
    <w:qFormat/>
    <w:rPr>
      <w:sz w:val="16"/>
      <w:szCs w:val="16"/>
    </w:rPr>
  </w:style>
  <w:style w:type="character" w:styleId="TextedebullesCar">
    <w:name w:val="Texte de bulles Car"/>
    <w:qFormat/>
    <w:rPr>
      <w:rFonts w:ascii="Tahoma" w:hAnsi="Tahoma" w:cs="Tahoma"/>
      <w:sz w:val="16"/>
      <w:szCs w:val="16"/>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2Car">
    <w:name w:val="Titre 2 Car"/>
    <w:qFormat/>
    <w:rPr>
      <w:rFonts w:ascii="Cambria" w:hAnsi="Cambria" w:cs="Cambria"/>
      <w:b/>
      <w:bCs/>
      <w:i/>
      <w:iCs/>
      <w:sz w:val="28"/>
      <w:szCs w:val="28"/>
      <w:lang w:val="fr-FR"/>
    </w:rPr>
  </w:style>
  <w:style w:type="character" w:styleId="En-tteCar">
    <w:name w:val="En-tête Car"/>
    <w:qFormat/>
    <w:rPr>
      <w:sz w:val="24"/>
      <w:szCs w:val="24"/>
    </w:rPr>
  </w:style>
  <w:style w:type="character" w:styleId="PieddepageCar">
    <w:name w:val="Pied de page Car"/>
    <w:qFormat/>
    <w:rPr>
      <w:rFonts w:ascii="Arial" w:hAnsi="Arial" w:cs="Arial"/>
      <w:sz w:val="24"/>
      <w:szCs w:val="24"/>
    </w:rPr>
  </w:style>
  <w:style w:type="character" w:styleId="Titre3Car">
    <w:name w:val="Titre 3 Car"/>
    <w:qFormat/>
    <w:rPr>
      <w:rFonts w:ascii="Cambria" w:hAnsi="Cambria" w:cs="Cambria"/>
      <w:b/>
      <w:bCs/>
      <w:sz w:val="26"/>
      <w:szCs w:val="26"/>
      <w:lang w:val="fr-FR"/>
    </w:rPr>
  </w:style>
  <w:style w:type="character" w:styleId="Hyperlink">
    <w:name w:val="Hyperlink"/>
    <w:rPr>
      <w:color w:val="0000FF"/>
      <w:u w:val="single"/>
    </w:rPr>
  </w:style>
  <w:style w:type="character" w:styleId="SansinterligneCar">
    <w:name w:val="Sans interligne Car"/>
    <w:qFormat/>
    <w:rPr>
      <w:rFonts w:ascii="Aptos;Arial" w:hAnsi="Aptos;Arial" w:cs="Aptos;Arial"/>
      <w:sz w:val="22"/>
      <w:szCs w:val="22"/>
      <w:lang w:bidi="ar-SA"/>
    </w:rPr>
  </w:style>
  <w:style w:type="character" w:styleId="Titre1Car">
    <w:name w:val="Titre 1 Car"/>
    <w:qFormat/>
    <w:rPr>
      <w:rFonts w:ascii="Arial" w:hAnsi="Arial" w:cs="Arial"/>
      <w:b/>
      <w:bCs/>
      <w:kern w:val="2"/>
      <w:sz w:val="32"/>
      <w:szCs w:val="32"/>
      <w:lang w:val="fr-FR"/>
    </w:rPr>
  </w:style>
  <w:style w:type="character" w:styleId="Titre5Car">
    <w:name w:val="Titre 5 Car"/>
    <w:qFormat/>
    <w:rPr>
      <w:rFonts w:ascii="Aptos;Arial" w:hAnsi="Aptos;Arial" w:cs="Aptos;Arial"/>
      <w:b/>
      <w:bCs/>
      <w:i/>
      <w:iCs/>
      <w:sz w:val="26"/>
      <w:szCs w:val="26"/>
      <w:lang w:val="fr-FR"/>
    </w:rPr>
  </w:style>
  <w:style w:type="character" w:styleId="Titre4Car">
    <w:name w:val="Titre 4 Car"/>
    <w:qFormat/>
    <w:rPr>
      <w:rFonts w:ascii="Aptos;Arial" w:hAnsi="Aptos;Arial" w:cs="Aptos;Arial"/>
      <w:b/>
      <w:bCs/>
      <w:sz w:val="28"/>
      <w:szCs w:val="28"/>
      <w:lang w:val="fr-FR"/>
    </w:rPr>
  </w:style>
  <w:style w:type="character" w:styleId="Titre6Car">
    <w:name w:val="Titre 6 Car"/>
    <w:qFormat/>
    <w:rPr>
      <w:rFonts w:ascii="Aptos;Arial" w:hAnsi="Aptos;Arial" w:cs="Aptos;Arial"/>
      <w:b/>
      <w:bCs/>
      <w:sz w:val="22"/>
      <w:szCs w:val="22"/>
      <w:lang w:val="fr-FR"/>
    </w:rPr>
  </w:style>
  <w:style w:type="character" w:styleId="Titre7Car">
    <w:name w:val="Titre 7 Car"/>
    <w:qFormat/>
    <w:rPr>
      <w:rFonts w:ascii="Aptos;Arial" w:hAnsi="Aptos;Arial" w:cs="Aptos;Arial"/>
      <w:sz w:val="24"/>
      <w:szCs w:val="24"/>
      <w:lang w:val="fr-FR"/>
    </w:rPr>
  </w:style>
  <w:style w:type="character" w:styleId="Titre8Car">
    <w:name w:val="Titre 8 Car"/>
    <w:qFormat/>
    <w:rPr>
      <w:rFonts w:ascii="Aptos;Arial" w:hAnsi="Aptos;Arial" w:cs="Aptos;Arial"/>
      <w:i/>
      <w:iCs/>
      <w:sz w:val="24"/>
      <w:szCs w:val="24"/>
      <w:lang w:val="fr-FR"/>
    </w:rPr>
  </w:style>
  <w:style w:type="character" w:styleId="Titre9Car">
    <w:name w:val="Titre 9 Car"/>
    <w:qFormat/>
    <w:rPr>
      <w:rFonts w:ascii="Aptos Display" w:hAnsi="Aptos Display" w:cs="Aptos Display"/>
      <w:sz w:val="22"/>
      <w:szCs w:val="22"/>
      <w:lang w:val="fr-FR"/>
    </w:rPr>
  </w:style>
  <w:style w:type="character" w:styleId="whitespace-nowrap">
    <w:name w:val="whitespace-nowrap"/>
    <w:qFormat/>
    <w:rPr/>
  </w:style>
  <w:style w:type="character" w:styleId="relative">
    <w:name w:val="relative"/>
    <w:qFormat/>
    <w:rPr/>
  </w:style>
  <w:style w:type="character" w:styleId="Strong">
    <w:name w:val="Strong"/>
    <w:qFormat/>
    <w:rPr>
      <w:b/>
      <w:bCs/>
    </w:rPr>
  </w:style>
  <w:style w:type="character" w:styleId="hoverbg-super">
    <w:name w:val="hover:bg-super"/>
    <w:qFormat/>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DejaVu Sans;Times New Roman"/>
      <w:sz w:val="28"/>
      <w:szCs w:val="28"/>
    </w:rPr>
  </w:style>
  <w:style w:type="paragraph" w:styleId="BodyText">
    <w:name w:val="Body Text"/>
    <w:basedOn w:val="Normal"/>
    <w:pPr>
      <w:jc w:val="both"/>
    </w:pPr>
    <w:rPr>
      <w:szCs w:val="20"/>
      <w:lang w:val="en-US"/>
    </w:rPr>
  </w:style>
  <w:style w:type="paragraph" w:styleId="List">
    <w:name w:val="List"/>
    <w:basedOn w:val="BodyText"/>
    <w:pPr/>
    <w:rPr>
      <w:rFonts w:cs="DejaVu 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DejaVu Sans;Times New Roman"/>
    </w:rPr>
  </w:style>
  <w:style w:type="paragraph" w:styleId="Lgende">
    <w:name w:val="Légende"/>
    <w:basedOn w:val="Normal"/>
    <w:next w:val="Normal"/>
    <w:qFormat/>
    <w:pPr/>
    <w:rPr>
      <w:rFonts w:ascii="Arial" w:hAnsi="Arial" w:cs="Arial"/>
      <w:b/>
      <w:bCs/>
      <w:sz w:val="20"/>
      <w:szCs w:val="20"/>
    </w:rPr>
  </w:style>
  <w:style w:type="paragraph" w:styleId="HeaderandFooter">
    <w:name w:val="Header and Footer"/>
    <w:basedOn w:val="Normal"/>
    <w:qFormat/>
    <w:pPr>
      <w:suppressLineNumbers/>
    </w:pPr>
    <w:rPr/>
  </w:style>
  <w:style w:type="paragraph" w:styleId="Footer">
    <w:name w:val="Footer"/>
    <w:basedOn w:val="Normal"/>
    <w:pPr/>
    <w:rPr>
      <w:rFonts w:ascii="Arial" w:hAnsi="Arial" w:cs="Arial"/>
      <w:lang w:val="en-US"/>
    </w:rPr>
  </w:style>
  <w:style w:type="paragraph" w:styleId="Header">
    <w:name w:val="Header"/>
    <w:basedOn w:val="Normal"/>
    <w:pPr/>
    <w:rPr>
      <w:lang w:val="en-US"/>
    </w:rPr>
  </w:style>
  <w:style w:type="paragraph" w:styleId="spip">
    <w:name w:val="spip"/>
    <w:basedOn w:val="Normal"/>
    <w:qFormat/>
    <w:pPr>
      <w:spacing w:before="280" w:after="280"/>
    </w:pPr>
    <w:rPr/>
  </w:style>
  <w:style w:type="paragraph" w:styleId="Paragraphedeliste">
    <w:name w:val="Paragraphe de liste"/>
    <w:basedOn w:val="Normal"/>
    <w:qFormat/>
    <w:pPr>
      <w:spacing w:lineRule="auto" w:line="276" w:before="0" w:after="200"/>
      <w:ind w:hanging="0" w:left="720" w:right="0"/>
      <w:contextualSpacing/>
    </w:pPr>
    <w:rPr>
      <w:rFonts w:ascii="Calibri" w:hAnsi="Calibri" w:eastAsia="Calibri" w:cs="Calibri"/>
      <w:sz w:val="22"/>
      <w:szCs w:val="22"/>
    </w:rPr>
  </w:style>
  <w:style w:type="paragraph" w:styleId="Corpsdetexte3">
    <w:name w:val="Corps de texte 3"/>
    <w:basedOn w:val="Normal"/>
    <w:qFormat/>
    <w:pPr>
      <w:spacing w:before="0" w:after="120"/>
    </w:pPr>
    <w:rPr>
      <w:sz w:val="16"/>
      <w:szCs w:val="16"/>
      <w:lang w:val="en-US"/>
    </w:rPr>
  </w:style>
  <w:style w:type="paragraph" w:styleId="NormalWeb">
    <w:name w:val="Normal (Web)"/>
    <w:basedOn w:val="Normal"/>
    <w:qFormat/>
    <w:pPr>
      <w:spacing w:before="280" w:after="280"/>
    </w:pPr>
    <w:rPr/>
  </w:style>
  <w:style w:type="paragraph" w:styleId="xl24">
    <w:name w:val="xl24"/>
    <w:basedOn w:val="Normal"/>
    <w:qFormat/>
    <w:pPr>
      <w:spacing w:before="100" w:after="100"/>
    </w:pPr>
    <w:rPr>
      <w:rFonts w:ascii="Arial" w:hAnsi="Arial" w:cs="Arial"/>
      <w:sz w:val="16"/>
      <w:szCs w:val="20"/>
      <w:lang w:val="en-US"/>
    </w:rPr>
  </w:style>
  <w:style w:type="paragraph" w:styleId="Textedebulles">
    <w:name w:val="Texte de bulles"/>
    <w:basedOn w:val="Normal"/>
    <w:qFormat/>
    <w:pPr/>
    <w:rPr>
      <w:rFonts w:ascii="Tahoma" w:hAnsi="Tahoma" w:cs="Tahoma"/>
      <w:sz w:val="16"/>
      <w:szCs w:val="16"/>
      <w:lang w:val="en-US"/>
    </w:rPr>
  </w:style>
  <w:style w:type="paragraph" w:styleId="Rvision">
    <w:name w:val="Révision"/>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FootnoteText">
    <w:name w:val="Footnote Text"/>
    <w:basedOn w:val="Normal"/>
    <w:pPr/>
    <w:rPr>
      <w:sz w:val="20"/>
      <w:szCs w:val="20"/>
    </w:rPr>
  </w:style>
  <w:style w:type="paragraph" w:styleId="5F6AEA512CC74B80B78940AC4F74C285">
    <w:name w:val="5F6AEA512CC74B80B78940AC4F74C285"/>
    <w:qFormat/>
    <w:pPr>
      <w:widowControl/>
      <w:suppressAutoHyphens w:val="true"/>
      <w:bidi w:val="0"/>
      <w:spacing w:lineRule="auto" w:line="276" w:before="0" w:after="200"/>
      <w:jc w:val="left"/>
    </w:pPr>
    <w:rPr>
      <w:rFonts w:ascii="Calibri" w:hAnsi="Calibri" w:eastAsia="Times New Roman" w:cs="Calibri"/>
      <w:color w:val="auto"/>
      <w:kern w:val="0"/>
      <w:sz w:val="22"/>
      <w:szCs w:val="22"/>
      <w:lang w:val="en-US" w:eastAsia="zh-CN" w:bidi="ar-SA"/>
    </w:rPr>
  </w:style>
  <w:style w:type="paragraph" w:styleId="En-ttedetabledesmatires">
    <w:name w:val="En-tête de table des matières"/>
    <w:basedOn w:val="Heading1"/>
    <w:next w:val="Normal"/>
    <w:qFormat/>
    <w:pPr>
      <w:keepLines/>
      <w:numPr>
        <w:ilvl w:val="0"/>
        <w:numId w:val="14"/>
      </w:numPr>
      <w:spacing w:lineRule="auto" w:line="276" w:before="480" w:after="0"/>
      <w:outlineLvl w:val="9"/>
    </w:pPr>
    <w:rPr>
      <w:rFonts w:ascii="Cambria" w:hAnsi="Cambria" w:eastAsia="Times New Roman" w:cs="Times New Roman"/>
      <w:color w:val="365F91"/>
      <w:kern w:val="0"/>
      <w:sz w:val="28"/>
      <w:szCs w:val="28"/>
    </w:rPr>
  </w:style>
  <w:style w:type="paragraph" w:styleId="TOC1">
    <w:name w:val="TOC 1"/>
    <w:basedOn w:val="Normal"/>
    <w:next w:val="Normal"/>
    <w:pPr>
      <w:spacing w:before="120" w:after="120"/>
    </w:pPr>
    <w:rPr>
      <w:rFonts w:ascii="Cambria" w:hAnsi="Cambria" w:eastAsia="Times New Roman" w:cs="Times New Roman"/>
      <w:b/>
      <w:bCs/>
      <w:caps/>
      <w:lang w:val="en-US"/>
    </w:rPr>
  </w:style>
  <w:style w:type="paragraph" w:styleId="TOC2">
    <w:name w:val="TOC 2"/>
    <w:basedOn w:val="Normal"/>
    <w:next w:val="Normal"/>
    <w:pPr>
      <w:ind w:hanging="0" w:left="240" w:right="0"/>
    </w:pPr>
    <w:rPr>
      <w:rFonts w:ascii="Trebuchet MS" w:hAnsi="Trebuchet MS" w:cs="Trebuchet MS"/>
      <w:lang w:val="en-US"/>
    </w:rPr>
  </w:style>
  <w:style w:type="paragraph" w:styleId="TOC3">
    <w:name w:val="TOC 3"/>
    <w:basedOn w:val="Normal"/>
    <w:next w:val="Normal"/>
    <w:pPr>
      <w:ind w:hanging="0" w:left="480" w:right="0"/>
    </w:pPr>
    <w:rPr>
      <w:rFonts w:ascii="Trebuchet MS" w:hAnsi="Trebuchet MS" w:cs="Trebuchet MS"/>
      <w:lang w:val="en-US"/>
    </w:rPr>
  </w:style>
  <w:style w:type="paragraph" w:styleId="Sansinterligne">
    <w:name w:val="Sans interligne"/>
    <w:qFormat/>
    <w:pPr>
      <w:widowControl/>
      <w:suppressAutoHyphens w:val="true"/>
      <w:bidi w:val="0"/>
      <w:spacing w:before="0" w:after="0"/>
      <w:jc w:val="left"/>
    </w:pPr>
    <w:rPr>
      <w:rFonts w:ascii="Aptos;Arial" w:hAnsi="Aptos;Arial" w:eastAsia="Times New Roman" w:cs="Aptos;Arial"/>
      <w:color w:val="auto"/>
      <w:kern w:val="0"/>
      <w:sz w:val="22"/>
      <w:szCs w:val="22"/>
      <w:lang w:val="en-US" w:eastAsia="zh-CN" w:bidi="ar-SA"/>
    </w:rPr>
  </w:style>
  <w:style w:type="paragraph" w:styleId="Informationsdecontact">
    <w:name w:val="Informations de contact"/>
    <w:basedOn w:val="Sansinterligne"/>
    <w:qFormat/>
    <w:pPr/>
    <w:rPr>
      <w:rFonts w:ascii="Garamond" w:hAnsi="Garamond" w:eastAsia="Times New Roman" w:cs="Times New Roman"/>
      <w:color w:val="FFFFFF"/>
      <w:lang w:eastAsia="ja-JP"/>
    </w:rPr>
  </w:style>
  <w:style w:type="paragraph" w:styleId="Espacedutableau">
    <w:name w:val="Espace du tableau"/>
    <w:basedOn w:val="Sansinterligne"/>
    <w:qFormat/>
    <w:pPr>
      <w:spacing w:lineRule="exact" w:line="14"/>
    </w:pPr>
    <w:rPr>
      <w:rFonts w:ascii="Garamond" w:hAnsi="Garamond" w:eastAsia="Times New Roman" w:cs="Times New Roman"/>
      <w:color w:val="44546A"/>
      <w:sz w:val="20"/>
      <w:szCs w:val="20"/>
      <w:lang w:eastAsia="ja-JP"/>
    </w:rPr>
  </w:style>
  <w:style w:type="paragraph" w:styleId="my-0">
    <w:name w:val="my-0"/>
    <w:basedOn w:val="Normal"/>
    <w:qFormat/>
    <w:pPr>
      <w:spacing w:before="280" w:after="280"/>
    </w:pPr>
    <w:rPr>
      <w:lang w:val="fr-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s-markdown-paragraph">
    <w:name w:val="ds-markdown-paragraph"/>
    <w:basedOn w:val="Normal"/>
    <w:qFormat/>
    <w:pPr>
      <w:suppressAutoHyphens w:val="false"/>
      <w:spacing w:before="280" w:after="2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274</TotalTime>
  <Application>LibreOffice/24.2.7.2$Linux_X86_64 LibreOffice_project/420$Build-2</Application>
  <AppVersion>15.0000</AppVersion>
  <Pages>20</Pages>
  <Words>6457</Words>
  <Characters>29786</Characters>
  <CharactersWithSpaces>34697</CharactersWithSpaces>
  <Paragraphs>1528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2026-10-07T10:41:00Z</dcterms:created>
  <dc:creator>STEP</dc:creator>
  <dc:description/>
  <dc:language>en-US</dc:language>
  <cp:lastModifiedBy/>
  <cp:lastPrinted>2025-07-23T09:16:00Z</cp:lastPrinted>
  <dcterms:modified xsi:type="dcterms:W3CDTF">2026-10-12T11:18:29Z</dcterms:modified>
  <cp:revision>16</cp:revision>
  <dc:subject/>
  <dc:title>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deb7872d-a8b8-4298-b807-425d0acd600d</vt:lpwstr>
  </property>
  <property fmtid="{D5CDD505-2E9C-101B-9397-08002B2CF9AE}" pid="3" name="TaxCatchAll">
    <vt:lpwstr/>
  </property>
  <property fmtid="{D5CDD505-2E9C-101B-9397-08002B2CF9AE}" pid="4" name="lcf76f155ced4ddcb4097134ff3c332f">
    <vt:lpwstr/>
  </property>
</Properties>
</file>