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pBdr>
          <w:bottom w:val="double" w:sz="4" w:space="1" w:color="000000"/>
        </w:pBdr>
        <w:rPr>
          <w:sz w:val="2"/>
          <w:szCs w:val="2"/>
        </w:rPr>
      </w:pPr>
      <w:r>
        <w:rPr>
          <w:sz w:val="2"/>
          <w:szCs w:val="2"/>
        </w:rPr>
      </w:r>
    </w:p>
    <w:p>
      <w:pPr>
        <w:pStyle w:val="Normal"/>
        <w:rPr>
          <w:sz w:val="2"/>
          <w:szCs w:val="2"/>
        </w:rPr>
      </w:pPr>
      <w:r>
        <w:rPr>
          <w:sz w:val="2"/>
          <w:szCs w:val="2"/>
        </w:rPr>
      </w:r>
    </w:p>
    <w:p>
      <w:pPr>
        <w:pStyle w:val="Normal"/>
        <w:rPr>
          <w:b/>
          <w:i/>
          <w:i/>
          <w:sz w:val="52"/>
          <w:szCs w:val="32"/>
        </w:rPr>
      </w:pPr>
      <w:r>
        <w:rPr>
          <w:b/>
          <w:i/>
          <w:sz w:val="52"/>
          <w:szCs w:val="32"/>
        </w:rPr>
        <w:t xml:space="preserve">         </w:t>
      </w:r>
      <w:r>
        <w:rPr>
          <w:b/>
          <w:i/>
          <w:sz w:val="52"/>
          <w:szCs w:val="32"/>
        </w:rPr>
        <mc:AlternateContent>
          <mc:Choice Requires="wps">
            <w:drawing>
              <wp:anchor behindDoc="0" distT="0" distB="0" distL="176530" distR="177165" simplePos="0" locked="0" layoutInCell="0" allowOverlap="1" relativeHeight="15">
                <wp:simplePos x="0" y="0"/>
                <wp:positionH relativeFrom="margin">
                  <wp:posOffset>125730</wp:posOffset>
                </wp:positionH>
                <wp:positionV relativeFrom="page">
                  <wp:posOffset>3539490</wp:posOffset>
                </wp:positionV>
                <wp:extent cx="5803900" cy="835660"/>
                <wp:effectExtent l="6350" t="6350" r="81915" b="81915"/>
                <wp:wrapSquare wrapText="bothSides"/>
                <wp:docPr id="1" name="Frame1"/>
                <a:graphic xmlns:a="http://schemas.openxmlformats.org/drawingml/2006/main">
                  <a:graphicData uri="http://schemas.microsoft.com/office/word/2010/wordprocessingShape">
                    <wps:wsp>
                      <wps:cNvSpPr/>
                      <wps:spPr>
                        <a:xfrm>
                          <a:off x="0" y="0"/>
                          <a:ext cx="5803920" cy="835560"/>
                        </a:xfrm>
                        <a:prstGeom prst="rect">
                          <a:avLst/>
                        </a:prstGeom>
                        <a:gradFill rotWithShape="0">
                          <a:gsLst>
                            <a:gs pos="0">
                              <a:srgbClr val="ffffff"/>
                            </a:gs>
                            <a:gs pos="100000">
                              <a:srgbClr val="95dcf7"/>
                            </a:gs>
                          </a:gsLst>
                          <a:lin ang="5400000"/>
                        </a:gradFill>
                        <a:ln w="12700">
                          <a:solidFill>
                            <a:srgbClr val="60caf3"/>
                          </a:solidFill>
                          <a:round/>
                        </a:ln>
                        <a:effectLst>
                          <a:outerShdw dir="2700000" dist="106914">
                            <a:srgbClr val="074e69"/>
                          </a:outerShdw>
                        </a:effectLst>
                      </wps:spPr>
                      <wps:style>
                        <a:lnRef idx="0"/>
                        <a:fillRef idx="0"/>
                        <a:effectRef idx="0"/>
                        <a:fontRef idx="minor"/>
                      </wps:style>
                      <wps:txb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sz w:val="36"/>
                                <w:szCs w:val="36"/>
                                <w:lang w:val="fr-FR"/>
                              </w:rPr>
                              <w:t>PIMENT DÉLICE</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t xml:space="preserve">Création d’une Entreprise de Maraîchage </w:t>
                            </w:r>
                          </w:p>
                          <w:p>
                            <w:pPr>
                              <w:pStyle w:val="Sansinterligne"/>
                              <w:spacing w:before="40" w:after="40"/>
                              <w:rPr>
                                <w:rFonts w:ascii="Cambria" w:hAnsi="Cambria" w:cs="Cambria"/>
                                <w:b/>
                                <w:bCs/>
                                <w:caps/>
                                <w:color w:val="501549"/>
                                <w:sz w:val="28"/>
                                <w:szCs w:val="28"/>
                                <w:lang w:val="fr-FR"/>
                              </w:rPr>
                            </w:pPr>
                            <w:r>
                              <w:rPr/>
                            </w:r>
                          </w:p>
                        </w:txbxContent>
                      </wps:txbx>
                      <wps:bodyPr lIns="0" rIns="0" tIns="0" bIns="0" anchor="t">
                        <a:noAutofit/>
                      </wps:bodyPr>
                    </wps:wsp>
                  </a:graphicData>
                </a:graphic>
              </wp:anchor>
            </w:drawing>
          </mc:Choice>
          <mc:Fallback>
            <w:pict>
              <v:rect id="shape_0" ID="Frame1" path="m0,0l-2147483645,0l-2147483645,-2147483646l0,-2147483646xe" fillcolor="#95dcf7" stroked="t" o:allowincell="f" style="position:absolute;margin-left:9.9pt;margin-top:278.7pt;width:456.95pt;height:65.75pt;mso-wrap-style:square;v-text-anchor:top;mso-position-horizontal-relative:margin;mso-position-vertical-relative:page">
                <v:fill o:detectmouseclick="t" color2="white"/>
                <v:stroke color="#60caf3" weight="12600" joinstyle="round" endcap="flat"/>
                <v:shadow on="t" obscured="f" color="#074e69"/>
                <v:textbo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sz w:val="36"/>
                          <w:szCs w:val="36"/>
                          <w:lang w:val="fr-FR"/>
                        </w:rPr>
                        <w:t>PIMENT DÉLICE</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t xml:space="preserve">Création d’une Entreprise de Maraîchage </w:t>
                      </w:r>
                    </w:p>
                    <w:p>
                      <w:pPr>
                        <w:pStyle w:val="Sansinterligne"/>
                        <w:spacing w:before="40" w:after="40"/>
                        <w:rPr>
                          <w:rFonts w:ascii="Cambria" w:hAnsi="Cambria" w:cs="Cambria"/>
                          <w:b/>
                          <w:bCs/>
                          <w:caps/>
                          <w:color w:val="501549"/>
                          <w:sz w:val="28"/>
                          <w:szCs w:val="28"/>
                          <w:lang w:val="fr-FR"/>
                        </w:rPr>
                      </w:pPr>
                      <w:r>
                        <w:rPr/>
                      </w:r>
                    </w:p>
                  </w:txbxContent>
                </v:textbox>
                <w10:wrap type="square"/>
              </v:rect>
            </w:pict>
          </mc:Fallback>
        </mc:AlternateContent>
      </w:r>
      <w:r>
        <w:rPr>
          <w:b/>
          <w:i/>
          <w:sz w:val="52"/>
          <w:szCs w:val="32"/>
        </w:rPr>
        <w:t>PLAN D’AFFAIRES</w:t>
      </w:r>
    </w:p>
    <w:tbl>
      <w:tblPr>
        <w:tblW w:w="9889" w:type="dxa"/>
        <w:jc w:val="left"/>
        <w:tblInd w:w="0" w:type="dxa"/>
        <w:tblLayout w:type="fixed"/>
        <w:tblCellMar>
          <w:top w:w="0" w:type="dxa"/>
          <w:left w:w="108" w:type="dxa"/>
          <w:bottom w:w="0" w:type="dxa"/>
          <w:right w:w="108" w:type="dxa"/>
        </w:tblCellMar>
      </w:tblPr>
      <w:tblGrid>
        <w:gridCol w:w="5056"/>
        <w:gridCol w:w="1660"/>
        <w:gridCol w:w="3173"/>
      </w:tblGrid>
      <w:tr>
        <w:trPr>
          <w:trHeight w:val="402" w:hRule="atLeast"/>
        </w:trPr>
        <w:tc>
          <w:tcPr>
            <w:tcW w:w="5056" w:type="dxa"/>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Elaboré avec l’appui de</w:t>
            </w:r>
          </w:p>
        </w:tc>
        <w:tc>
          <w:tcPr>
            <w:tcW w:w="4833" w:type="dxa"/>
            <w:gridSpan w:val="2"/>
            <w:tcBorders>
              <w:top w:val="dotted" w:sz="4" w:space="0" w:color="000000"/>
              <w:left w:val="dotted" w:sz="4" w:space="0" w:color="000000"/>
              <w:bottom w:val="dotted" w:sz="4" w:space="0" w:color="000000"/>
              <w:right w:val="dotted" w:sz="4" w:space="0" w:color="000000"/>
            </w:tcBorders>
            <w:vAlign w:val="center"/>
          </w:tcPr>
          <w:p>
            <w:pPr>
              <w:pStyle w:val="Normal"/>
              <w:rPr>
                <w:i/>
                <w:i/>
                <w:iCs/>
              </w:rPr>
            </w:pPr>
            <w:r>
              <w:rPr>
                <w:b/>
                <w:bCs/>
                <w:i/>
                <w:iCs/>
              </w:rPr>
              <w:t>APEJ</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Nom(s) et prénom(s)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Lamine Fofana</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Contact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lang w:val="en-CA"/>
              </w:rPr>
            </w:pPr>
            <w:r>
              <w:rPr>
                <w:lang w:val="en-CA"/>
              </w:rPr>
              <w:t xml:space="preserve">Cell: </w:t>
            </w:r>
            <w:r>
              <w:rPr/>
              <w:t>74 57 44 20/ 97 07 92 31</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Adresse</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Daoudabougou</w:t>
            </w:r>
          </w:p>
        </w:tc>
      </w:tr>
      <w:tr>
        <w:trPr>
          <w:trHeight w:val="349"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Secteur d’activité</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Maraichage</w:t>
            </w:r>
          </w:p>
        </w:tc>
      </w:tr>
      <w:tr>
        <w:trPr>
          <w:trHeight w:val="170" w:hRule="atLeast"/>
        </w:trPr>
        <w:tc>
          <w:tcPr>
            <w:tcW w:w="5056" w:type="dxa"/>
            <w:vMerge w:val="restart"/>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Type de guichet</w:t>
            </w:r>
          </w:p>
        </w:tc>
        <w:tc>
          <w:tcPr>
            <w:tcW w:w="1660"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rPr/>
            </w:pPr>
            <w:r>
              <w:rPr/>
              <w:t>En création</w:t>
            </w:r>
          </w:p>
        </w:tc>
        <w:tc>
          <w:tcPr>
            <w:tcW w:w="3173"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jc w:val="center"/>
              <w:rPr>
                <w:b/>
                <w:bCs/>
              </w:rPr>
            </w:pPr>
            <w:r>
              <w:rPr>
                <w:b/>
                <w:bCs/>
                <w:lang w:val="en-US" w:eastAsia="en-US"/>
              </w:rPr>
              <w:t>X</w:t>
            </w:r>
          </w:p>
        </w:tc>
      </w:tr>
      <w:tr>
        <w:trPr>
          <w:trHeight w:val="170" w:hRule="atLeast"/>
        </w:trPr>
        <w:tc>
          <w:tcPr>
            <w:tcW w:w="5056"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snapToGrid w:val="false"/>
              <w:rPr>
                <w:b/>
                <w:bCs/>
              </w:rPr>
            </w:pPr>
            <w:r>
              <w:rPr>
                <w:b/>
                <w:bCs/>
              </w:rPr>
            </w:r>
          </w:p>
        </w:tc>
        <w:tc>
          <w:tcPr>
            <w:tcW w:w="166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pacing w:lineRule="auto" w:line="360"/>
              <w:rPr/>
            </w:pPr>
            <w:r>
              <w:rPr/>
              <w:t>En croissance</w:t>
            </w:r>
          </w:p>
        </w:tc>
        <w:tc>
          <w:tcPr>
            <w:tcW w:w="3173"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napToGrid w:val="false"/>
              <w:spacing w:lineRule="auto" w:line="360"/>
              <w:jc w:val="center"/>
              <w:rPr>
                <w:b/>
                <w:bCs/>
                <w:lang w:val="en-US" w:eastAsia="en-US"/>
              </w:rPr>
            </w:pPr>
            <w:r>
              <w:rPr>
                <w:b/>
                <w:bCs/>
                <w:lang w:val="en-US" w:eastAsia="en-US"/>
              </w:rPr>
            </w:r>
          </w:p>
        </w:tc>
      </w:tr>
    </w:tbl>
    <w:p>
      <w:pPr>
        <w:pStyle w:val="Normal"/>
        <w:rPr>
          <w:lang w:val="en-US" w:eastAsia="en-US"/>
        </w:rPr>
      </w:pPr>
      <w:r>
        <w:rPr>
          <w:lang w:val="en-US" w:eastAsia="en-US"/>
        </w:rPr>
      </w:r>
      <w:r>
        <w:br w:type="page"/>
      </w:r>
    </w:p>
    <w:p>
      <w:pPr>
        <w:pStyle w:val="Normal"/>
        <w:rPr/>
      </w:pPr>
      <w:r>
        <w:rPr/>
        <mc:AlternateContent>
          <mc:Choice Requires="wps">
            <w:drawing>
              <wp:anchor behindDoc="0" distT="0" distB="0" distL="0" distR="0" simplePos="0" locked="0" layoutInCell="0" allowOverlap="1" relativeHeight="13">
                <wp:simplePos x="0" y="0"/>
                <wp:positionH relativeFrom="margin">
                  <wp:posOffset>4903470</wp:posOffset>
                </wp:positionH>
                <wp:positionV relativeFrom="page">
                  <wp:posOffset>9514840</wp:posOffset>
                </wp:positionV>
                <wp:extent cx="1353185" cy="266700"/>
                <wp:effectExtent l="0" t="0" r="0" b="0"/>
                <wp:wrapNone/>
                <wp:docPr id="2" name="Frame2"/>
                <a:graphic xmlns:a="http://schemas.openxmlformats.org/drawingml/2006/main">
                  <a:graphicData uri="http://schemas.microsoft.com/office/word/2010/wordprocessingShape">
                    <wps:wsp>
                      <wps:cNvSpPr/>
                      <wps:spPr>
                        <a:xfrm>
                          <a:off x="0" y="0"/>
                          <a:ext cx="1353240" cy="266760"/>
                        </a:xfrm>
                        <a:prstGeom prst="rect">
                          <a:avLst/>
                        </a:prstGeom>
                        <a:solidFill>
                          <a:srgbClr val="156082"/>
                        </a:solidFill>
                        <a:ln w="0">
                          <a:noFill/>
                        </a:ln>
                      </wps:spPr>
                      <wps:style>
                        <a:lnRef idx="0"/>
                        <a:fillRef idx="0"/>
                        <a:effectRef idx="0"/>
                        <a:fontRef idx="minor"/>
                      </wps:style>
                      <wps:txb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wps:txbx>
                      <wps:bodyPr lIns="47160" rIns="47160" tIns="47160" bIns="47160" anchor="t">
                        <a:noAutofit/>
                      </wps:bodyPr>
                    </wps:wsp>
                  </a:graphicData>
                </a:graphic>
              </wp:anchor>
            </w:drawing>
          </mc:Choice>
          <mc:Fallback>
            <w:pict>
              <v:rect id="shape_0" ID="Frame2" path="m0,0l-2147483645,0l-2147483645,-2147483646l0,-2147483646xe" fillcolor="#156082" stroked="f" o:allowincell="f" style="position:absolute;margin-left:386.1pt;margin-top:749.2pt;width:106.5pt;height:20.95pt;mso-wrap-style:square;v-text-anchor:top;mso-position-horizontal-relative:margin;mso-position-vertical-relative:page">
                <v:fill o:detectmouseclick="t" type="solid" color2="#ea9f7d"/>
                <v:stroke color="#3465a4" joinstyle="round" endcap="flat"/>
                <v:textbo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v:textbox>
                <w10:wrap type="none"/>
              </v:rect>
            </w:pict>
          </mc:Fallback>
        </mc:AlternateContent>
      </w:r>
    </w:p>
    <w:p>
      <w:pPr>
        <w:pStyle w:val="Normal"/>
        <w:jc w:val="center"/>
        <w:rPr>
          <w:b/>
          <w:i/>
          <w:i/>
          <w:sz w:val="28"/>
          <w:szCs w:val="20"/>
        </w:rPr>
      </w:pPr>
      <w:r>
        <w:rPr>
          <w:b/>
          <w:i/>
          <w:sz w:val="28"/>
          <w:szCs w:val="20"/>
        </w:rPr>
        <w:t>Table des matières</w:t>
      </w:r>
    </w:p>
    <w:sdt>
      <w:sdtPr>
        <w:docPartObj>
          <w:docPartGallery w:val="Table of Contents"/>
          <w:docPartUnique w:val="true"/>
        </w:docPartObj>
      </w:sdtPr>
      <w:sdtContent>
        <w:p>
          <w:pPr>
            <w:pStyle w:val="TOC1"/>
            <w:tabs>
              <w:tab w:val="clear" w:pos="708"/>
              <w:tab w:val="left" w:pos="440" w:leader="none"/>
              <w:tab w:val="right" w:pos="9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4831690">
            <w:r>
              <w:rPr>
                <w:webHidden/>
                <w:rStyle w:val="IndexLink"/>
              </w:rPr>
              <w:t>I.</w:t>
              <w:tab/>
              <w:t>FICHE SIGNALÉTIQUE</w:t>
              <w:tab/>
              <w:t>2</w:t>
            </w:r>
          </w:hyperlink>
        </w:p>
        <w:p>
          <w:pPr>
            <w:pStyle w:val="TOC1"/>
            <w:tabs>
              <w:tab w:val="clear" w:pos="708"/>
              <w:tab w:val="left" w:pos="440" w:leader="none"/>
              <w:tab w:val="right" w:pos="9639" w:leader="dot"/>
            </w:tabs>
            <w:rPr/>
          </w:pPr>
          <w:hyperlink w:anchor="__RefHeading___Toc36945_3889484913">
            <w:r>
              <w:rPr>
                <w:webHidden/>
                <w:rStyle w:val="IndexLink"/>
              </w:rPr>
              <w:t>II.</w:t>
              <w:tab/>
              <w:t>APERÇU GÉNÉRAL</w:t>
              <w:tab/>
              <w:t>3</w:t>
            </w:r>
          </w:hyperlink>
        </w:p>
        <w:p>
          <w:pPr>
            <w:pStyle w:val="TOC2"/>
            <w:tabs>
              <w:tab w:val="clear" w:pos="708"/>
              <w:tab w:val="left" w:pos="880" w:leader="none"/>
              <w:tab w:val="right" w:pos="9639" w:leader="dot"/>
            </w:tabs>
            <w:rPr/>
          </w:pPr>
          <w:hyperlink w:anchor="__RefHeading___Toc234831692">
            <w:r>
              <w:rPr>
                <w:webHidden/>
                <w:rStyle w:val="IndexLink"/>
              </w:rPr>
              <w:t>1.</w:t>
              <w:tab/>
            </w:r>
            <w:r>
              <w:rPr>
                <w:rStyle w:val="IndexLink"/>
                <w:i w:val="false"/>
                <w:iCs w:val="false"/>
              </w:rPr>
              <w:t>Présentation du Promoteur :</w:t>
            </w:r>
            <w:r>
              <w:rPr>
                <w:rStyle w:val="IndexLink"/>
              </w:rPr>
              <w:tab/>
              <w:t>3</w:t>
            </w:r>
          </w:hyperlink>
        </w:p>
        <w:p>
          <w:pPr>
            <w:pStyle w:val="TOC2"/>
            <w:tabs>
              <w:tab w:val="clear" w:pos="708"/>
              <w:tab w:val="left" w:pos="880" w:leader="none"/>
              <w:tab w:val="right" w:pos="9639" w:leader="dot"/>
            </w:tabs>
            <w:rPr/>
          </w:pPr>
          <w:hyperlink w:anchor="__RefHeading___Toc234831693">
            <w:r>
              <w:rPr>
                <w:webHidden/>
                <w:rStyle w:val="IndexLink"/>
              </w:rPr>
              <w:t>3.</w:t>
              <w:tab/>
            </w:r>
            <w:r>
              <w:rPr>
                <w:rStyle w:val="IndexLink"/>
                <w:i w:val="false"/>
                <w:iCs w:val="false"/>
              </w:rPr>
              <w:t>Description du projet :</w:t>
            </w:r>
            <w:r>
              <w:rPr>
                <w:rStyle w:val="IndexLink"/>
              </w:rPr>
              <w:tab/>
              <w:t>4</w:t>
            </w:r>
          </w:hyperlink>
        </w:p>
        <w:p>
          <w:pPr>
            <w:pStyle w:val="TOC2"/>
            <w:tabs>
              <w:tab w:val="clear" w:pos="708"/>
              <w:tab w:val="left" w:pos="880" w:leader="none"/>
              <w:tab w:val="right" w:pos="9639" w:leader="dot"/>
            </w:tabs>
            <w:rPr/>
          </w:pPr>
          <w:hyperlink w:anchor="__RefHeading___Toc234831694">
            <w:r>
              <w:rPr>
                <w:webHidden/>
                <w:rStyle w:val="IndexLink"/>
              </w:rPr>
              <w:t>4.</w:t>
              <w:tab/>
            </w:r>
            <w:r>
              <w:rPr>
                <w:rStyle w:val="IndexLink"/>
                <w:i w:val="false"/>
                <w:iCs w:val="false"/>
              </w:rPr>
              <w:t>Objectifs du projet :</w:t>
            </w:r>
            <w:r>
              <w:rPr>
                <w:rStyle w:val="IndexLink"/>
              </w:rPr>
              <w:tab/>
              <w:t>5</w:t>
            </w:r>
          </w:hyperlink>
        </w:p>
        <w:p>
          <w:pPr>
            <w:pStyle w:val="TOC2"/>
            <w:tabs>
              <w:tab w:val="clear" w:pos="708"/>
              <w:tab w:val="left" w:pos="880" w:leader="none"/>
              <w:tab w:val="right" w:pos="9639" w:leader="dot"/>
            </w:tabs>
            <w:rPr/>
          </w:pPr>
          <w:hyperlink w:anchor="__RefHeading___Toc234831695">
            <w:r>
              <w:rPr>
                <w:webHidden/>
                <w:rStyle w:val="IndexLink"/>
              </w:rPr>
              <w:t>5.</w:t>
              <w:tab/>
            </w:r>
            <w:r>
              <w:rPr>
                <w:rStyle w:val="IndexLink"/>
                <w:i w:val="false"/>
                <w:iCs w:val="false"/>
              </w:rPr>
              <w:t>Localisation du projet</w:t>
            </w:r>
            <w:r>
              <w:rPr>
                <w:rStyle w:val="IndexLink"/>
              </w:rPr>
              <w:tab/>
              <w:t>5</w:t>
            </w:r>
          </w:hyperlink>
        </w:p>
        <w:p>
          <w:pPr>
            <w:pStyle w:val="TOC1"/>
            <w:tabs>
              <w:tab w:val="clear" w:pos="708"/>
              <w:tab w:val="left" w:pos="440" w:leader="none"/>
              <w:tab w:val="right" w:pos="9639" w:leader="dot"/>
            </w:tabs>
            <w:rPr/>
          </w:pPr>
          <w:hyperlink w:anchor="__RefHeading___Toc234831696">
            <w:r>
              <w:rPr>
                <w:webHidden/>
                <w:rStyle w:val="IndexLink"/>
              </w:rPr>
              <w:t>III.</w:t>
              <w:tab/>
              <w:t>ÉTUDE DE MARCHÉ</w:t>
              <w:tab/>
              <w:t>5</w:t>
            </w:r>
          </w:hyperlink>
        </w:p>
        <w:p>
          <w:pPr>
            <w:pStyle w:val="TOC1"/>
            <w:tabs>
              <w:tab w:val="clear" w:pos="708"/>
              <w:tab w:val="left" w:pos="440" w:leader="none"/>
              <w:tab w:val="right" w:pos="9639" w:leader="dot"/>
            </w:tabs>
            <w:rPr/>
          </w:pPr>
          <w:hyperlink w:anchor="__RefHeading___Toc234831707">
            <w:r>
              <w:rPr>
                <w:webHidden/>
                <w:rStyle w:val="IndexLink"/>
              </w:rPr>
              <w:t>IV.</w:t>
              <w:tab/>
              <w:t>ÉTUDE TECHNIQUE</w:t>
              <w:tab/>
              <w:t>8</w:t>
            </w:r>
          </w:hyperlink>
        </w:p>
        <w:p>
          <w:pPr>
            <w:pStyle w:val="TOC2"/>
            <w:tabs>
              <w:tab w:val="clear" w:pos="708"/>
              <w:tab w:val="left" w:pos="880" w:leader="none"/>
              <w:tab w:val="right" w:pos="9639" w:leader="dot"/>
            </w:tabs>
            <w:rPr/>
          </w:pPr>
          <w:hyperlink w:anchor="__RefHeading___Toc234831708">
            <w:r>
              <w:rPr>
                <w:webHidden/>
                <w:rStyle w:val="IndexLink"/>
              </w:rPr>
              <w:t>1.</w:t>
              <w:tab/>
            </w:r>
            <w:r>
              <w:rPr>
                <w:rStyle w:val="IndexLink"/>
                <w:i w:val="false"/>
                <w:iCs w:val="false"/>
              </w:rPr>
              <w:t>Site d’implantation :</w:t>
            </w:r>
            <w:r>
              <w:rPr>
                <w:rStyle w:val="IndexLink"/>
              </w:rPr>
              <w:tab/>
              <w:t>8</w:t>
            </w:r>
          </w:hyperlink>
        </w:p>
        <w:p>
          <w:pPr>
            <w:pStyle w:val="TOC2"/>
            <w:tabs>
              <w:tab w:val="clear" w:pos="708"/>
              <w:tab w:val="left" w:pos="880" w:leader="none"/>
              <w:tab w:val="right" w:pos="9639" w:leader="dot"/>
            </w:tabs>
            <w:rPr/>
          </w:pPr>
          <w:hyperlink w:anchor="__RefHeading___Toc234831709">
            <w:r>
              <w:rPr>
                <w:webHidden/>
                <w:rStyle w:val="IndexLink"/>
              </w:rPr>
              <w:t>2.</w:t>
              <w:tab/>
            </w:r>
            <w:r>
              <w:rPr>
                <w:rStyle w:val="IndexLink"/>
                <w:i w:val="false"/>
                <w:iCs w:val="false"/>
              </w:rPr>
              <w:t>Locaux, aménagements / installations et équipements</w:t>
            </w:r>
            <w:r>
              <w:rPr>
                <w:rStyle w:val="IndexLink"/>
              </w:rPr>
              <w:tab/>
              <w:t>8</w:t>
            </w:r>
          </w:hyperlink>
        </w:p>
        <w:p>
          <w:pPr>
            <w:pStyle w:val="TOC3"/>
            <w:tabs>
              <w:tab w:val="clear" w:pos="708"/>
              <w:tab w:val="left" w:pos="1320" w:leader="none"/>
              <w:tab w:val="right" w:pos="9639" w:leader="dot"/>
            </w:tabs>
            <w:rPr/>
          </w:pPr>
          <w:hyperlink w:anchor="__RefHeading___Toc234831710">
            <w:r>
              <w:rPr>
                <w:webHidden/>
                <w:rStyle w:val="IndexLink"/>
              </w:rPr>
              <w:t>2.1</w:t>
              <w:tab/>
              <w:t>Equipements de production :</w:t>
              <w:tab/>
              <w:t>8</w:t>
            </w:r>
          </w:hyperlink>
        </w:p>
        <w:p>
          <w:pPr>
            <w:pStyle w:val="TOC2"/>
            <w:tabs>
              <w:tab w:val="clear" w:pos="708"/>
              <w:tab w:val="left" w:pos="880" w:leader="none"/>
              <w:tab w:val="right" w:pos="9639" w:leader="dot"/>
            </w:tabs>
            <w:rPr/>
          </w:pPr>
          <w:hyperlink w:anchor="__RefHeading___Toc234831711">
            <w:r>
              <w:rPr>
                <w:webHidden/>
                <w:rStyle w:val="IndexLink"/>
              </w:rPr>
              <w:t>3.</w:t>
              <w:tab/>
            </w:r>
            <w:r>
              <w:rPr>
                <w:rStyle w:val="IndexLink"/>
                <w:i w:val="false"/>
                <w:iCs w:val="false"/>
              </w:rPr>
              <w:t xml:space="preserve">Le processus de production : </w:t>
            </w:r>
            <w:r>
              <w:rPr>
                <w:rStyle w:val="IndexLink"/>
                <w:i w:val="false"/>
              </w:rPr>
              <w:t>(définir le process et la capacité de production de l’entreprise)</w:t>
            </w:r>
            <w:r>
              <w:rPr>
                <w:rStyle w:val="IndexLink"/>
              </w:rPr>
              <w:tab/>
              <w:t>9</w:t>
            </w:r>
          </w:hyperlink>
        </w:p>
        <w:p>
          <w:pPr>
            <w:pStyle w:val="TOC2"/>
            <w:tabs>
              <w:tab w:val="clear" w:pos="708"/>
              <w:tab w:val="left" w:pos="880" w:leader="none"/>
              <w:tab w:val="right" w:pos="9639" w:leader="dot"/>
            </w:tabs>
            <w:rPr/>
          </w:pPr>
          <w:hyperlink w:anchor="__RefHeading___Toc234831712">
            <w:r>
              <w:rPr>
                <w:webHidden/>
                <w:rStyle w:val="IndexLink"/>
              </w:rPr>
              <w:t>4.</w:t>
              <w:tab/>
            </w:r>
            <w:r>
              <w:rPr>
                <w:rStyle w:val="IndexLink"/>
                <w:i w:val="false"/>
                <w:iCs w:val="false"/>
              </w:rPr>
              <w:t xml:space="preserve">Le personnel : </w:t>
            </w:r>
            <w:r>
              <w:rPr>
                <w:rStyle w:val="IndexLink"/>
              </w:rPr>
              <w:t>(profil et compétences)</w:t>
              <w:tab/>
              <w:t>9</w:t>
            </w:r>
          </w:hyperlink>
        </w:p>
        <w:p>
          <w:pPr>
            <w:pStyle w:val="TOC1"/>
            <w:tabs>
              <w:tab w:val="clear" w:pos="708"/>
              <w:tab w:val="left" w:pos="440" w:leader="none"/>
              <w:tab w:val="right" w:pos="9639" w:leader="dot"/>
            </w:tabs>
            <w:rPr/>
          </w:pPr>
          <w:hyperlink w:anchor="__RefHeading___Toc234831713">
            <w:r>
              <w:rPr>
                <w:webHidden/>
                <w:rStyle w:val="IndexLink"/>
              </w:rPr>
              <w:t>V.</w:t>
              <w:tab/>
              <w:t>ÉTUDE ÉCONOMIQUE ET FINANCIÈRE</w:t>
              <w:tab/>
              <w:t>9</w:t>
            </w:r>
          </w:hyperlink>
        </w:p>
        <w:p>
          <w:pPr>
            <w:pStyle w:val="TOC2"/>
            <w:tabs>
              <w:tab w:val="clear" w:pos="708"/>
              <w:tab w:val="left" w:pos="880" w:leader="none"/>
              <w:tab w:val="right" w:pos="9639" w:leader="dot"/>
            </w:tabs>
            <w:rPr/>
          </w:pPr>
          <w:hyperlink w:anchor="__RefHeading___Toc234831714">
            <w:r>
              <w:rPr>
                <w:webHidden/>
                <w:rStyle w:val="IndexLink"/>
              </w:rPr>
              <w:t>V.1</w:t>
              <w:tab/>
            </w:r>
            <w:r>
              <w:rPr>
                <w:rStyle w:val="IndexLink"/>
                <w:i w:val="false"/>
                <w:iCs w:val="false"/>
              </w:rPr>
              <w:t>Hypothèses de base</w:t>
            </w:r>
            <w:r>
              <w:rPr>
                <w:rStyle w:val="IndexLink"/>
              </w:rPr>
              <w:tab/>
              <w:t>9</w:t>
            </w:r>
          </w:hyperlink>
        </w:p>
        <w:p>
          <w:pPr>
            <w:pStyle w:val="TOC3"/>
            <w:tabs>
              <w:tab w:val="clear" w:pos="708"/>
              <w:tab w:val="left" w:pos="1320" w:leader="none"/>
              <w:tab w:val="right" w:pos="9639" w:leader="dot"/>
            </w:tabs>
            <w:rPr/>
          </w:pPr>
          <w:hyperlink w:anchor="__RefHeading___Toc234831715">
            <w:r>
              <w:rPr>
                <w:webHidden/>
                <w:rStyle w:val="IndexLink"/>
              </w:rPr>
              <w:t>V.1.1</w:t>
              <w:tab/>
              <w:t>Recettes prévisionnelles annuelles</w:t>
              <w:tab/>
              <w:t>9</w:t>
            </w:r>
          </w:hyperlink>
        </w:p>
        <w:p>
          <w:pPr>
            <w:pStyle w:val="TOC3"/>
            <w:tabs>
              <w:tab w:val="clear" w:pos="708"/>
              <w:tab w:val="left" w:pos="1320" w:leader="none"/>
              <w:tab w:val="right" w:pos="9639" w:leader="dot"/>
            </w:tabs>
            <w:rPr/>
          </w:pPr>
          <w:hyperlink w:anchor="__RefHeading___Toc234831716">
            <w:r>
              <w:rPr>
                <w:webHidden/>
                <w:rStyle w:val="IndexLink"/>
              </w:rPr>
              <w:t>V.1.2</w:t>
              <w:tab/>
              <w:t>Données prévisionnelles sur les achats</w:t>
              <w:tab/>
              <w:t>10</w:t>
            </w:r>
          </w:hyperlink>
        </w:p>
        <w:p>
          <w:pPr>
            <w:pStyle w:val="TOC3"/>
            <w:tabs>
              <w:tab w:val="clear" w:pos="708"/>
              <w:tab w:val="left" w:pos="1320" w:leader="none"/>
              <w:tab w:val="right" w:pos="9639" w:leader="dot"/>
            </w:tabs>
            <w:rPr/>
          </w:pPr>
          <w:hyperlink w:anchor="__RefHeading___Toc234831717">
            <w:r>
              <w:rPr>
                <w:webHidden/>
                <w:rStyle w:val="IndexLink"/>
              </w:rPr>
              <w:tab/>
              <w:t>Achats de matières premières</w:t>
              <w:tab/>
              <w:t>10</w:t>
            </w:r>
          </w:hyperlink>
        </w:p>
        <w:p>
          <w:pPr>
            <w:pStyle w:val="TOC3"/>
            <w:tabs>
              <w:tab w:val="clear" w:pos="708"/>
              <w:tab w:val="left" w:pos="1320" w:leader="none"/>
              <w:tab w:val="right" w:pos="9639" w:leader="dot"/>
            </w:tabs>
            <w:rPr/>
          </w:pPr>
          <w:hyperlink w:anchor="__RefHeading___Toc234831718">
            <w:r>
              <w:rPr>
                <w:webHidden/>
                <w:rStyle w:val="IndexLink"/>
              </w:rPr>
              <w:t>V.1.3</w:t>
              <w:tab/>
              <w:t>Frais Généraux</w:t>
              <w:tab/>
              <w:t>10</w:t>
            </w:r>
          </w:hyperlink>
        </w:p>
        <w:p>
          <w:pPr>
            <w:pStyle w:val="TOC3"/>
            <w:tabs>
              <w:tab w:val="clear" w:pos="708"/>
              <w:tab w:val="left" w:pos="1320" w:leader="none"/>
              <w:tab w:val="right" w:pos="9639" w:leader="dot"/>
            </w:tabs>
            <w:rPr/>
          </w:pPr>
          <w:hyperlink w:anchor="__RefHeading___Toc234831719">
            <w:r>
              <w:rPr>
                <w:webHidden/>
                <w:rStyle w:val="IndexLink"/>
              </w:rPr>
              <w:t>V.1.4</w:t>
              <w:tab/>
              <w:t>Dotations aux amortissements</w:t>
              <w:tab/>
              <w:t>10</w:t>
            </w:r>
          </w:hyperlink>
        </w:p>
        <w:p>
          <w:pPr>
            <w:pStyle w:val="TOC3"/>
            <w:tabs>
              <w:tab w:val="clear" w:pos="708"/>
              <w:tab w:val="left" w:pos="1320" w:leader="none"/>
              <w:tab w:val="right" w:pos="9639" w:leader="dot"/>
            </w:tabs>
            <w:rPr/>
          </w:pPr>
          <w:hyperlink w:anchor="__RefHeading___Toc234831720">
            <w:r>
              <w:rPr>
                <w:webHidden/>
                <w:rStyle w:val="IndexLink"/>
              </w:rPr>
              <w:t>V.1.5</w:t>
              <w:tab/>
              <w:t>Echéancier de remboursement</w:t>
              <w:tab/>
              <w:t>11</w:t>
            </w:r>
          </w:hyperlink>
        </w:p>
        <w:p>
          <w:pPr>
            <w:pStyle w:val="TOC2"/>
            <w:tabs>
              <w:tab w:val="clear" w:pos="708"/>
              <w:tab w:val="left" w:pos="880" w:leader="none"/>
              <w:tab w:val="right" w:pos="9639" w:leader="dot"/>
            </w:tabs>
            <w:rPr/>
          </w:pPr>
          <w:hyperlink w:anchor="__RefHeading___Toc234831721">
            <w:r>
              <w:rPr>
                <w:webHidden/>
                <w:rStyle w:val="IndexLink"/>
              </w:rPr>
              <w:t>V.2</w:t>
              <w:tab/>
            </w:r>
            <w:r>
              <w:rPr>
                <w:rStyle w:val="IndexLink"/>
                <w:i w:val="false"/>
                <w:iCs w:val="false"/>
              </w:rPr>
              <w:t>Coût total du projet</w:t>
            </w:r>
            <w:r>
              <w:rPr>
                <w:rStyle w:val="IndexLink"/>
              </w:rPr>
              <w:tab/>
              <w:t>13</w:t>
            </w:r>
          </w:hyperlink>
        </w:p>
        <w:p>
          <w:pPr>
            <w:pStyle w:val="TOC2"/>
            <w:tabs>
              <w:tab w:val="clear" w:pos="708"/>
              <w:tab w:val="left" w:pos="880" w:leader="none"/>
              <w:tab w:val="right" w:pos="9639" w:leader="dot"/>
            </w:tabs>
            <w:rPr/>
          </w:pPr>
          <w:hyperlink w:anchor="__RefHeading___Toc234831722">
            <w:r>
              <w:rPr>
                <w:webHidden/>
                <w:rStyle w:val="IndexLink"/>
              </w:rPr>
              <w:t>V.3</w:t>
              <w:tab/>
            </w:r>
            <w:r>
              <w:rPr>
                <w:rStyle w:val="IndexLink"/>
                <w:i w:val="false"/>
                <w:iCs w:val="false"/>
              </w:rPr>
              <w:t>Plan de financement</w:t>
            </w:r>
            <w:r>
              <w:rPr>
                <w:rStyle w:val="IndexLink"/>
              </w:rPr>
              <w:tab/>
              <w:t>14</w:t>
            </w:r>
          </w:hyperlink>
        </w:p>
        <w:p>
          <w:pPr>
            <w:pStyle w:val="TOC2"/>
            <w:tabs>
              <w:tab w:val="clear" w:pos="708"/>
              <w:tab w:val="left" w:pos="880" w:leader="none"/>
              <w:tab w:val="right" w:pos="9639" w:leader="dot"/>
            </w:tabs>
            <w:rPr/>
          </w:pPr>
          <w:hyperlink w:anchor="__RefHeading___Toc234831723">
            <w:r>
              <w:rPr>
                <w:webHidden/>
                <w:rStyle w:val="IndexLink"/>
              </w:rPr>
              <w:t>V.4</w:t>
              <w:tab/>
            </w:r>
            <w:r>
              <w:rPr>
                <w:rStyle w:val="IndexLink"/>
                <w:i w:val="false"/>
                <w:iCs w:val="false"/>
              </w:rPr>
              <w:t>Compte d'exploitation prévisionnel</w:t>
            </w:r>
            <w:r>
              <w:rPr>
                <w:rStyle w:val="IndexLink"/>
              </w:rPr>
              <w:tab/>
              <w:t>14</w:t>
            </w:r>
          </w:hyperlink>
        </w:p>
        <w:p>
          <w:pPr>
            <w:pStyle w:val="TOC2"/>
            <w:tabs>
              <w:tab w:val="clear" w:pos="708"/>
              <w:tab w:val="left" w:pos="880" w:leader="none"/>
              <w:tab w:val="right" w:pos="9639" w:leader="dot"/>
            </w:tabs>
            <w:rPr/>
          </w:pPr>
          <w:hyperlink w:anchor="__RefHeading___Toc234831724">
            <w:r>
              <w:rPr>
                <w:webHidden/>
                <w:rStyle w:val="IndexLink"/>
              </w:rPr>
              <w:t>V.5</w:t>
              <w:tab/>
            </w:r>
            <w:r>
              <w:rPr>
                <w:rStyle w:val="IndexLink"/>
                <w:i w:val="false"/>
                <w:iCs w:val="false"/>
              </w:rPr>
              <w:t>Tableau de financement annuel</w:t>
            </w:r>
            <w:r>
              <w:rPr>
                <w:rStyle w:val="IndexLink"/>
              </w:rPr>
              <w:tab/>
              <w:t>15</w:t>
            </w:r>
          </w:hyperlink>
        </w:p>
        <w:p>
          <w:pPr>
            <w:pStyle w:val="TOC2"/>
            <w:tabs>
              <w:tab w:val="clear" w:pos="708"/>
              <w:tab w:val="left" w:pos="880" w:leader="none"/>
              <w:tab w:val="right" w:pos="9639" w:leader="dot"/>
            </w:tabs>
            <w:rPr/>
          </w:pPr>
          <w:hyperlink w:anchor="__RefHeading___Toc234831725">
            <w:r>
              <w:rPr>
                <w:webHidden/>
                <w:rStyle w:val="IndexLink"/>
              </w:rPr>
              <w:t>V.6</w:t>
              <w:tab/>
            </w:r>
            <w:r>
              <w:rPr>
                <w:rStyle w:val="IndexLink"/>
                <w:i w:val="false"/>
                <w:iCs w:val="false"/>
              </w:rPr>
              <w:t>Bilan de départ</w:t>
            </w:r>
            <w:r>
              <w:rPr>
                <w:rStyle w:val="IndexLink"/>
              </w:rPr>
              <w:tab/>
              <w:t>16</w:t>
            </w:r>
          </w:hyperlink>
        </w:p>
        <w:p>
          <w:pPr>
            <w:pStyle w:val="TOC2"/>
            <w:tabs>
              <w:tab w:val="clear" w:pos="708"/>
              <w:tab w:val="left" w:pos="880" w:leader="none"/>
              <w:tab w:val="right" w:pos="9639" w:leader="dot"/>
            </w:tabs>
            <w:rPr/>
          </w:pPr>
          <w:hyperlink w:anchor="__RefHeading___Toc234831726">
            <w:r>
              <w:rPr>
                <w:webHidden/>
                <w:rStyle w:val="IndexLink"/>
              </w:rPr>
              <w:t>V.7</w:t>
              <w:tab/>
            </w:r>
            <w:r>
              <w:rPr>
                <w:rStyle w:val="IndexLink"/>
                <w:i w:val="false"/>
                <w:iCs w:val="false"/>
              </w:rPr>
              <w:t>Calcul de rentabilité</w:t>
            </w:r>
            <w:r>
              <w:rPr>
                <w:rStyle w:val="IndexLink"/>
              </w:rPr>
              <w:tab/>
              <w:t>17</w:t>
            </w:r>
          </w:hyperlink>
        </w:p>
        <w:p>
          <w:pPr>
            <w:pStyle w:val="TOC1"/>
            <w:tabs>
              <w:tab w:val="clear" w:pos="708"/>
              <w:tab w:val="left" w:pos="440" w:leader="none"/>
              <w:tab w:val="right" w:pos="9639" w:leader="dot"/>
            </w:tabs>
            <w:rPr/>
          </w:pPr>
          <w:hyperlink w:anchor="__RefHeading___Toc234831727">
            <w:r>
              <w:rPr>
                <w:webHidden/>
                <w:rStyle w:val="IndexLink"/>
              </w:rPr>
              <w:t>VI.</w:t>
              <w:tab/>
              <w:t>ANALYSE DES FORCES, FAIBLESSES, OPPORTUNITÉS ET MENACES</w:t>
              <w:tab/>
              <w:t>18</w:t>
            </w:r>
          </w:hyperlink>
        </w:p>
        <w:p>
          <w:pPr>
            <w:pStyle w:val="TOC1"/>
            <w:tabs>
              <w:tab w:val="clear" w:pos="708"/>
              <w:tab w:val="left" w:pos="440" w:leader="none"/>
              <w:tab w:val="right" w:pos="9639" w:leader="dot"/>
            </w:tabs>
            <w:rPr/>
          </w:pPr>
          <w:hyperlink w:anchor="__RefHeading___Toc234831728">
            <w:r>
              <w:rPr>
                <w:webHidden/>
                <w:rStyle w:val="IndexLink"/>
              </w:rPr>
              <w:t>VII.</w:t>
              <w:tab/>
              <w:t>CONCLUSION</w:t>
              <w:tab/>
              <w:t>20</w:t>
            </w:r>
          </w:hyperlink>
          <w:r>
            <w:rPr>
              <w:rStyle w:val="IndexLink"/>
            </w:rPr>
            <w:fldChar w:fldCharType="end"/>
          </w:r>
        </w:p>
      </w:sdtContent>
    </w:sdt>
    <w:p>
      <w:pPr>
        <w:pStyle w:val="TOC1"/>
        <w:rPr>
          <w:rStyle w:val="IndexLink"/>
          <w:rFonts w:ascii="Calibri" w:hAnsi="Calibri" w:cs="Calibri"/>
          <w:b/>
          <w:bCs/>
          <w:caps/>
          <w:sz w:val="22"/>
          <w:szCs w:val="22"/>
        </w:rPr>
      </w:pPr>
      <w:r>
        <w:rPr>
          <w:rFonts w:cs="Calibri" w:ascii="Calibri" w:hAnsi="Calibri"/>
          <w:b/>
          <w:bCs/>
          <w:caps/>
          <w:sz w:val="22"/>
          <w:szCs w:val="22"/>
        </w:rPr>
      </w:r>
    </w:p>
    <w:p>
      <w:pPr>
        <w:pStyle w:val="Normal"/>
        <w:jc w:val="both"/>
        <w:rPr>
          <w:rFonts w:ascii="Calibri" w:hAnsi="Calibri" w:cs="Calibri"/>
          <w:b/>
          <w:bCs/>
          <w:caps/>
          <w:sz w:val="20"/>
          <w:szCs w:val="20"/>
        </w:rPr>
      </w:pPr>
      <w:r>
        <w:rPr>
          <w:rFonts w:cs="Calibri" w:ascii="Calibri" w:hAnsi="Calibri"/>
          <w:b/>
          <w:bCs/>
          <w:caps/>
          <w:sz w:val="20"/>
          <w:szCs w:val="20"/>
        </w:rPr>
      </w:r>
    </w:p>
    <w:p>
      <w:pPr>
        <w:pStyle w:val="Heading1"/>
        <w:keepLines/>
        <w:numPr>
          <w:ilvl w:val="0"/>
          <w:numId w:val="4"/>
        </w:numPr>
        <w:spacing w:before="240" w:after="120"/>
        <w:ind w:hanging="431" w:left="431" w:right="0"/>
        <w:jc w:val="both"/>
        <w:rPr>
          <w:rFonts w:ascii="Times New Roman" w:hAnsi="Times New Roman" w:cs="Times New Roman"/>
          <w:caps/>
          <w:color w:val="166B7F"/>
          <w:kern w:val="0"/>
          <w:lang w:eastAsia="en-US"/>
        </w:rPr>
      </w:pPr>
      <w:bookmarkStart w:id="0" w:name="__RefHeading___Toc234831690"/>
      <w:bookmarkEnd w:id="0"/>
      <w:r>
        <w:rPr>
          <w:rFonts w:cs="Times New Roman" w:ascii="Times New Roman" w:hAnsi="Times New Roman"/>
          <w:caps/>
          <w:color w:val="166B7F"/>
          <w:kern w:val="0"/>
          <w:lang w:eastAsia="en-US"/>
        </w:rPr>
        <w:t>FICHE SIGNALÉTIQUE</w:t>
      </w:r>
    </w:p>
    <w:tbl>
      <w:tblPr>
        <w:tblW w:w="9781" w:type="dxa"/>
        <w:jc w:val="left"/>
        <w:tblInd w:w="70" w:type="dxa"/>
        <w:tblLayout w:type="fixed"/>
        <w:tblCellMar>
          <w:top w:w="0" w:type="dxa"/>
          <w:left w:w="70" w:type="dxa"/>
          <w:bottom w:w="0" w:type="dxa"/>
          <w:right w:w="70" w:type="dxa"/>
        </w:tblCellMar>
      </w:tblPr>
      <w:tblGrid>
        <w:gridCol w:w="3543"/>
        <w:gridCol w:w="2695"/>
        <w:gridCol w:w="282"/>
        <w:gridCol w:w="992"/>
        <w:gridCol w:w="851"/>
        <w:gridCol w:w="899"/>
        <w:gridCol w:w="196"/>
        <w:gridCol w:w="322"/>
      </w:tblGrid>
      <w:tr>
        <w:trPr>
          <w:trHeight w:val="405" w:hRule="atLeast"/>
        </w:trPr>
        <w:tc>
          <w:tcPr>
            <w:tcW w:w="9780" w:type="dxa"/>
            <w:gridSpan w:val="8"/>
            <w:tcBorders/>
            <w:shd w:fill="166B7F" w:val="clear"/>
            <w:vAlign w:val="bottom"/>
          </w:tcPr>
          <w:p>
            <w:pPr>
              <w:pStyle w:val="Normal"/>
              <w:jc w:val="center"/>
              <w:rPr>
                <w:b/>
                <w:bCs/>
                <w:color w:val="FFFFFF"/>
                <w:sz w:val="22"/>
                <w:szCs w:val="22"/>
              </w:rPr>
            </w:pPr>
            <w:r>
              <w:rPr>
                <w:b/>
                <w:bCs/>
                <w:color w:val="FFFFFF"/>
                <w:sz w:val="22"/>
                <w:szCs w:val="22"/>
              </w:rPr>
              <w:t>FICHE SIGNALETIQUE</w:t>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Nom(s) et prénom(s)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Lamine Fofana</w:t>
            </w:r>
          </w:p>
        </w:tc>
        <w:tc>
          <w:tcPr>
            <w:tcW w:w="196" w:type="dxa"/>
            <w:tcBorders>
              <w:left w:val="single" w:sz="4" w:space="0" w:color="000000"/>
            </w:tcBorders>
            <w:vAlign w:val="bottom"/>
          </w:tcPr>
          <w:p>
            <w:pPr>
              <w:pStyle w:val="Normal"/>
              <w:rPr>
                <w:color w:val="000000"/>
                <w:sz w:val="22"/>
                <w:szCs w:val="22"/>
              </w:rPr>
            </w:pPr>
            <w:r>
              <w:rPr/>
            </w:r>
          </w:p>
        </w:tc>
        <w:tc>
          <w:tcPr>
            <w:tcW w:w="322" w:type="dxa"/>
            <w:tcBorders/>
            <w:vAlign w:val="bottom"/>
          </w:tcPr>
          <w:p>
            <w:pPr>
              <w:pStyle w:val="Normal"/>
              <w:rPr>
                <w:color w:val="000000"/>
                <w:sz w:val="22"/>
                <w:szCs w:val="22"/>
              </w:rPr>
            </w:pPr>
            <w:r>
              <w:rPr/>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Date de naissance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(date et lieu de naissance à renseigner)</w:t>
            </w:r>
          </w:p>
        </w:tc>
        <w:tc>
          <w:tcPr>
            <w:tcW w:w="196" w:type="dxa"/>
            <w:tcBorders>
              <w:left w:val="single" w:sz="4" w:space="0" w:color="000000"/>
            </w:tcBorders>
            <w:vAlign w:val="bottom"/>
          </w:tcPr>
          <w:p>
            <w:pPr>
              <w:pStyle w:val="Normal"/>
              <w:snapToGrid w:val="false"/>
              <w:rPr>
                <w:color w:val="000000"/>
                <w:sz w:val="22"/>
                <w:szCs w:val="22"/>
              </w:rPr>
            </w:pPr>
            <w:r>
              <w:rPr>
                <w:color w:val="000000"/>
                <w:sz w:val="22"/>
                <w:szCs w:val="22"/>
              </w:rPr>
            </w:r>
          </w:p>
        </w:tc>
        <w:tc>
          <w:tcPr>
            <w:tcW w:w="322" w:type="dxa"/>
            <w:tcBorders/>
            <w:vAlign w:val="bottom"/>
          </w:tcPr>
          <w:p>
            <w:pPr>
              <w:pStyle w:val="Normal"/>
              <w:snapToGrid w:val="false"/>
              <w:rPr>
                <w:color w:val="000000"/>
                <w:sz w:val="22"/>
                <w:szCs w:val="22"/>
              </w:rPr>
            </w:pPr>
            <w:r>
              <w:rPr>
                <w:color w:val="000000"/>
                <w:sz w:val="22"/>
                <w:szCs w:val="22"/>
              </w:rPr>
            </w:r>
          </w:p>
        </w:tc>
      </w:tr>
      <w:tr>
        <w:trPr>
          <w:trHeight w:val="300" w:hRule="atLeast"/>
        </w:trPr>
        <w:tc>
          <w:tcPr>
            <w:tcW w:w="3543" w:type="dxa"/>
            <w:tcBorders>
              <w:top w:val="single" w:sz="8" w:space="0" w:color="000000"/>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 Financement du Projet</w:t>
            </w:r>
          </w:p>
        </w:tc>
        <w:tc>
          <w:tcPr>
            <w:tcW w:w="3969" w:type="dxa"/>
            <w:gridSpan w:val="3"/>
            <w:tcBorders>
              <w:top w:val="single" w:sz="8"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top w:val="single" w:sz="8" w:space="0" w:color="000000"/>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FFFFFF" w:val="clear"/>
            <w:vAlign w:val="center"/>
          </w:tcPr>
          <w:p>
            <w:pPr>
              <w:pStyle w:val="Normal"/>
              <w:rPr>
                <w:b/>
                <w:bCs/>
                <w:color w:val="000000"/>
                <w:sz w:val="22"/>
                <w:szCs w:val="22"/>
              </w:rPr>
            </w:pPr>
            <w:r>
              <w:rPr>
                <w:b/>
                <w:bCs/>
                <w:color w:val="000000"/>
                <w:sz w:val="22"/>
                <w:szCs w:val="22"/>
              </w:rPr>
              <w:t>Coût Total du projet</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3 059 000</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de l’apport personnel</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10%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305 900</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du crédit de financement sollicité</w:t>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Moyen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90%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2 753 100</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Court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 Conditions de financement du crédit</w:t>
            </w:r>
          </w:p>
        </w:tc>
        <w:tc>
          <w:tcPr>
            <w:tcW w:w="2695" w:type="dxa"/>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274"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Institution financière (IFP)</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(à renseigner)</w:t>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Durée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(Années et mois)</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60 mois (5 ans), dont 6 mois de différé</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Taux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Moyen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8%</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Court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Sans objet</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III. Données économiques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 d’affaires de référence (Entreprise en croissance)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 0)</w:t>
            </w:r>
          </w:p>
        </w:tc>
        <w:tc>
          <w:tcPr>
            <w:tcW w:w="1843" w:type="dxa"/>
            <w:gridSpan w:val="2"/>
            <w:tcBorders>
              <w:bottom w:val="single" w:sz="4" w:space="0" w:color="000000"/>
              <w:right w:val="single" w:sz="4" w:space="0" w:color="000000"/>
            </w:tcBorders>
            <w:shd w:fill="A9D18D" w:val="clear"/>
            <w:vAlign w:val="center"/>
          </w:tcPr>
          <w:p>
            <w:pPr>
              <w:pStyle w:val="Normal"/>
              <w:jc w:val="center"/>
              <w:rPr>
                <w:color w:val="000000"/>
                <w:sz w:val="22"/>
                <w:szCs w:val="22"/>
              </w:rPr>
            </w:pPr>
            <w:r>
              <w:rPr/>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Chiffres d’affaires prévisionnels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7 600 000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7 752 000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7 907 040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Résultats Nets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4 574 975</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5 229 476</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5 390 264</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Capacité d’autofinancement</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5 541 525</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5 646 026</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5 806 814</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IV. Quelques ratios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Seuil de Rentabilité</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22 (année 3) – 32 (année 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Valeur ajoutée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88</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TRI</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182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Délai de récupération</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Sans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7 mois</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Avec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7 mois</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V. Emplois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Nombre d’emploi existant</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vMerge w:val="restart"/>
            <w:tcBorders>
              <w:left w:val="single" w:sz="8" w:space="0" w:color="000000"/>
              <w:bottom w:val="single" w:sz="8" w:space="0" w:color="000000"/>
              <w:right w:val="single" w:sz="4" w:space="0" w:color="000000"/>
            </w:tcBorders>
            <w:vAlign w:val="center"/>
          </w:tcPr>
          <w:p>
            <w:pPr>
              <w:pStyle w:val="Normal"/>
              <w:rPr>
                <w:b/>
                <w:bCs/>
                <w:color w:val="000000"/>
                <w:sz w:val="22"/>
                <w:szCs w:val="22"/>
              </w:rPr>
            </w:pPr>
            <w:r>
              <w:rPr>
                <w:b/>
                <w:bCs/>
                <w:color w:val="000000"/>
                <w:sz w:val="22"/>
                <w:szCs w:val="22"/>
              </w:rPr>
              <w:t>Création de nouveaux emplois</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Type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Hommes</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Femmes</w:t>
            </w:r>
          </w:p>
        </w:tc>
      </w:tr>
      <w:tr>
        <w:trPr>
          <w:trHeight w:val="300"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Permanent</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15"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8" w:space="0" w:color="000000"/>
              <w:right w:val="single" w:sz="4" w:space="0" w:color="000000"/>
            </w:tcBorders>
            <w:vAlign w:val="center"/>
          </w:tcPr>
          <w:p>
            <w:pPr>
              <w:pStyle w:val="Normal"/>
              <w:rPr>
                <w:color w:val="000000"/>
                <w:sz w:val="22"/>
                <w:szCs w:val="22"/>
              </w:rPr>
            </w:pPr>
            <w:r>
              <w:rPr>
                <w:color w:val="000000"/>
                <w:sz w:val="22"/>
                <w:szCs w:val="22"/>
              </w:rPr>
              <w:t>Temporaire</w:t>
            </w:r>
          </w:p>
        </w:tc>
        <w:tc>
          <w:tcPr>
            <w:tcW w:w="1843" w:type="dxa"/>
            <w:gridSpan w:val="2"/>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3</w:t>
            </w:r>
          </w:p>
        </w:tc>
        <w:tc>
          <w:tcPr>
            <w:tcW w:w="1417" w:type="dxa"/>
            <w:gridSpan w:val="3"/>
            <w:tcBorders>
              <w:bottom w:val="single" w:sz="8"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3543" w:type="dxa"/>
            <w:tcBorders/>
            <w:shd w:fill="E2EFD9" w:val="clear"/>
            <w:vAlign w:val="bottom"/>
          </w:tcPr>
          <w:p>
            <w:pPr>
              <w:pStyle w:val="Normal"/>
              <w:rPr>
                <w:color w:val="000000"/>
                <w:sz w:val="22"/>
                <w:szCs w:val="22"/>
              </w:rPr>
            </w:pPr>
            <w:r>
              <w:rPr/>
            </w:r>
          </w:p>
        </w:tc>
        <w:tc>
          <w:tcPr>
            <w:tcW w:w="2977" w:type="dxa"/>
            <w:gridSpan w:val="2"/>
            <w:tcBorders/>
            <w:shd w:fill="E2EFD9" w:val="clear"/>
            <w:vAlign w:val="bottom"/>
          </w:tcPr>
          <w:p>
            <w:pPr>
              <w:pStyle w:val="Normal"/>
              <w:rPr>
                <w:color w:val="000000"/>
                <w:sz w:val="22"/>
                <w:szCs w:val="22"/>
              </w:rPr>
            </w:pPr>
            <w:r>
              <w:rPr/>
            </w:r>
          </w:p>
        </w:tc>
        <w:tc>
          <w:tcPr>
            <w:tcW w:w="1843" w:type="dxa"/>
            <w:gridSpan w:val="2"/>
            <w:tcBorders/>
            <w:shd w:fill="E2EFD9" w:val="clear"/>
            <w:vAlign w:val="bottom"/>
          </w:tcPr>
          <w:p>
            <w:pPr>
              <w:pStyle w:val="Normal"/>
              <w:jc w:val="center"/>
              <w:rPr>
                <w:color w:val="000000"/>
                <w:sz w:val="22"/>
                <w:szCs w:val="22"/>
              </w:rPr>
            </w:pPr>
            <w:r>
              <w:rPr/>
            </w:r>
          </w:p>
        </w:tc>
        <w:tc>
          <w:tcPr>
            <w:tcW w:w="1417" w:type="dxa"/>
            <w:gridSpan w:val="3"/>
            <w:tcBorders/>
            <w:shd w:fill="E2EFD9" w:val="clear"/>
            <w:vAlign w:val="bottom"/>
          </w:tcPr>
          <w:p>
            <w:pPr>
              <w:pStyle w:val="Normal"/>
              <w:jc w:val="center"/>
              <w:rPr>
                <w:rFonts w:ascii="Calibri" w:hAnsi="Calibri" w:cs="Calibri"/>
                <w:color w:val="000000"/>
                <w:sz w:val="22"/>
                <w:szCs w:val="22"/>
              </w:rPr>
            </w:pPr>
            <w:r>
              <w:rPr/>
            </w:r>
          </w:p>
        </w:tc>
      </w:tr>
    </w:tbl>
    <w:p>
      <w:pPr>
        <w:pStyle w:val="Heading1"/>
        <w:keepLines/>
        <w:numPr>
          <w:ilvl w:val="0"/>
          <w:numId w:val="4"/>
        </w:numPr>
        <w:spacing w:before="240" w:after="120"/>
        <w:ind w:hanging="431" w:left="431" w:right="0"/>
        <w:rPr>
          <w:rFonts w:ascii="Times New Roman" w:hAnsi="Times New Roman" w:cs="Times New Roman"/>
          <w:caps/>
          <w:color w:val="166B7F"/>
          <w:kern w:val="0"/>
          <w:lang w:eastAsia="en-US"/>
        </w:rPr>
      </w:pPr>
      <w:bookmarkStart w:id="1" w:name="__RefHeading___Toc36945_3889484913"/>
      <w:bookmarkEnd w:id="1"/>
      <w:r>
        <w:rPr/>
        <w:t>APERÇU GÉNÉRAL</w:t>
      </w:r>
      <w:bookmarkStart w:id="2" w:name="__RefHeading___Toc234831691"/>
      <w:bookmarkEnd w:id="2"/>
    </w:p>
    <w:p>
      <w:pPr>
        <w:pStyle w:val="Heading2"/>
        <w:keepLines/>
        <w:numPr>
          <w:ilvl w:val="0"/>
          <w:numId w:val="8"/>
        </w:numPr>
        <w:spacing w:before="120" w:after="120"/>
        <w:ind w:hanging="0" w:left="0" w:right="0"/>
        <w:jc w:val="both"/>
        <w:rPr>
          <w:rFonts w:ascii="Times New Roman" w:hAnsi="Times New Roman" w:cs="Times New Roman"/>
          <w:i w:val="false"/>
          <w:i w:val="false"/>
          <w:iCs w:val="false"/>
          <w:sz w:val="24"/>
          <w:szCs w:val="24"/>
          <w:lang w:val="fr-CI"/>
        </w:rPr>
      </w:pPr>
      <w:bookmarkStart w:id="3" w:name="__RefHeading___Toc234831692"/>
      <w:bookmarkEnd w:id="3"/>
      <w:r>
        <w:rPr>
          <w:rFonts w:cs="Times New Roman" w:ascii="Times New Roman" w:hAnsi="Times New Roman"/>
          <w:i w:val="false"/>
          <w:iCs w:val="false"/>
          <w:sz w:val="24"/>
          <w:szCs w:val="24"/>
          <w:lang w:val="fr-CI"/>
        </w:rPr>
        <w:t>Présentation du Promoteur :</w:t>
      </w:r>
    </w:p>
    <w:p>
      <w:pPr>
        <w:pStyle w:val="ds-markdown-paragraph"/>
        <w:numPr>
          <w:ilvl w:val="0"/>
          <w:numId w:val="8"/>
        </w:numPr>
        <w:shd w:val="clear" w:fill="FFFFFF"/>
        <w:spacing w:before="240" w:after="240"/>
        <w:rPr>
          <w:sz w:val="22"/>
          <w:lang w:eastAsia="zh-CN"/>
        </w:rPr>
      </w:pPr>
      <w:r>
        <w:rPr>
          <w:sz w:val="22"/>
          <w:lang w:eastAsia="zh-CN"/>
        </w:rPr>
        <w:t xml:space="preserve">Le promoteur de l’entreprise </w:t>
      </w:r>
      <w:r>
        <w:rPr>
          <w:b/>
          <w:bCs/>
          <w:sz w:val="22"/>
          <w:lang w:eastAsia="zh-CN"/>
        </w:rPr>
        <w:t>PIMENT DÉLICE</w:t>
      </w:r>
      <w:r>
        <w:rPr>
          <w:sz w:val="22"/>
          <w:lang w:eastAsia="zh-CN"/>
        </w:rPr>
        <w:t xml:space="preserve"> est </w:t>
      </w:r>
      <w:r>
        <w:rPr>
          <w:b/>
          <w:bCs/>
          <w:sz w:val="22"/>
          <w:lang w:eastAsia="zh-CN"/>
        </w:rPr>
        <w:t>Monsieur Lamine FOFANA</w:t>
      </w:r>
      <w:r>
        <w:rPr>
          <w:sz w:val="22"/>
          <w:lang w:eastAsia="zh-CN"/>
        </w:rPr>
        <w:t xml:space="preserve">. Il réside à </w:t>
      </w:r>
      <w:r>
        <w:rPr>
          <w:b/>
          <w:bCs/>
          <w:sz w:val="22"/>
          <w:lang w:eastAsia="zh-CN"/>
        </w:rPr>
        <w:t>Safe kore (Bougoula)</w:t>
      </w:r>
      <w:r>
        <w:rPr>
          <w:sz w:val="22"/>
          <w:lang w:eastAsia="zh-CN"/>
        </w:rPr>
        <w:t xml:space="preserve">, dans la Région de Koulikoro. Il est titulaire d’une Licence en Gestion Intégrée de la Fertilité des Sols de l’Institut Polytechnique Rural de Formation et de Recherche Appliquée (IPR/IFRA) de Katibougou. Sa formation lui a permis d’acquérir des connaissances et compétences en gestion de la fertilité des sols, nutrition des plantes, fertilisation, techniques culturales et pratiques agricoles durables. Au cours de sa formation, il a également acquis une expérience pratique à travers des stages et des activités liées à l’agriculture. Il dispose déjà d’un terrain destiné à la production ainsi que d’un forage équipé d’une pompe solaire. À travers son projet de production et de commercialisation de piment frais et séché, sous la marque </w:t>
      </w:r>
      <w:r>
        <w:rPr>
          <w:b/>
          <w:bCs/>
          <w:sz w:val="22"/>
          <w:lang w:eastAsia="zh-CN"/>
        </w:rPr>
        <w:t>PIMENT DÉLICE</w:t>
      </w:r>
      <w:r>
        <w:rPr>
          <w:sz w:val="22"/>
          <w:lang w:eastAsia="zh-CN"/>
        </w:rPr>
        <w:t>, le promoteur souhaite mettre en pratique ces compétences, développer une activité agricole rentable et contribuer à l’approvisionnement du marché en produits de qualité. Ces compétences techniques lui permettront d’exploiter 0,5 hectare pour produire du piment frais et séché, destiné principalement aux marchés de Bamako et environs</w:t>
      </w:r>
      <w:r>
        <w:rPr>
          <w:rFonts w:cs="Segoe UI" w:ascii="Segoe UI" w:hAnsi="Segoe UI"/>
          <w:color w:val="0F1115"/>
        </w:rPr>
        <w:t>.</w:t>
      </w:r>
    </w:p>
    <w:p>
      <w:pPr>
        <w:pStyle w:val="Normal"/>
        <w:rPr>
          <w:sz w:val="22"/>
          <w:lang w:eastAsia="zh-CN"/>
        </w:rPr>
      </w:pPr>
      <w:r>
        <w:rPr>
          <w:sz w:val="22"/>
          <w:lang w:eastAsia="zh-CN"/>
        </w:rPr>
      </w:r>
    </w:p>
    <w:p>
      <w:pPr>
        <w:pStyle w:val="Heading2"/>
        <w:keepLines/>
        <w:numPr>
          <w:ilvl w:val="0"/>
          <w:numId w:val="8"/>
        </w:numPr>
        <w:spacing w:before="120" w:after="120"/>
        <w:ind w:hanging="0" w:left="0" w:right="0"/>
        <w:jc w:val="both"/>
        <w:rPr>
          <w:rFonts w:ascii="Times New Roman" w:hAnsi="Times New Roman" w:cs="Times New Roman"/>
          <w:i w:val="false"/>
          <w:i w:val="false"/>
          <w:iCs w:val="false"/>
          <w:sz w:val="24"/>
          <w:szCs w:val="24"/>
          <w:lang w:val="fr-CI"/>
        </w:rPr>
      </w:pPr>
      <w:bookmarkStart w:id="4" w:name="__RefHeading___Toc234831693"/>
      <w:bookmarkEnd w:id="4"/>
      <w:r>
        <w:rPr>
          <w:rFonts w:cs="Times New Roman" w:ascii="Times New Roman" w:hAnsi="Times New Roman"/>
          <w:i w:val="false"/>
          <w:iCs w:val="false"/>
          <w:sz w:val="24"/>
          <w:szCs w:val="24"/>
          <w:lang w:val="fr-CI"/>
        </w:rPr>
        <w:t>Description du projet :</w:t>
      </w:r>
    </w:p>
    <w:p>
      <w:pPr>
        <w:pStyle w:val="Normal"/>
        <w:jc w:val="both"/>
        <w:rPr>
          <w:sz w:val="22"/>
        </w:rPr>
      </w:pPr>
      <w:r>
        <w:rPr>
          <w:sz w:val="22"/>
        </w:rPr>
        <w:t>Le projet est basé sur la création d’une entreprise de production et de commercialisation de piment frais et séch</w:t>
      </w:r>
      <w:r>
        <w:rPr>
          <w:b/>
          <w:bCs/>
          <w:sz w:val="22"/>
        </w:rPr>
        <w:t>é</w:t>
      </w:r>
      <w:r>
        <w:rPr>
          <w:sz w:val="22"/>
        </w:rPr>
        <w:t xml:space="preserve">, sous la marque </w:t>
      </w:r>
      <w:r>
        <w:rPr>
          <w:b/>
          <w:bCs/>
          <w:sz w:val="22"/>
        </w:rPr>
        <w:t>PIMENT DÉLICE</w:t>
      </w:r>
      <w:r>
        <w:rPr>
          <w:sz w:val="22"/>
        </w:rPr>
        <w:t>. Il s’agit d’aménager une parcelle de 0,5 hectare à Safé kore</w:t>
      </w:r>
      <w:r>
        <w:rPr>
          <w:b/>
          <w:bCs/>
          <w:sz w:val="22"/>
        </w:rPr>
        <w:t xml:space="preserve"> (Bougoula)</w:t>
      </w:r>
      <w:r>
        <w:rPr>
          <w:sz w:val="22"/>
        </w:rPr>
        <w:t>, dans la Région de Koulikoro, pour produire du piment de haute qualité. L’entreprise prévoit l’installation d’équipements de production : système d’irrigation goutte-à-goutte, pompe solaire, panneaux solaires, tuyaux, vannes, pulvérisateur, séchoirs artisanaux et petit matériel pour optimiser la production.</w:t>
      </w:r>
      <w:r>
        <w:rPr>
          <w:rFonts w:cs="Segoe UI" w:ascii="Segoe UI" w:hAnsi="Segoe UI"/>
          <w:color w:val="0F1115"/>
          <w:sz w:val="22"/>
          <w:shd w:fill="FFFFFF" w:val="clear"/>
        </w:rPr>
        <w:t xml:space="preserve"> </w:t>
      </w:r>
      <w:r>
        <w:rPr>
          <w:sz w:val="22"/>
        </w:rPr>
        <w:t>Pour cette première campagne, l’entreprise a besoin de s’approvisionner en semences de piment de variétés adaptées aux conditions locales. La production sera orientée vers deux formes : piment frais et piment séché. Le cycle de production est de 3 mois avant la vente sur les marchés , la commercialisation étant concentrée sur la période de récolte. Ce projet contribuera à l’approvisionnement des marchés de Bamako et environs en piment frais et séché, tout en créant des emplois pour les jeunes de la localité. Il vise un chiffre d’affaires annuel de 7 600 000 F CFA et s’inscrit dans une dynamique de sécurité alimentaire et de valorisation des ressources locales.</w:t>
      </w:r>
      <w:r>
        <w:rPr>
          <w:rFonts w:cs="Segoe UI" w:ascii="Segoe UI" w:hAnsi="Segoe UI"/>
          <w:color w:val="0F1115"/>
          <w:sz w:val="22"/>
          <w:shd w:fill="FFFFFF" w:val="clear"/>
        </w:rPr>
        <w:t xml:space="preserve"> </w:t>
      </w:r>
      <w:r>
        <w:rPr>
          <w:sz w:val="22"/>
        </w:rPr>
        <w:t xml:space="preserve">Pour garantir la réussite de cette production, le choix des variétés de piment est un élément déterminant. Le piment, dont le nom scientifique est </w:t>
      </w:r>
      <w:r>
        <w:rPr>
          <w:i/>
          <w:iCs/>
          <w:sz w:val="22"/>
        </w:rPr>
        <w:t>Capsicum spp</w:t>
      </w:r>
      <w:r>
        <w:rPr>
          <w:b/>
          <w:bCs/>
          <w:i/>
          <w:iCs/>
          <w:sz w:val="22"/>
        </w:rPr>
        <w:t>.</w:t>
      </w:r>
      <w:r>
        <w:rPr>
          <w:sz w:val="22"/>
        </w:rPr>
        <w:t xml:space="preserve"> (notamment </w:t>
      </w:r>
      <w:r>
        <w:rPr>
          <w:i/>
          <w:iCs/>
          <w:sz w:val="22"/>
        </w:rPr>
        <w:t>Capsicum annuum</w:t>
      </w:r>
      <w:r>
        <w:rPr>
          <w:sz w:val="22"/>
        </w:rPr>
        <w:t xml:space="preserve"> L. et </w:t>
      </w:r>
      <w:r>
        <w:rPr>
          <w:i/>
          <w:iCs/>
          <w:sz w:val="22"/>
        </w:rPr>
        <w:t>Capsicum frutescens</w:t>
      </w:r>
      <w:r>
        <w:rPr>
          <w:sz w:val="22"/>
        </w:rPr>
        <w:t xml:space="preserve"> L.), est une solanacée qui exige des températures élevées et un ensoleillement important, conditions parfaitement réunies à Safé kore. Le tableau ci-dessous présente les variétés recommandées pour la zone, sélectionnées pour leur rendement, leur taux de capsaïcine, leur bonne capacité de conservation et leur adaptation aux climats chauds et secs du Sahel.</w:t>
      </w:r>
    </w:p>
    <w:tbl>
      <w:tblPr>
        <w:tblW w:w="9885" w:type="dxa"/>
        <w:jc w:val="left"/>
        <w:tblInd w:w="-5" w:type="dxa"/>
        <w:tblLayout w:type="fixed"/>
        <w:tblCellMar>
          <w:top w:w="150" w:type="dxa"/>
          <w:left w:w="5" w:type="dxa"/>
          <w:bottom w:w="150" w:type="dxa"/>
          <w:right w:w="235" w:type="dxa"/>
        </w:tblCellMar>
      </w:tblPr>
      <w:tblGrid>
        <w:gridCol w:w="1685"/>
        <w:gridCol w:w="2025"/>
        <w:gridCol w:w="1463"/>
        <w:gridCol w:w="4711"/>
      </w:tblGrid>
      <w:tr>
        <w:trPr>
          <w:tblHeader w:val="true"/>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jc w:val="both"/>
              <w:rPr>
                <w:b/>
                <w:bCs/>
                <w:sz w:val="22"/>
                <w:szCs w:val="22"/>
              </w:rPr>
            </w:pPr>
            <w:r>
              <w:rPr>
                <w:b/>
                <w:bCs/>
                <w:sz w:val="22"/>
                <w:szCs w:val="22"/>
              </w:rPr>
              <w:t>Variété</w:t>
            </w:r>
          </w:p>
        </w:tc>
        <w:tc>
          <w:tcPr>
            <w:tcW w:w="202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sz w:val="22"/>
                <w:szCs w:val="22"/>
              </w:rPr>
            </w:pPr>
            <w:r>
              <w:rPr>
                <w:b/>
                <w:bCs/>
                <w:sz w:val="22"/>
                <w:szCs w:val="22"/>
              </w:rPr>
              <w:t>Nom scientifique</w:t>
            </w:r>
          </w:p>
        </w:tc>
        <w:tc>
          <w:tcPr>
            <w:tcW w:w="146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sz w:val="22"/>
                <w:szCs w:val="22"/>
              </w:rPr>
            </w:pPr>
            <w:r>
              <w:rPr>
                <w:b/>
                <w:bCs/>
                <w:sz w:val="22"/>
                <w:szCs w:val="22"/>
              </w:rPr>
              <w:t>Type</w:t>
            </w:r>
          </w:p>
        </w:tc>
        <w:tc>
          <w:tcPr>
            <w:tcW w:w="4711"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sz w:val="22"/>
                <w:szCs w:val="22"/>
              </w:rPr>
            </w:pPr>
            <w:r>
              <w:rPr>
                <w:b/>
                <w:bCs/>
                <w:sz w:val="22"/>
                <w:szCs w:val="22"/>
              </w:rPr>
              <w:t>Atouts pour la production</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b/>
                <w:bCs/>
                <w:sz w:val="22"/>
                <w:szCs w:val="22"/>
              </w:rPr>
              <w:t>Avenir F1</w:t>
            </w:r>
          </w:p>
        </w:tc>
        <w:tc>
          <w:tcPr>
            <w:tcW w:w="202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i/>
                <w:iCs/>
                <w:sz w:val="22"/>
                <w:szCs w:val="22"/>
              </w:rPr>
              <w:t>Capsicum annuum</w:t>
            </w:r>
          </w:p>
        </w:tc>
        <w:tc>
          <w:tcPr>
            <w:tcW w:w="146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Piment long</w:t>
            </w:r>
          </w:p>
        </w:tc>
        <w:tc>
          <w:tcPr>
            <w:tcW w:w="4711"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Bon rendement, chair épaisse, adapté au séchage.</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b/>
                <w:bCs/>
                <w:sz w:val="22"/>
                <w:szCs w:val="22"/>
              </w:rPr>
              <w:t>Jaune fort</w:t>
            </w:r>
          </w:p>
        </w:tc>
        <w:tc>
          <w:tcPr>
            <w:tcW w:w="202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i/>
                <w:iCs/>
                <w:sz w:val="22"/>
                <w:szCs w:val="22"/>
              </w:rPr>
              <w:t>Capsicum frutescens</w:t>
            </w:r>
          </w:p>
        </w:tc>
        <w:tc>
          <w:tcPr>
            <w:tcW w:w="146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Piment jaune</w:t>
            </w:r>
          </w:p>
        </w:tc>
        <w:tc>
          <w:tcPr>
            <w:tcW w:w="4711"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Très piquant, résistant aux maladies, bonne conservation.</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b/>
                <w:bCs/>
                <w:sz w:val="22"/>
                <w:szCs w:val="22"/>
              </w:rPr>
              <w:t>Piment de Cayenne</w:t>
            </w:r>
          </w:p>
        </w:tc>
        <w:tc>
          <w:tcPr>
            <w:tcW w:w="202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i/>
                <w:iCs/>
                <w:sz w:val="22"/>
                <w:szCs w:val="22"/>
              </w:rPr>
              <w:t>Capsicum annuum</w:t>
            </w:r>
          </w:p>
        </w:tc>
        <w:tc>
          <w:tcPr>
            <w:tcW w:w="146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Piment long</w:t>
            </w:r>
          </w:p>
        </w:tc>
        <w:tc>
          <w:tcPr>
            <w:tcW w:w="4711"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Idéal pour le séchage et la transformation en poudre.</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b/>
                <w:bCs/>
                <w:sz w:val="22"/>
                <w:szCs w:val="22"/>
              </w:rPr>
              <w:t>Piment local</w:t>
            </w:r>
          </w:p>
        </w:tc>
        <w:tc>
          <w:tcPr>
            <w:tcW w:w="202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i/>
                <w:iCs/>
                <w:sz w:val="22"/>
                <w:szCs w:val="22"/>
              </w:rPr>
              <w:t>Capsicum spp.</w:t>
            </w:r>
          </w:p>
        </w:tc>
        <w:tc>
          <w:tcPr>
            <w:tcW w:w="146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Piment court</w:t>
            </w:r>
          </w:p>
        </w:tc>
        <w:tc>
          <w:tcPr>
            <w:tcW w:w="4711"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Rustique, adapté aux conditions sahéliennes, goût prononcé.</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b/>
                <w:bCs/>
                <w:sz w:val="22"/>
                <w:szCs w:val="22"/>
              </w:rPr>
              <w:t>Piment doux</w:t>
            </w:r>
          </w:p>
        </w:tc>
        <w:tc>
          <w:tcPr>
            <w:tcW w:w="202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i/>
                <w:iCs/>
                <w:sz w:val="22"/>
                <w:szCs w:val="22"/>
              </w:rPr>
              <w:t>Capsicum annuum</w:t>
            </w:r>
          </w:p>
        </w:tc>
        <w:tc>
          <w:tcPr>
            <w:tcW w:w="146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Poivron</w:t>
            </w:r>
          </w:p>
        </w:tc>
        <w:tc>
          <w:tcPr>
            <w:tcW w:w="4711"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Chair épaisse, adapté à la consommation fraîche et aux marchés urbains.</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b/>
                <w:bCs/>
                <w:sz w:val="22"/>
                <w:szCs w:val="22"/>
              </w:rPr>
              <w:t>Piment oiseau</w:t>
            </w:r>
          </w:p>
        </w:tc>
        <w:tc>
          <w:tcPr>
            <w:tcW w:w="202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i/>
                <w:iCs/>
                <w:sz w:val="22"/>
                <w:szCs w:val="22"/>
              </w:rPr>
              <w:t>Capsicum frutescens</w:t>
            </w:r>
          </w:p>
        </w:tc>
        <w:tc>
          <w:tcPr>
            <w:tcW w:w="146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Petit piment</w:t>
            </w:r>
          </w:p>
        </w:tc>
        <w:tc>
          <w:tcPr>
            <w:tcW w:w="4711"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Très piquant, excellente conservation, apprécié pour les condiments.</w:t>
            </w:r>
          </w:p>
        </w:tc>
      </w:tr>
    </w:tbl>
    <w:p>
      <w:pPr>
        <w:pStyle w:val="Normal"/>
        <w:jc w:val="both"/>
        <w:rPr>
          <w:sz w:val="22"/>
          <w:szCs w:val="22"/>
        </w:rPr>
      </w:pPr>
      <w:r>
        <w:rPr>
          <w:sz w:val="22"/>
          <w:szCs w:val="22"/>
        </w:rPr>
        <w:t>Ces variétés sont soit des variétés locales (landraces</w:t>
      </w:r>
      <w:r>
        <w:rPr>
          <w:b/>
          <w:bCs/>
          <w:sz w:val="22"/>
          <w:szCs w:val="22"/>
        </w:rPr>
        <w:t>)</w:t>
      </w:r>
      <w:r>
        <w:rPr>
          <w:sz w:val="22"/>
          <w:szCs w:val="22"/>
        </w:rPr>
        <w:t xml:space="preserve"> sélectionnées par les agriculteurs maliens pour leur robustesse, soit des variétés hybrides éprouvées dans les conditions sahéliennes. Leur culture sur 0,5 hectare</w:t>
      </w:r>
      <w:r>
        <w:rPr>
          <w:b/>
          <w:bCs/>
          <w:sz w:val="22"/>
          <w:szCs w:val="22"/>
        </w:rPr>
        <w:t xml:space="preserve"> </w:t>
      </w:r>
      <w:r>
        <w:rPr>
          <w:sz w:val="22"/>
          <w:szCs w:val="22"/>
        </w:rPr>
        <w:t>à Safé kore, avec un système d’irrigation solaire maîtrisé et un séchage adapté, permettra d’obtenir des produits de qualité supérieure, très appréciés des consommateurs de Bamako et environs.</w:t>
      </w:r>
    </w:p>
    <w:p>
      <w:pPr>
        <w:pStyle w:val="Normal"/>
        <w:jc w:val="both"/>
        <w:rPr>
          <w:sz w:val="22"/>
          <w:szCs w:val="22"/>
        </w:rPr>
      </w:pPr>
      <w:r>
        <w:rPr>
          <w:sz w:val="22"/>
          <w:szCs w:val="22"/>
        </w:rPr>
      </w:r>
    </w:p>
    <w:p>
      <w:pPr>
        <w:pStyle w:val="Heading2"/>
        <w:keepLines/>
        <w:numPr>
          <w:ilvl w:val="0"/>
          <w:numId w:val="8"/>
        </w:numPr>
        <w:spacing w:before="120" w:after="120"/>
        <w:ind w:hanging="0" w:left="0" w:right="0"/>
        <w:jc w:val="both"/>
        <w:rPr>
          <w:rFonts w:ascii="Times New Roman" w:hAnsi="Times New Roman" w:cs="Times New Roman"/>
          <w:i w:val="false"/>
          <w:i w:val="false"/>
          <w:iCs w:val="false"/>
          <w:sz w:val="24"/>
          <w:szCs w:val="24"/>
          <w:lang w:val="fr-CI"/>
        </w:rPr>
      </w:pPr>
      <w:bookmarkStart w:id="5" w:name="__RefHeading___Toc234831694"/>
      <w:bookmarkEnd w:id="5"/>
      <w:r>
        <w:rPr>
          <w:rFonts w:cs="Times New Roman" w:ascii="Times New Roman" w:hAnsi="Times New Roman"/>
          <w:i w:val="false"/>
          <w:iCs w:val="false"/>
          <w:sz w:val="24"/>
          <w:szCs w:val="24"/>
          <w:lang w:val="fr-CI"/>
        </w:rPr>
        <w:t xml:space="preserve">Objectifs du projet : </w:t>
      </w:r>
    </w:p>
    <w:p>
      <w:pPr>
        <w:pStyle w:val="Normal"/>
        <w:rPr>
          <w:b/>
          <w:sz w:val="22"/>
          <w:szCs w:val="22"/>
          <w:lang w:val="fr-CI"/>
        </w:rPr>
      </w:pPr>
      <w:r>
        <w:rPr>
          <w:b/>
          <w:sz w:val="22"/>
          <w:szCs w:val="22"/>
          <w:lang w:val="fr-CI"/>
        </w:rPr>
        <w:t>L’objectif global du projet est :</w:t>
      </w:r>
    </w:p>
    <w:p>
      <w:pPr>
        <w:pStyle w:val="Normal"/>
        <w:rPr>
          <w:bCs/>
          <w:i/>
          <w:i/>
          <w:iCs/>
          <w:sz w:val="22"/>
          <w:szCs w:val="22"/>
        </w:rPr>
      </w:pPr>
      <w:r>
        <w:rPr>
          <w:bCs/>
          <w:sz w:val="22"/>
          <w:szCs w:val="22"/>
        </w:rPr>
        <w:t xml:space="preserve">Aménager et exploiter une parcelle de </w:t>
      </w:r>
      <w:r>
        <w:rPr>
          <w:sz w:val="22"/>
          <w:szCs w:val="22"/>
        </w:rPr>
        <w:t>0,5 hectare à Safé kore (Bougoula</w:t>
      </w:r>
      <w:r>
        <w:rPr>
          <w:b/>
          <w:bCs/>
          <w:sz w:val="22"/>
          <w:szCs w:val="22"/>
        </w:rPr>
        <w:t>)</w:t>
      </w:r>
      <w:r>
        <w:rPr>
          <w:bCs/>
          <w:sz w:val="22"/>
          <w:szCs w:val="22"/>
        </w:rPr>
        <w:t xml:space="preserve">, dans la Région de </w:t>
      </w:r>
      <w:r>
        <w:rPr>
          <w:sz w:val="22"/>
          <w:szCs w:val="22"/>
        </w:rPr>
        <w:t>Koulikoro,</w:t>
      </w:r>
      <w:r>
        <w:rPr>
          <w:bCs/>
          <w:sz w:val="22"/>
          <w:szCs w:val="22"/>
        </w:rPr>
        <w:t xml:space="preserve"> pour la production et la commercialisation de </w:t>
      </w:r>
      <w:r>
        <w:rPr>
          <w:sz w:val="22"/>
          <w:szCs w:val="22"/>
        </w:rPr>
        <w:t>piment frais et séché</w:t>
      </w:r>
      <w:r>
        <w:rPr>
          <w:bCs/>
          <w:sz w:val="22"/>
          <w:szCs w:val="22"/>
        </w:rPr>
        <w:t xml:space="preserve"> de qualité, sous la marque </w:t>
      </w:r>
      <w:r>
        <w:rPr>
          <w:b/>
          <w:bCs/>
          <w:sz w:val="22"/>
          <w:szCs w:val="22"/>
        </w:rPr>
        <w:t>PIMENT DÉLICE</w:t>
      </w:r>
      <w:r>
        <w:rPr>
          <w:bCs/>
          <w:sz w:val="22"/>
          <w:szCs w:val="22"/>
        </w:rPr>
        <w:t xml:space="preserve">, avec comme slogan : </w:t>
      </w:r>
      <w:r>
        <w:rPr>
          <w:bCs/>
          <w:i/>
          <w:iCs/>
          <w:sz w:val="22"/>
          <w:szCs w:val="22"/>
        </w:rPr>
        <w:t>Du frais au séché, le délice du piment malien</w:t>
      </w:r>
    </w:p>
    <w:p>
      <w:pPr>
        <w:pStyle w:val="Normal"/>
        <w:rPr>
          <w:b/>
          <w:sz w:val="22"/>
          <w:szCs w:val="22"/>
          <w:lang w:val="fr-CI"/>
        </w:rPr>
      </w:pPr>
      <w:r>
        <w:rPr>
          <w:b/>
          <w:sz w:val="22"/>
          <w:szCs w:val="22"/>
          <w:lang w:val="fr-CI"/>
        </w:rPr>
        <w:t>Les objectifs spécifiques du projet sont :</w:t>
      </w:r>
    </w:p>
    <w:p>
      <w:pPr>
        <w:pStyle w:val="Normal"/>
        <w:numPr>
          <w:ilvl w:val="0"/>
          <w:numId w:val="7"/>
        </w:numPr>
        <w:rPr>
          <w:sz w:val="22"/>
          <w:szCs w:val="22"/>
        </w:rPr>
      </w:pPr>
      <w:r>
        <w:rPr>
          <w:sz w:val="22"/>
          <w:szCs w:val="22"/>
        </w:rPr>
        <w:t>Réaliser un chiffre d’affaires de 7 600 000 FCFA la première année d’exploitation du périmètre de 0,5 hectare ;</w:t>
      </w:r>
    </w:p>
    <w:p>
      <w:pPr>
        <w:pStyle w:val="Normal"/>
        <w:numPr>
          <w:ilvl w:val="0"/>
          <w:numId w:val="7"/>
        </w:numPr>
        <w:rPr>
          <w:sz w:val="22"/>
          <w:szCs w:val="22"/>
        </w:rPr>
      </w:pPr>
      <w:r>
        <w:rPr>
          <w:sz w:val="22"/>
          <w:szCs w:val="22"/>
        </w:rPr>
        <w:t>Offrir sur les marchés de Bamako et environs, ainsi qu’aux commerçants grossistes, des piments frais et séchés de qualité supérieure, de bonne conservation et adaptés aux besoins des ménages, restaurants et revendeurs ;</w:t>
      </w:r>
    </w:p>
    <w:p>
      <w:pPr>
        <w:pStyle w:val="Normal"/>
        <w:numPr>
          <w:ilvl w:val="0"/>
          <w:numId w:val="7"/>
        </w:numPr>
        <w:rPr>
          <w:sz w:val="22"/>
          <w:szCs w:val="22"/>
        </w:rPr>
      </w:pPr>
      <w:r>
        <w:rPr>
          <w:sz w:val="22"/>
          <w:szCs w:val="22"/>
        </w:rPr>
        <w:t>Assurer la promotion d’une agriculture durable à travers une production maraîchère utilisant prioritairement la fumure organique, le compost et peu d’engrais chimiques ;</w:t>
      </w:r>
    </w:p>
    <w:p>
      <w:pPr>
        <w:pStyle w:val="Normal"/>
        <w:numPr>
          <w:ilvl w:val="0"/>
          <w:numId w:val="7"/>
        </w:numPr>
        <w:rPr>
          <w:sz w:val="22"/>
          <w:szCs w:val="22"/>
        </w:rPr>
      </w:pPr>
      <w:r>
        <w:rPr>
          <w:sz w:val="22"/>
          <w:szCs w:val="22"/>
        </w:rPr>
        <w:t>Produire 8 000 kg de piment frais dès la première année (rendement de 16 t/ha), dont 6 400 kg vendus frais et 1 600 kg séchés pour obtenir 400 kg de piment séché ;</w:t>
      </w:r>
    </w:p>
    <w:p>
      <w:pPr>
        <w:pStyle w:val="Normal"/>
        <w:numPr>
          <w:ilvl w:val="0"/>
          <w:numId w:val="7"/>
        </w:numPr>
        <w:rPr>
          <w:sz w:val="22"/>
          <w:szCs w:val="22"/>
        </w:rPr>
      </w:pPr>
      <w:r>
        <w:rPr>
          <w:sz w:val="22"/>
          <w:szCs w:val="22"/>
        </w:rPr>
        <w:t>Créer deux (2) emplois directs (1 promoteur, 1 ouvrier permanent) et mobiliser de la main-d’œuvre saisonnière pour les pics d’activité ;</w:t>
      </w:r>
    </w:p>
    <w:p>
      <w:pPr>
        <w:pStyle w:val="Normal"/>
        <w:numPr>
          <w:ilvl w:val="0"/>
          <w:numId w:val="7"/>
        </w:numPr>
        <w:rPr>
          <w:sz w:val="22"/>
          <w:szCs w:val="22"/>
        </w:rPr>
      </w:pPr>
      <w:r>
        <w:rPr>
          <w:sz w:val="22"/>
          <w:szCs w:val="22"/>
        </w:rPr>
        <w:t xml:space="preserve">Positionner la marque </w:t>
      </w:r>
      <w:r>
        <w:rPr>
          <w:b/>
          <w:bCs/>
          <w:sz w:val="22"/>
          <w:szCs w:val="22"/>
        </w:rPr>
        <w:t>PIMENT DÉLICE</w:t>
      </w:r>
      <w:r>
        <w:rPr>
          <w:sz w:val="22"/>
          <w:szCs w:val="22"/>
        </w:rPr>
        <w:t xml:space="preserve"> comme une référence de qualité sur le marché malien du piment frais et séché, avec le slogan : </w:t>
      </w:r>
      <w:r>
        <w:rPr>
          <w:i/>
          <w:iCs/>
          <w:sz w:val="22"/>
          <w:szCs w:val="22"/>
        </w:rPr>
        <w:t>Du frais au séché, le délice du piment malien.</w:t>
      </w:r>
    </w:p>
    <w:p>
      <w:pPr>
        <w:pStyle w:val="Heading2"/>
        <w:keepLines/>
        <w:numPr>
          <w:ilvl w:val="0"/>
          <w:numId w:val="8"/>
        </w:numPr>
        <w:spacing w:before="120" w:after="120"/>
        <w:ind w:hanging="0" w:left="0" w:right="0"/>
        <w:jc w:val="both"/>
        <w:rPr>
          <w:rFonts w:ascii="Times New Roman" w:hAnsi="Times New Roman" w:cs="Times New Roman"/>
          <w:i w:val="false"/>
          <w:i w:val="false"/>
          <w:iCs w:val="false"/>
          <w:sz w:val="24"/>
          <w:szCs w:val="24"/>
          <w:lang w:val="fr-CI"/>
        </w:rPr>
      </w:pPr>
      <w:bookmarkStart w:id="6" w:name="__RefHeading___Toc234831695"/>
      <w:bookmarkEnd w:id="6"/>
      <w:r>
        <w:rPr>
          <w:rFonts w:cs="Times New Roman" w:ascii="Times New Roman" w:hAnsi="Times New Roman"/>
          <w:i w:val="false"/>
          <w:iCs w:val="false"/>
          <w:sz w:val="24"/>
          <w:szCs w:val="24"/>
          <w:lang w:val="fr-CI"/>
        </w:rPr>
        <w:t>Localisation du projet</w:t>
      </w:r>
    </w:p>
    <w:p>
      <w:pPr>
        <w:pStyle w:val="ds-markdown-paragraph"/>
        <w:shd w:val="clear" w:fill="FFFFFF"/>
        <w:spacing w:lineRule="atLeast" w:line="420" w:before="0" w:after="0"/>
        <w:rPr>
          <w:rFonts w:ascii="Segoe UI" w:hAnsi="Segoe UI" w:cs="Segoe UI"/>
          <w:color w:val="0F1115"/>
        </w:rPr>
      </w:pPr>
      <w:r>
        <w:rPr>
          <w:lang w:val="fr-CI" w:eastAsia="zh-CN"/>
        </w:rPr>
        <w:t>Le projet est réalisé à Safé kore (Bougoula</w:t>
      </w:r>
      <w:r>
        <w:rPr>
          <w:b/>
          <w:bCs/>
          <w:lang w:val="fr-CI" w:eastAsia="zh-CN"/>
        </w:rPr>
        <w:t>)</w:t>
      </w:r>
      <w:r>
        <w:rPr>
          <w:lang w:val="fr-CI" w:eastAsia="zh-CN"/>
        </w:rPr>
        <w:t>, dans la Région de Koulikoro</w:t>
      </w:r>
      <w:r>
        <w:rPr>
          <w:rFonts w:cs="Segoe UI" w:ascii="Segoe UI" w:hAnsi="Segoe UI"/>
          <w:color w:val="0F1115"/>
        </w:rPr>
        <w:t>.</w:t>
      </w:r>
    </w:p>
    <w:p>
      <w:pPr>
        <w:pStyle w:val="Heading1"/>
        <w:keepLines/>
        <w:numPr>
          <w:ilvl w:val="0"/>
          <w:numId w:val="4"/>
        </w:numPr>
        <w:spacing w:before="240" w:after="0"/>
        <w:ind w:hanging="431" w:left="431" w:right="0"/>
        <w:jc w:val="both"/>
        <w:rPr>
          <w:rFonts w:ascii="Times New Roman" w:hAnsi="Times New Roman" w:cs="Times New Roman"/>
          <w:caps/>
          <w:color w:val="166B7F"/>
          <w:kern w:val="0"/>
          <w:sz w:val="28"/>
          <w:szCs w:val="28"/>
          <w:lang w:eastAsia="en-US"/>
        </w:rPr>
      </w:pPr>
      <w:bookmarkStart w:id="7" w:name="__RefHeading___Toc234831696"/>
      <w:bookmarkEnd w:id="7"/>
      <w:r>
        <w:rPr>
          <w:rFonts w:cs="Times New Roman" w:ascii="Times New Roman" w:hAnsi="Times New Roman"/>
          <w:caps/>
          <w:color w:val="166B7F"/>
          <w:kern w:val="0"/>
          <w:sz w:val="28"/>
          <w:szCs w:val="28"/>
          <w:lang w:eastAsia="en-US"/>
        </w:rPr>
        <w:t>ÉTUDE DE MARCHÉ</w:t>
      </w:r>
    </w:p>
    <w:p>
      <w:pPr>
        <w:pStyle w:val="Normal"/>
        <w:rPr>
          <w:b/>
          <w:bCs/>
          <w:lang w:eastAsia="en-US"/>
        </w:rPr>
      </w:pPr>
      <w:r>
        <w:rPr>
          <w:b/>
          <w:bCs/>
          <w:lang w:eastAsia="en-US"/>
        </w:rPr>
        <w:t>1. Les produits</w:t>
      </w:r>
    </w:p>
    <w:p>
      <w:pPr>
        <w:pStyle w:val="Normal"/>
        <w:rPr>
          <w:lang w:eastAsia="en-US"/>
        </w:rPr>
      </w:pPr>
      <w:r>
        <w:rPr>
          <w:lang w:eastAsia="en-US"/>
        </w:rPr>
        <w:t xml:space="preserve">Les produits que l’entreprise </w:t>
      </w:r>
      <w:r>
        <w:rPr>
          <w:b/>
          <w:bCs/>
          <w:lang w:eastAsia="en-US"/>
        </w:rPr>
        <w:t>PIMENT DÉLICE</w:t>
      </w:r>
      <w:r>
        <w:rPr>
          <w:lang w:eastAsia="en-US"/>
        </w:rPr>
        <w:t xml:space="preserve"> offre aux clients sont : le </w:t>
      </w:r>
      <w:r>
        <w:rPr>
          <w:b/>
          <w:bCs/>
          <w:lang w:eastAsia="en-US"/>
        </w:rPr>
        <w:t>piment frais</w:t>
      </w:r>
      <w:r>
        <w:rPr>
          <w:lang w:eastAsia="en-US"/>
        </w:rPr>
        <w:t xml:space="preserve"> et le </w:t>
      </w:r>
      <w:r>
        <w:rPr>
          <w:b/>
          <w:bCs/>
          <w:lang w:eastAsia="en-US"/>
        </w:rPr>
        <w:t>piment séché</w:t>
      </w:r>
      <w:r>
        <w:rPr>
          <w:lang w:eastAsia="en-US"/>
        </w:rPr>
        <w:t xml:space="preserve">. Il faut noter que la caractéristique fondamentale des produits de l’entreprise est leur </w:t>
      </w:r>
      <w:r>
        <w:rPr>
          <w:b/>
          <w:bCs/>
          <w:lang w:eastAsia="en-US"/>
        </w:rPr>
        <w:t>qualité gustative supérieure</w:t>
      </w:r>
      <w:r>
        <w:rPr>
          <w:lang w:eastAsia="en-US"/>
        </w:rPr>
        <w:t xml:space="preserve">, leur </w:t>
      </w:r>
      <w:r>
        <w:rPr>
          <w:b/>
          <w:bCs/>
          <w:lang w:eastAsia="en-US"/>
        </w:rPr>
        <w:t>fraîcheur</w:t>
      </w:r>
      <w:r>
        <w:rPr>
          <w:lang w:eastAsia="en-US"/>
        </w:rPr>
        <w:t xml:space="preserve"> (pour le frais) et leur </w:t>
      </w:r>
      <w:r>
        <w:rPr>
          <w:b/>
          <w:bCs/>
          <w:lang w:eastAsia="en-US"/>
        </w:rPr>
        <w:t>bonne durée de conservation</w:t>
      </w:r>
      <w:r>
        <w:rPr>
          <w:lang w:eastAsia="en-US"/>
        </w:rPr>
        <w:t xml:space="preserve"> (pour le séché).</w:t>
      </w:r>
    </w:p>
    <w:p>
      <w:pPr>
        <w:pStyle w:val="Normal"/>
        <w:rPr>
          <w:lang w:eastAsia="en-US"/>
        </w:rPr>
      </w:pPr>
      <w:r>
        <w:rPr>
          <w:lang w:eastAsia="en-US"/>
        </w:rPr>
        <w:t>Les caractéristiques des produits qui seront mis sur le marché sont :</w:t>
      </w:r>
    </w:p>
    <w:p>
      <w:pPr>
        <w:pStyle w:val="Normal"/>
        <w:rPr>
          <w:lang w:eastAsia="en-US"/>
        </w:rPr>
      </w:pPr>
      <w:r>
        <w:rPr>
          <w:b/>
          <w:bCs/>
          <w:lang w:eastAsia="en-US"/>
        </w:rPr>
        <w:t>Piment frais :</w:t>
      </w:r>
    </w:p>
    <w:p>
      <w:pPr>
        <w:pStyle w:val="Normal"/>
        <w:numPr>
          <w:ilvl w:val="0"/>
          <w:numId w:val="5"/>
        </w:numPr>
        <w:rPr>
          <w:lang w:eastAsia="en-US"/>
        </w:rPr>
      </w:pPr>
      <w:r>
        <w:rPr>
          <w:lang w:eastAsia="en-US"/>
        </w:rPr>
        <w:t>Variété Avenir F1 ;</w:t>
      </w:r>
    </w:p>
    <w:p>
      <w:pPr>
        <w:pStyle w:val="Normal"/>
        <w:numPr>
          <w:ilvl w:val="0"/>
          <w:numId w:val="5"/>
        </w:numPr>
        <w:rPr>
          <w:lang w:eastAsia="en-US"/>
        </w:rPr>
      </w:pPr>
      <w:r>
        <w:rPr>
          <w:lang w:eastAsia="en-US"/>
        </w:rPr>
        <w:t>Qualité gustative supérieure ;</w:t>
      </w:r>
    </w:p>
    <w:p>
      <w:pPr>
        <w:pStyle w:val="Normal"/>
        <w:numPr>
          <w:ilvl w:val="0"/>
          <w:numId w:val="5"/>
        </w:numPr>
        <w:rPr>
          <w:lang w:eastAsia="en-US"/>
        </w:rPr>
      </w:pPr>
      <w:r>
        <w:rPr>
          <w:lang w:eastAsia="en-US"/>
        </w:rPr>
        <w:t>Chair ferme et savoureuse ;</w:t>
      </w:r>
    </w:p>
    <w:p>
      <w:pPr>
        <w:pStyle w:val="Normal"/>
        <w:numPr>
          <w:ilvl w:val="0"/>
          <w:numId w:val="5"/>
        </w:numPr>
        <w:rPr>
          <w:lang w:eastAsia="en-US"/>
        </w:rPr>
      </w:pPr>
      <w:r>
        <w:rPr>
          <w:lang w:eastAsia="en-US"/>
        </w:rPr>
        <w:t>Riche en vitamines A et C ;</w:t>
      </w:r>
    </w:p>
    <w:p>
      <w:pPr>
        <w:pStyle w:val="Normal"/>
        <w:numPr>
          <w:ilvl w:val="0"/>
          <w:numId w:val="5"/>
        </w:numPr>
        <w:rPr>
          <w:lang w:eastAsia="en-US"/>
        </w:rPr>
      </w:pPr>
      <w:r>
        <w:rPr>
          <w:lang w:eastAsia="en-US"/>
        </w:rPr>
        <w:t>Fraîcheur garantie ;</w:t>
      </w:r>
    </w:p>
    <w:p>
      <w:pPr>
        <w:pStyle w:val="Normal"/>
        <w:numPr>
          <w:ilvl w:val="0"/>
          <w:numId w:val="5"/>
        </w:numPr>
        <w:rPr>
          <w:lang w:eastAsia="en-US"/>
        </w:rPr>
      </w:pPr>
      <w:r>
        <w:rPr>
          <w:lang w:eastAsia="en-US"/>
        </w:rPr>
        <w:t>Idéal pour la consommation immédiate et la restauration.</w:t>
      </w:r>
    </w:p>
    <w:p>
      <w:pPr>
        <w:pStyle w:val="Normal"/>
        <w:rPr>
          <w:lang w:eastAsia="en-US"/>
        </w:rPr>
      </w:pPr>
      <w:r>
        <w:rPr>
          <w:b/>
          <w:bCs/>
          <w:lang w:eastAsia="en-US"/>
        </w:rPr>
        <w:t>Piment séché :</w:t>
      </w:r>
    </w:p>
    <w:p>
      <w:pPr>
        <w:pStyle w:val="Normal"/>
        <w:numPr>
          <w:ilvl w:val="0"/>
          <w:numId w:val="6"/>
        </w:numPr>
        <w:rPr>
          <w:lang w:eastAsia="en-US"/>
        </w:rPr>
      </w:pPr>
      <w:r>
        <w:rPr>
          <w:lang w:eastAsia="en-US"/>
        </w:rPr>
        <w:t>Piment séché entier ;</w:t>
      </w:r>
    </w:p>
    <w:p>
      <w:pPr>
        <w:pStyle w:val="Normal"/>
        <w:numPr>
          <w:ilvl w:val="0"/>
          <w:numId w:val="6"/>
        </w:numPr>
        <w:rPr>
          <w:lang w:eastAsia="en-US"/>
        </w:rPr>
      </w:pPr>
      <w:r>
        <w:rPr>
          <w:lang w:eastAsia="en-US"/>
        </w:rPr>
        <w:t>Conservation longue durée ;</w:t>
      </w:r>
    </w:p>
    <w:p>
      <w:pPr>
        <w:pStyle w:val="Normal"/>
        <w:numPr>
          <w:ilvl w:val="0"/>
          <w:numId w:val="6"/>
        </w:numPr>
        <w:rPr>
          <w:lang w:eastAsia="en-US"/>
        </w:rPr>
      </w:pPr>
      <w:r>
        <w:rPr>
          <w:lang w:eastAsia="en-US"/>
        </w:rPr>
        <w:t>Saveur authentique et concentrée ;</w:t>
      </w:r>
    </w:p>
    <w:p>
      <w:pPr>
        <w:pStyle w:val="Normal"/>
        <w:numPr>
          <w:ilvl w:val="0"/>
          <w:numId w:val="6"/>
        </w:numPr>
        <w:rPr>
          <w:lang w:eastAsia="en-US"/>
        </w:rPr>
      </w:pPr>
      <w:r>
        <w:rPr>
          <w:lang w:eastAsia="en-US"/>
        </w:rPr>
        <w:t>Conditionnement adapté ;</w:t>
      </w:r>
    </w:p>
    <w:p>
      <w:pPr>
        <w:pStyle w:val="Normal"/>
        <w:numPr>
          <w:ilvl w:val="0"/>
          <w:numId w:val="6"/>
        </w:numPr>
        <w:rPr>
          <w:lang w:eastAsia="en-US"/>
        </w:rPr>
      </w:pPr>
      <w:r>
        <w:rPr>
          <w:lang w:eastAsia="en-US"/>
        </w:rPr>
        <w:t>Idéal pour les condiments et la transformation.</w:t>
      </w:r>
    </w:p>
    <w:p>
      <w:pPr>
        <w:pStyle w:val="Normal"/>
        <w:rPr>
          <w:lang w:eastAsia="en-US"/>
        </w:rPr>
      </w:pPr>
      <w:r>
        <w:rPr/>
        <mc:AlternateContent>
          <mc:Choice Requires="wps">
            <w:drawing>
              <wp:inline distT="0" distB="0" distL="0" distR="0">
                <wp:extent cx="6121400" cy="9525"/>
                <wp:effectExtent l="0" t="0" r="0" b="0"/>
                <wp:docPr id="3" name="Shape3"/>
                <a:graphic xmlns:a="http://schemas.openxmlformats.org/drawingml/2006/main">
                  <a:graphicData uri="http://schemas.microsoft.com/office/word/2010/wordprocessingShape">
                    <wps:wsp>
                      <wps:cNvSpPr/>
                      <wps:spPr>
                        <a:xfrm>
                          <a:off x="0" y="0"/>
                          <a:ext cx="6121440" cy="93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3" path="m0,0l-2147483645,0l-2147483645,-2147483646l0,-2147483646xe" fillcolor="#a0a0a0" stroked="f" o:allowincell="f" style="position:absolute;margin-left:0pt;margin-top:-0.8pt;width:481.95pt;height:0.7pt;mso-wrap-style:none;v-text-anchor:middle;mso-position-vertical:top">
                <v:fill o:detectmouseclick="t" type="solid" color2="#5f5f5f"/>
                <v:stroke color="#3465a4" joinstyle="round" endcap="flat"/>
                <w10:wrap type="square"/>
              </v:rect>
            </w:pict>
          </mc:Fallback>
        </mc:AlternateContent>
      </w:r>
    </w:p>
    <w:p>
      <w:pPr>
        <w:pStyle w:val="Normal"/>
        <w:rPr>
          <w:b/>
          <w:bCs/>
          <w:lang w:eastAsia="en-US"/>
        </w:rPr>
      </w:pPr>
      <w:r>
        <w:rPr>
          <w:b/>
          <w:bCs/>
          <w:lang w:eastAsia="en-US"/>
        </w:rPr>
        <w:t>2. Le marché cible / secteur d’activité</w:t>
      </w:r>
    </w:p>
    <w:p>
      <w:pPr>
        <w:pStyle w:val="Normal"/>
        <w:rPr>
          <w:lang w:eastAsia="en-US"/>
        </w:rPr>
      </w:pPr>
      <w:r>
        <w:rPr>
          <w:lang w:eastAsia="en-US"/>
        </w:rPr>
        <w:t xml:space="preserve">Le marché cible de l’entreprise est constitué par les </w:t>
      </w:r>
      <w:r>
        <w:rPr>
          <w:b/>
          <w:bCs/>
          <w:lang w:eastAsia="en-US"/>
        </w:rPr>
        <w:t>ménages</w:t>
      </w:r>
      <w:r>
        <w:rPr>
          <w:lang w:eastAsia="en-US"/>
        </w:rPr>
        <w:t xml:space="preserve">, les </w:t>
      </w:r>
      <w:r>
        <w:rPr>
          <w:b/>
          <w:bCs/>
          <w:lang w:eastAsia="en-US"/>
        </w:rPr>
        <w:t>restaurants</w:t>
      </w:r>
      <w:r>
        <w:rPr>
          <w:lang w:eastAsia="en-US"/>
        </w:rPr>
        <w:t xml:space="preserve">, les </w:t>
      </w:r>
      <w:r>
        <w:rPr>
          <w:b/>
          <w:bCs/>
          <w:lang w:eastAsia="en-US"/>
        </w:rPr>
        <w:t>revendeurs de condiments</w:t>
      </w:r>
      <w:r>
        <w:rPr>
          <w:lang w:eastAsia="en-US"/>
        </w:rPr>
        <w:t xml:space="preserve">, les </w:t>
      </w:r>
      <w:r>
        <w:rPr>
          <w:b/>
          <w:bCs/>
          <w:lang w:eastAsia="en-US"/>
        </w:rPr>
        <w:t>grossistes</w:t>
      </w:r>
      <w:r>
        <w:rPr>
          <w:lang w:eastAsia="en-US"/>
        </w:rPr>
        <w:t xml:space="preserve"> et les </w:t>
      </w:r>
      <w:r>
        <w:rPr>
          <w:b/>
          <w:bCs/>
          <w:lang w:eastAsia="en-US"/>
        </w:rPr>
        <w:t>détaillants</w:t>
      </w:r>
      <w:r>
        <w:rPr>
          <w:lang w:eastAsia="en-US"/>
        </w:rPr>
        <w:t xml:space="preserve"> de la ville de </w:t>
      </w:r>
      <w:r>
        <w:rPr>
          <w:b/>
          <w:bCs/>
          <w:lang w:eastAsia="en-US"/>
        </w:rPr>
        <w:t>Bamako</w:t>
      </w:r>
      <w:r>
        <w:rPr>
          <w:lang w:eastAsia="en-US"/>
        </w:rPr>
        <w:t xml:space="preserve">, notamment la </w:t>
      </w:r>
      <w:r>
        <w:rPr>
          <w:b/>
          <w:bCs/>
          <w:lang w:eastAsia="en-US"/>
        </w:rPr>
        <w:t>Commune VI</w:t>
      </w:r>
      <w:r>
        <w:rPr>
          <w:lang w:eastAsia="en-US"/>
        </w:rPr>
        <w:t>, ainsi que les marchés et points de vente situés autour de la zone de production.</w:t>
      </w:r>
    </w:p>
    <w:p>
      <w:pPr>
        <w:pStyle w:val="Normal"/>
        <w:rPr>
          <w:lang w:eastAsia="en-US"/>
        </w:rPr>
      </w:pPr>
      <w:r>
        <w:rPr/>
        <mc:AlternateContent>
          <mc:Choice Requires="wps">
            <w:drawing>
              <wp:inline distT="0" distB="0" distL="0" distR="0">
                <wp:extent cx="6121400" cy="9525"/>
                <wp:effectExtent l="0" t="0" r="0" b="0"/>
                <wp:docPr id="4" name="Shape4"/>
                <a:graphic xmlns:a="http://schemas.openxmlformats.org/drawingml/2006/main">
                  <a:graphicData uri="http://schemas.microsoft.com/office/word/2010/wordprocessingShape">
                    <wps:wsp>
                      <wps:cNvSpPr/>
                      <wps:spPr>
                        <a:xfrm>
                          <a:off x="0" y="0"/>
                          <a:ext cx="6121440" cy="93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4" path="m0,0l-2147483645,0l-2147483645,-2147483646l0,-2147483646xe" fillcolor="#a0a0a0" stroked="f" o:allowincell="f" style="position:absolute;margin-left:0pt;margin-top:-0.8pt;width:481.95pt;height:0.7pt;mso-wrap-style:none;v-text-anchor:middle;mso-position-vertical:top">
                <v:fill o:detectmouseclick="t" type="solid" color2="#5f5f5f"/>
                <v:stroke color="#3465a4" joinstyle="round" endcap="flat"/>
                <w10:wrap type="square"/>
              </v:rect>
            </w:pict>
          </mc:Fallback>
        </mc:AlternateContent>
      </w:r>
    </w:p>
    <w:p>
      <w:pPr>
        <w:pStyle w:val="Normal"/>
        <w:rPr>
          <w:b/>
          <w:bCs/>
          <w:lang w:eastAsia="en-US"/>
        </w:rPr>
      </w:pPr>
      <w:r>
        <w:rPr>
          <w:b/>
          <w:bCs/>
          <w:lang w:eastAsia="en-US"/>
        </w:rPr>
        <w:t>3. Analyse de l’offre</w:t>
      </w:r>
    </w:p>
    <w:p>
      <w:pPr>
        <w:pStyle w:val="Normal"/>
        <w:rPr>
          <w:lang w:eastAsia="en-US"/>
        </w:rPr>
      </w:pPr>
      <w:r>
        <w:rPr>
          <w:lang w:eastAsia="en-US"/>
        </w:rPr>
        <w:t xml:space="preserve">L’offre du projet sera constituée de piment produit directement sur l’exploitation, commercialisé sous deux formes : </w:t>
      </w:r>
      <w:r>
        <w:rPr>
          <w:b/>
          <w:bCs/>
          <w:lang w:eastAsia="en-US"/>
        </w:rPr>
        <w:t>frais</w:t>
      </w:r>
      <w:r>
        <w:rPr>
          <w:lang w:eastAsia="en-US"/>
        </w:rPr>
        <w:t xml:space="preserve"> et </w:t>
      </w:r>
      <w:r>
        <w:rPr>
          <w:b/>
          <w:bCs/>
          <w:lang w:eastAsia="en-US"/>
        </w:rPr>
        <w:t>séché</w:t>
      </w:r>
      <w:r>
        <w:rPr>
          <w:lang w:eastAsia="en-US"/>
        </w:rPr>
        <w:t>. L’offre sera disponible pendant les périodes de récolte et le piment séché permettra de maintenir les ventes après la période de disponibilité du produit frais.</w:t>
      </w:r>
    </w:p>
    <w:p>
      <w:pPr>
        <w:pStyle w:val="Normal"/>
        <w:rPr>
          <w:lang w:eastAsia="en-US"/>
        </w:rPr>
      </w:pPr>
      <w:r>
        <w:rPr>
          <w:b/>
          <w:bCs/>
          <w:lang w:eastAsia="en-US"/>
        </w:rPr>
        <w:t>a. L’approvisionnement en matières premières :</w:t>
      </w:r>
    </w:p>
    <w:p>
      <w:pPr>
        <w:pStyle w:val="Normal"/>
        <w:rPr>
          <w:lang w:eastAsia="en-US"/>
        </w:rPr>
      </w:pPr>
      <w:r>
        <w:rPr>
          <w:lang w:eastAsia="en-US"/>
        </w:rPr>
        <w:t xml:space="preserve">Les besoins en matières premières nécessaires à la production sont : les </w:t>
      </w:r>
      <w:r>
        <w:rPr>
          <w:b/>
          <w:bCs/>
          <w:lang w:eastAsia="en-US"/>
        </w:rPr>
        <w:t>semences de piment</w:t>
      </w:r>
      <w:r>
        <w:rPr>
          <w:lang w:eastAsia="en-US"/>
        </w:rPr>
        <w:t xml:space="preserve"> de variété Avenir F1, la </w:t>
      </w:r>
      <w:r>
        <w:rPr>
          <w:b/>
          <w:bCs/>
          <w:lang w:eastAsia="en-US"/>
        </w:rPr>
        <w:t>fumure organique</w:t>
      </w:r>
      <w:r>
        <w:rPr>
          <w:lang w:eastAsia="en-US"/>
        </w:rPr>
        <w:t xml:space="preserve"> et le </w:t>
      </w:r>
      <w:r>
        <w:rPr>
          <w:b/>
          <w:bCs/>
          <w:lang w:eastAsia="en-US"/>
        </w:rPr>
        <w:t>compost</w:t>
      </w:r>
      <w:r>
        <w:rPr>
          <w:lang w:eastAsia="en-US"/>
        </w:rPr>
        <w:t xml:space="preserve">, les </w:t>
      </w:r>
      <w:r>
        <w:rPr>
          <w:b/>
          <w:bCs/>
          <w:lang w:eastAsia="en-US"/>
        </w:rPr>
        <w:t>engrais minéraux</w:t>
      </w:r>
      <w:r>
        <w:rPr>
          <w:lang w:eastAsia="en-US"/>
        </w:rPr>
        <w:t xml:space="preserve">, les </w:t>
      </w:r>
      <w:r>
        <w:rPr>
          <w:b/>
          <w:bCs/>
          <w:lang w:eastAsia="en-US"/>
        </w:rPr>
        <w:t>produits de protection phytosanitaire autorisés</w:t>
      </w:r>
      <w:r>
        <w:rPr>
          <w:lang w:eastAsia="en-US"/>
        </w:rPr>
        <w:t xml:space="preserve">, le </w:t>
      </w:r>
      <w:r>
        <w:rPr>
          <w:b/>
          <w:bCs/>
          <w:lang w:eastAsia="en-US"/>
        </w:rPr>
        <w:t>matériel d’emballage</w:t>
      </w:r>
      <w:r>
        <w:rPr>
          <w:lang w:eastAsia="en-US"/>
        </w:rPr>
        <w:t xml:space="preserve"> et les </w:t>
      </w:r>
      <w:r>
        <w:rPr>
          <w:b/>
          <w:bCs/>
          <w:lang w:eastAsia="en-US"/>
        </w:rPr>
        <w:t>caisses de récolte</w:t>
      </w:r>
      <w:r>
        <w:rPr>
          <w:lang w:eastAsia="en-US"/>
        </w:rPr>
        <w:t>.</w:t>
      </w:r>
    </w:p>
    <w:p>
      <w:pPr>
        <w:pStyle w:val="Normal"/>
        <w:rPr>
          <w:lang w:eastAsia="en-US"/>
        </w:rPr>
      </w:pPr>
      <w:r>
        <w:rPr>
          <w:lang w:eastAsia="en-US"/>
        </w:rPr>
        <w:t xml:space="preserve">L’approvisionnement en matières premières se fera essentiellement à </w:t>
      </w:r>
      <w:r>
        <w:rPr>
          <w:b/>
          <w:bCs/>
          <w:lang w:eastAsia="en-US"/>
        </w:rPr>
        <w:t>Bamako</w:t>
      </w:r>
      <w:r>
        <w:rPr>
          <w:lang w:eastAsia="en-US"/>
        </w:rPr>
        <w:t xml:space="preserve"> et environs.</w:t>
      </w:r>
    </w:p>
    <w:p>
      <w:pPr>
        <w:pStyle w:val="Normal"/>
        <w:rPr>
          <w:lang w:eastAsia="en-US"/>
        </w:rPr>
      </w:pPr>
      <w:r>
        <w:rPr>
          <w:b/>
          <w:bCs/>
          <w:lang w:eastAsia="en-US"/>
        </w:rPr>
        <w:t>b. La politique de distribution :</w:t>
      </w:r>
    </w:p>
    <w:p>
      <w:pPr>
        <w:pStyle w:val="Normal"/>
        <w:rPr>
          <w:lang w:eastAsia="en-US"/>
        </w:rPr>
      </w:pPr>
      <w:r>
        <w:rPr>
          <w:lang w:eastAsia="en-US"/>
        </w:rPr>
        <w:t xml:space="preserve">La politique de distribution de </w:t>
      </w:r>
      <w:r>
        <w:rPr>
          <w:b/>
          <w:bCs/>
          <w:lang w:eastAsia="en-US"/>
        </w:rPr>
        <w:t>PIMENT DÉLICE</w:t>
      </w:r>
      <w:r>
        <w:rPr>
          <w:lang w:eastAsia="en-US"/>
        </w:rPr>
        <w:t xml:space="preserve"> est structurée autour de deux axes principaux :</w:t>
      </w:r>
    </w:p>
    <w:p>
      <w:pPr>
        <w:pStyle w:val="Normal"/>
        <w:numPr>
          <w:ilvl w:val="0"/>
          <w:numId w:val="13"/>
        </w:numPr>
        <w:rPr>
          <w:lang w:eastAsia="en-US"/>
        </w:rPr>
      </w:pPr>
      <w:r>
        <w:rPr>
          <w:lang w:eastAsia="en-US"/>
        </w:rPr>
        <w:t>La vente directe à la ferme aux commerçants grossistes ;</w:t>
      </w:r>
    </w:p>
    <w:p>
      <w:pPr>
        <w:pStyle w:val="Normal"/>
        <w:numPr>
          <w:ilvl w:val="0"/>
          <w:numId w:val="13"/>
        </w:numPr>
        <w:rPr>
          <w:lang w:eastAsia="en-US"/>
        </w:rPr>
      </w:pPr>
      <w:r>
        <w:rPr>
          <w:lang w:eastAsia="en-US"/>
        </w:rPr>
        <w:t>La livraison à partir de la ferme aux clients qui ont des grosses commandes.</w:t>
      </w:r>
    </w:p>
    <w:p>
      <w:pPr>
        <w:pStyle w:val="Normal"/>
        <w:rPr>
          <w:lang w:eastAsia="en-US"/>
        </w:rPr>
      </w:pPr>
      <w:r>
        <w:rPr>
          <w:lang w:eastAsia="en-US"/>
        </w:rPr>
        <w:t>Cela permettra de satisfaire chaque type de client en fonction de leurs besoins.</w:t>
      </w:r>
    </w:p>
    <w:p>
      <w:pPr>
        <w:pStyle w:val="Normal"/>
        <w:rPr>
          <w:lang w:eastAsia="en-US"/>
        </w:rPr>
      </w:pPr>
      <w:r>
        <w:rPr>
          <w:b/>
          <w:bCs/>
          <w:lang w:eastAsia="en-US"/>
        </w:rPr>
        <w:t>c. La politique tarifaire</w:t>
      </w:r>
    </w:p>
    <w:p>
      <w:pPr>
        <w:pStyle w:val="Normal"/>
        <w:rPr>
          <w:lang w:eastAsia="en-US"/>
        </w:rPr>
      </w:pPr>
      <w:r>
        <w:rPr>
          <w:lang w:eastAsia="en-US"/>
        </w:rPr>
        <w:t>L’entreprise a développé une politique tarifaire en tenant compte des tarifs des concurrents.</w:t>
      </w:r>
    </w:p>
    <w:p>
      <w:pPr>
        <w:pStyle w:val="Normal"/>
        <w:rPr>
          <w:lang w:eastAsia="en-US"/>
        </w:rPr>
      </w:pPr>
      <w:r>
        <w:rPr>
          <w:lang w:eastAsia="en-US"/>
        </w:rPr>
        <w:t xml:space="preserve">Les prix proposés par </w:t>
      </w:r>
      <w:r>
        <w:rPr>
          <w:b/>
          <w:bCs/>
          <w:lang w:eastAsia="en-US"/>
        </w:rPr>
        <w:t>PIMENT DÉLICE</w:t>
      </w:r>
      <w:r>
        <w:rPr>
          <w:lang w:eastAsia="en-US"/>
        </w:rPr>
        <w:t xml:space="preserve"> :</w:t>
      </w:r>
    </w:p>
    <w:tbl>
      <w:tblPr>
        <w:tblW w:w="11280" w:type="dxa"/>
        <w:jc w:val="left"/>
        <w:tblInd w:w="0" w:type="dxa"/>
        <w:tblLayout w:type="fixed"/>
        <w:tblCellMar>
          <w:top w:w="150" w:type="dxa"/>
          <w:left w:w="0" w:type="dxa"/>
          <w:bottom w:w="150" w:type="dxa"/>
          <w:right w:w="240" w:type="dxa"/>
        </w:tblCellMar>
      </w:tblPr>
      <w:tblGrid>
        <w:gridCol w:w="4239"/>
        <w:gridCol w:w="2839"/>
        <w:gridCol w:w="4202"/>
      </w:tblGrid>
      <w:tr>
        <w:trPr>
          <w:tblHeader w:val="true"/>
        </w:trPr>
        <w:tc>
          <w:tcPr>
            <w:tcW w:w="4239" w:type="dxa"/>
            <w:tcBorders/>
            <w:vAlign w:val="center"/>
          </w:tcPr>
          <w:p>
            <w:pPr>
              <w:pStyle w:val="Normal"/>
              <w:rPr>
                <w:lang w:eastAsia="en-US"/>
              </w:rPr>
            </w:pPr>
            <w:r>
              <w:rPr>
                <w:lang w:eastAsia="en-US"/>
              </w:rPr>
              <w:t>Désignation</w:t>
            </w:r>
          </w:p>
        </w:tc>
        <w:tc>
          <w:tcPr>
            <w:tcW w:w="2839" w:type="dxa"/>
            <w:tcBorders/>
            <w:tcMar>
              <w:left w:w="240" w:type="dxa"/>
            </w:tcMar>
            <w:vAlign w:val="center"/>
          </w:tcPr>
          <w:p>
            <w:pPr>
              <w:pStyle w:val="Normal"/>
              <w:rPr>
                <w:lang w:eastAsia="en-US"/>
              </w:rPr>
            </w:pPr>
            <w:r>
              <w:rPr>
                <w:lang w:eastAsia="en-US"/>
              </w:rPr>
              <w:t>Unité</w:t>
            </w:r>
          </w:p>
        </w:tc>
        <w:tc>
          <w:tcPr>
            <w:tcW w:w="4202" w:type="dxa"/>
            <w:tcBorders/>
            <w:tcMar>
              <w:left w:w="240" w:type="dxa"/>
            </w:tcMar>
            <w:vAlign w:val="center"/>
          </w:tcPr>
          <w:p>
            <w:pPr>
              <w:pStyle w:val="Normal"/>
              <w:rPr>
                <w:lang w:eastAsia="en-US"/>
              </w:rPr>
            </w:pPr>
            <w:r>
              <w:rPr>
                <w:lang w:eastAsia="en-US"/>
              </w:rPr>
              <w:t>Prix</w:t>
            </w:r>
          </w:p>
        </w:tc>
      </w:tr>
      <w:tr>
        <w:trPr/>
        <w:tc>
          <w:tcPr>
            <w:tcW w:w="4239" w:type="dxa"/>
            <w:tcBorders/>
            <w:vAlign w:val="center"/>
          </w:tcPr>
          <w:p>
            <w:pPr>
              <w:pStyle w:val="Normal"/>
              <w:rPr>
                <w:lang w:eastAsia="en-US"/>
              </w:rPr>
            </w:pPr>
            <w:r>
              <w:rPr>
                <w:lang w:eastAsia="en-US"/>
              </w:rPr>
              <w:t>Piment frais</w:t>
            </w:r>
          </w:p>
        </w:tc>
        <w:tc>
          <w:tcPr>
            <w:tcW w:w="2839" w:type="dxa"/>
            <w:tcBorders/>
            <w:tcMar>
              <w:left w:w="240" w:type="dxa"/>
            </w:tcMar>
            <w:vAlign w:val="center"/>
          </w:tcPr>
          <w:p>
            <w:pPr>
              <w:pStyle w:val="Normal"/>
              <w:rPr>
                <w:lang w:eastAsia="en-US"/>
              </w:rPr>
            </w:pPr>
            <w:r>
              <w:rPr>
                <w:lang w:eastAsia="en-US"/>
              </w:rPr>
              <w:t>Kg</w:t>
            </w:r>
          </w:p>
        </w:tc>
        <w:tc>
          <w:tcPr>
            <w:tcW w:w="4202" w:type="dxa"/>
            <w:tcBorders/>
            <w:tcMar>
              <w:left w:w="240" w:type="dxa"/>
              <w:right w:w="0" w:type="dxa"/>
            </w:tcMar>
            <w:vAlign w:val="center"/>
          </w:tcPr>
          <w:p>
            <w:pPr>
              <w:pStyle w:val="Normal"/>
              <w:rPr>
                <w:lang w:eastAsia="en-US"/>
              </w:rPr>
            </w:pPr>
            <w:r>
              <w:rPr>
                <w:lang w:eastAsia="en-US"/>
              </w:rPr>
              <w:t>1 000 F CFA</w:t>
            </w:r>
          </w:p>
        </w:tc>
      </w:tr>
      <w:tr>
        <w:trPr/>
        <w:tc>
          <w:tcPr>
            <w:tcW w:w="4239" w:type="dxa"/>
            <w:tcBorders/>
            <w:vAlign w:val="center"/>
          </w:tcPr>
          <w:p>
            <w:pPr>
              <w:pStyle w:val="Normal"/>
              <w:rPr>
                <w:lang w:eastAsia="en-US"/>
              </w:rPr>
            </w:pPr>
            <w:r>
              <w:rPr>
                <w:lang w:eastAsia="en-US"/>
              </w:rPr>
              <w:t>Piment séché</w:t>
            </w:r>
          </w:p>
        </w:tc>
        <w:tc>
          <w:tcPr>
            <w:tcW w:w="2839" w:type="dxa"/>
            <w:tcBorders/>
            <w:tcMar>
              <w:left w:w="240" w:type="dxa"/>
            </w:tcMar>
            <w:vAlign w:val="center"/>
          </w:tcPr>
          <w:p>
            <w:pPr>
              <w:pStyle w:val="Normal"/>
              <w:rPr>
                <w:lang w:eastAsia="en-US"/>
              </w:rPr>
            </w:pPr>
            <w:r>
              <w:rPr>
                <w:lang w:eastAsia="en-US"/>
              </w:rPr>
              <w:t>Kg</w:t>
            </w:r>
          </w:p>
        </w:tc>
        <w:tc>
          <w:tcPr>
            <w:tcW w:w="4202" w:type="dxa"/>
            <w:tcBorders/>
            <w:tcMar>
              <w:left w:w="240" w:type="dxa"/>
              <w:right w:w="0" w:type="dxa"/>
            </w:tcMar>
            <w:vAlign w:val="center"/>
          </w:tcPr>
          <w:p>
            <w:pPr>
              <w:pStyle w:val="Normal"/>
              <w:rPr>
                <w:lang w:eastAsia="en-US"/>
              </w:rPr>
            </w:pPr>
            <w:r>
              <w:rPr>
                <w:lang w:eastAsia="en-US"/>
              </w:rPr>
              <w:t>3 000 F CFA</w:t>
            </w:r>
          </w:p>
        </w:tc>
      </w:tr>
    </w:tbl>
    <w:p>
      <w:pPr>
        <w:pStyle w:val="Normal"/>
        <w:rPr>
          <w:lang w:eastAsia="en-US"/>
        </w:rPr>
      </w:pPr>
      <w:r>
        <w:rPr>
          <w:lang w:eastAsia="en-US"/>
        </w:rPr>
        <w:t>Les prix proposés par les concurrents de l’entreprise :</w:t>
      </w:r>
    </w:p>
    <w:tbl>
      <w:tblPr>
        <w:tblW w:w="11280" w:type="dxa"/>
        <w:jc w:val="left"/>
        <w:tblInd w:w="0" w:type="dxa"/>
        <w:tblLayout w:type="fixed"/>
        <w:tblCellMar>
          <w:top w:w="150" w:type="dxa"/>
          <w:left w:w="0" w:type="dxa"/>
          <w:bottom w:w="150" w:type="dxa"/>
          <w:right w:w="240" w:type="dxa"/>
        </w:tblCellMar>
      </w:tblPr>
      <w:tblGrid>
        <w:gridCol w:w="3562"/>
        <w:gridCol w:w="2384"/>
        <w:gridCol w:w="5334"/>
      </w:tblGrid>
      <w:tr>
        <w:trPr>
          <w:tblHeader w:val="true"/>
        </w:trPr>
        <w:tc>
          <w:tcPr>
            <w:tcW w:w="3562" w:type="dxa"/>
            <w:tcBorders/>
            <w:vAlign w:val="center"/>
          </w:tcPr>
          <w:p>
            <w:pPr>
              <w:pStyle w:val="Normal"/>
              <w:rPr>
                <w:lang w:eastAsia="en-US"/>
              </w:rPr>
            </w:pPr>
            <w:r>
              <w:rPr>
                <w:lang w:eastAsia="en-US"/>
              </w:rPr>
              <w:t>Désignation</w:t>
            </w:r>
          </w:p>
        </w:tc>
        <w:tc>
          <w:tcPr>
            <w:tcW w:w="2384" w:type="dxa"/>
            <w:tcBorders/>
            <w:tcMar>
              <w:left w:w="240" w:type="dxa"/>
            </w:tcMar>
            <w:vAlign w:val="center"/>
          </w:tcPr>
          <w:p>
            <w:pPr>
              <w:pStyle w:val="Normal"/>
              <w:rPr>
                <w:lang w:eastAsia="en-US"/>
              </w:rPr>
            </w:pPr>
            <w:r>
              <w:rPr>
                <w:lang w:eastAsia="en-US"/>
              </w:rPr>
              <w:t>Unité</w:t>
            </w:r>
          </w:p>
        </w:tc>
        <w:tc>
          <w:tcPr>
            <w:tcW w:w="5334" w:type="dxa"/>
            <w:tcBorders/>
            <w:tcMar>
              <w:left w:w="240" w:type="dxa"/>
            </w:tcMar>
            <w:vAlign w:val="center"/>
          </w:tcPr>
          <w:p>
            <w:pPr>
              <w:pStyle w:val="Normal"/>
              <w:rPr>
                <w:lang w:eastAsia="en-US"/>
              </w:rPr>
            </w:pPr>
            <w:r>
              <w:rPr>
                <w:lang w:eastAsia="en-US"/>
              </w:rPr>
              <w:t>Prix</w:t>
            </w:r>
          </w:p>
        </w:tc>
      </w:tr>
      <w:tr>
        <w:trPr/>
        <w:tc>
          <w:tcPr>
            <w:tcW w:w="3562" w:type="dxa"/>
            <w:tcBorders/>
            <w:vAlign w:val="center"/>
          </w:tcPr>
          <w:p>
            <w:pPr>
              <w:pStyle w:val="Normal"/>
              <w:rPr>
                <w:lang w:eastAsia="en-US"/>
              </w:rPr>
            </w:pPr>
            <w:r>
              <w:rPr>
                <w:lang w:eastAsia="en-US"/>
              </w:rPr>
              <w:t>Piment frais</w:t>
            </w:r>
          </w:p>
        </w:tc>
        <w:tc>
          <w:tcPr>
            <w:tcW w:w="2384" w:type="dxa"/>
            <w:tcBorders/>
            <w:tcMar>
              <w:left w:w="240" w:type="dxa"/>
            </w:tcMar>
            <w:vAlign w:val="center"/>
          </w:tcPr>
          <w:p>
            <w:pPr>
              <w:pStyle w:val="Normal"/>
              <w:rPr>
                <w:lang w:eastAsia="en-US"/>
              </w:rPr>
            </w:pPr>
            <w:r>
              <w:rPr>
                <w:lang w:eastAsia="en-US"/>
              </w:rPr>
              <w:t>Kg</w:t>
            </w:r>
          </w:p>
        </w:tc>
        <w:tc>
          <w:tcPr>
            <w:tcW w:w="5334" w:type="dxa"/>
            <w:tcBorders/>
            <w:tcMar>
              <w:left w:w="240" w:type="dxa"/>
              <w:right w:w="0" w:type="dxa"/>
            </w:tcMar>
            <w:vAlign w:val="center"/>
          </w:tcPr>
          <w:p>
            <w:pPr>
              <w:pStyle w:val="Normal"/>
              <w:rPr>
                <w:lang w:eastAsia="en-US"/>
              </w:rPr>
            </w:pPr>
            <w:r>
              <w:rPr>
                <w:lang w:eastAsia="en-US"/>
              </w:rPr>
              <w:t>1 000 à 1 500 F CFA</w:t>
            </w:r>
          </w:p>
        </w:tc>
      </w:tr>
      <w:tr>
        <w:trPr/>
        <w:tc>
          <w:tcPr>
            <w:tcW w:w="3562" w:type="dxa"/>
            <w:tcBorders/>
            <w:vAlign w:val="center"/>
          </w:tcPr>
          <w:p>
            <w:pPr>
              <w:pStyle w:val="Normal"/>
              <w:rPr>
                <w:lang w:eastAsia="en-US"/>
              </w:rPr>
            </w:pPr>
            <w:r>
              <w:rPr>
                <w:lang w:eastAsia="en-US"/>
              </w:rPr>
              <w:t>Piment séché</w:t>
            </w:r>
          </w:p>
        </w:tc>
        <w:tc>
          <w:tcPr>
            <w:tcW w:w="2384" w:type="dxa"/>
            <w:tcBorders/>
            <w:tcMar>
              <w:left w:w="240" w:type="dxa"/>
            </w:tcMar>
            <w:vAlign w:val="center"/>
          </w:tcPr>
          <w:p>
            <w:pPr>
              <w:pStyle w:val="Normal"/>
              <w:rPr>
                <w:lang w:eastAsia="en-US"/>
              </w:rPr>
            </w:pPr>
            <w:r>
              <w:rPr>
                <w:lang w:eastAsia="en-US"/>
              </w:rPr>
              <w:t>Kg</w:t>
            </w:r>
          </w:p>
        </w:tc>
        <w:tc>
          <w:tcPr>
            <w:tcW w:w="5334" w:type="dxa"/>
            <w:tcBorders/>
            <w:tcMar>
              <w:left w:w="240" w:type="dxa"/>
              <w:right w:w="0" w:type="dxa"/>
            </w:tcMar>
            <w:vAlign w:val="center"/>
          </w:tcPr>
          <w:p>
            <w:pPr>
              <w:pStyle w:val="Normal"/>
              <w:rPr>
                <w:lang w:eastAsia="en-US"/>
              </w:rPr>
            </w:pPr>
            <w:r>
              <w:rPr>
                <w:lang w:eastAsia="en-US"/>
              </w:rPr>
              <w:t>2 500 à 3 500 F CFA</w:t>
            </w:r>
          </w:p>
        </w:tc>
      </w:tr>
    </w:tbl>
    <w:p>
      <w:pPr>
        <w:pStyle w:val="Normal"/>
        <w:rPr>
          <w:lang w:eastAsia="en-US"/>
        </w:rPr>
      </w:pPr>
      <w:r>
        <w:rPr>
          <w:lang w:eastAsia="en-US"/>
        </w:rPr>
        <w:t>Les concurrents de l’entreprise dans la zone :</w:t>
      </w:r>
    </w:p>
    <w:tbl>
      <w:tblPr>
        <w:tblW w:w="11280" w:type="dxa"/>
        <w:jc w:val="left"/>
        <w:tblInd w:w="0" w:type="dxa"/>
        <w:tblLayout w:type="fixed"/>
        <w:tblCellMar>
          <w:top w:w="150" w:type="dxa"/>
          <w:left w:w="0" w:type="dxa"/>
          <w:bottom w:w="150" w:type="dxa"/>
          <w:right w:w="240" w:type="dxa"/>
        </w:tblCellMar>
      </w:tblPr>
      <w:tblGrid>
        <w:gridCol w:w="996"/>
        <w:gridCol w:w="5804"/>
        <w:gridCol w:w="4480"/>
      </w:tblGrid>
      <w:tr>
        <w:trPr>
          <w:tblHeader w:val="true"/>
        </w:trPr>
        <w:tc>
          <w:tcPr>
            <w:tcW w:w="996" w:type="dxa"/>
            <w:tcBorders/>
            <w:vAlign w:val="center"/>
          </w:tcPr>
          <w:p>
            <w:pPr>
              <w:pStyle w:val="Normal"/>
              <w:rPr>
                <w:lang w:eastAsia="en-US"/>
              </w:rPr>
            </w:pPr>
            <w:r>
              <w:rPr>
                <w:lang w:eastAsia="en-US"/>
              </w:rPr>
              <w:t>N°</w:t>
            </w:r>
          </w:p>
        </w:tc>
        <w:tc>
          <w:tcPr>
            <w:tcW w:w="5804" w:type="dxa"/>
            <w:tcBorders/>
            <w:tcMar>
              <w:left w:w="240" w:type="dxa"/>
            </w:tcMar>
            <w:vAlign w:val="center"/>
          </w:tcPr>
          <w:p>
            <w:pPr>
              <w:pStyle w:val="Normal"/>
              <w:rPr>
                <w:lang w:eastAsia="en-US"/>
              </w:rPr>
            </w:pPr>
            <w:r>
              <w:rPr>
                <w:lang w:eastAsia="en-US"/>
              </w:rPr>
              <w:t>Noms des concurrents</w:t>
            </w:r>
          </w:p>
        </w:tc>
        <w:tc>
          <w:tcPr>
            <w:tcW w:w="4480" w:type="dxa"/>
            <w:tcBorders/>
            <w:tcMar>
              <w:left w:w="240" w:type="dxa"/>
            </w:tcMar>
            <w:vAlign w:val="center"/>
          </w:tcPr>
          <w:p>
            <w:pPr>
              <w:pStyle w:val="Normal"/>
              <w:rPr>
                <w:lang w:eastAsia="en-US"/>
              </w:rPr>
            </w:pPr>
            <w:r>
              <w:rPr>
                <w:lang w:eastAsia="en-US"/>
              </w:rPr>
              <w:t>Localisation</w:t>
            </w:r>
          </w:p>
        </w:tc>
      </w:tr>
      <w:tr>
        <w:trPr/>
        <w:tc>
          <w:tcPr>
            <w:tcW w:w="996" w:type="dxa"/>
            <w:tcBorders/>
            <w:vAlign w:val="center"/>
          </w:tcPr>
          <w:p>
            <w:pPr>
              <w:pStyle w:val="Normal"/>
              <w:rPr>
                <w:lang w:eastAsia="en-US"/>
              </w:rPr>
            </w:pPr>
            <w:r>
              <w:rPr>
                <w:lang w:eastAsia="en-US"/>
              </w:rPr>
              <w:t>1</w:t>
            </w:r>
          </w:p>
        </w:tc>
        <w:tc>
          <w:tcPr>
            <w:tcW w:w="5804" w:type="dxa"/>
            <w:tcBorders/>
            <w:tcMar>
              <w:left w:w="240" w:type="dxa"/>
            </w:tcMar>
            <w:vAlign w:val="center"/>
          </w:tcPr>
          <w:p>
            <w:pPr>
              <w:pStyle w:val="Normal"/>
              <w:rPr>
                <w:lang w:eastAsia="en-US"/>
              </w:rPr>
            </w:pPr>
            <w:r>
              <w:rPr>
                <w:lang w:eastAsia="en-US"/>
              </w:rPr>
              <w:t>Vendeuses de condiments</w:t>
            </w:r>
          </w:p>
        </w:tc>
        <w:tc>
          <w:tcPr>
            <w:tcW w:w="4480" w:type="dxa"/>
            <w:tcBorders/>
            <w:tcMar>
              <w:left w:w="240" w:type="dxa"/>
              <w:right w:w="0" w:type="dxa"/>
            </w:tcMar>
            <w:vAlign w:val="center"/>
          </w:tcPr>
          <w:p>
            <w:pPr>
              <w:pStyle w:val="Normal"/>
              <w:rPr>
                <w:lang w:eastAsia="en-US"/>
              </w:rPr>
            </w:pPr>
            <w:r>
              <w:rPr>
                <w:lang w:eastAsia="en-US"/>
              </w:rPr>
              <w:t>Marchés de Bamako</w:t>
            </w:r>
          </w:p>
        </w:tc>
      </w:tr>
      <w:tr>
        <w:trPr/>
        <w:tc>
          <w:tcPr>
            <w:tcW w:w="996" w:type="dxa"/>
            <w:tcBorders/>
            <w:vAlign w:val="center"/>
          </w:tcPr>
          <w:p>
            <w:pPr>
              <w:pStyle w:val="Normal"/>
              <w:rPr>
                <w:lang w:eastAsia="en-US"/>
              </w:rPr>
            </w:pPr>
            <w:r>
              <w:rPr>
                <w:lang w:eastAsia="en-US"/>
              </w:rPr>
              <w:t>2</w:t>
            </w:r>
          </w:p>
        </w:tc>
        <w:tc>
          <w:tcPr>
            <w:tcW w:w="5804" w:type="dxa"/>
            <w:tcBorders/>
            <w:tcMar>
              <w:left w:w="240" w:type="dxa"/>
            </w:tcMar>
            <w:vAlign w:val="center"/>
          </w:tcPr>
          <w:p>
            <w:pPr>
              <w:pStyle w:val="Normal"/>
              <w:rPr>
                <w:lang w:eastAsia="en-US"/>
              </w:rPr>
            </w:pPr>
            <w:r>
              <w:rPr>
                <w:lang w:eastAsia="en-US"/>
              </w:rPr>
              <w:t>Producteurs locaux</w:t>
            </w:r>
          </w:p>
        </w:tc>
        <w:tc>
          <w:tcPr>
            <w:tcW w:w="4480" w:type="dxa"/>
            <w:tcBorders/>
            <w:tcMar>
              <w:left w:w="240" w:type="dxa"/>
              <w:right w:w="0" w:type="dxa"/>
            </w:tcMar>
            <w:vAlign w:val="center"/>
          </w:tcPr>
          <w:p>
            <w:pPr>
              <w:pStyle w:val="Normal"/>
              <w:rPr>
                <w:lang w:eastAsia="en-US"/>
              </w:rPr>
            </w:pPr>
            <w:r>
              <w:rPr>
                <w:lang w:eastAsia="en-US"/>
              </w:rPr>
              <w:t>Bougoula et environs</w:t>
            </w:r>
          </w:p>
        </w:tc>
      </w:tr>
      <w:tr>
        <w:trPr/>
        <w:tc>
          <w:tcPr>
            <w:tcW w:w="996" w:type="dxa"/>
            <w:tcBorders/>
            <w:vAlign w:val="center"/>
          </w:tcPr>
          <w:p>
            <w:pPr>
              <w:pStyle w:val="Normal"/>
              <w:rPr>
                <w:lang w:eastAsia="en-US"/>
              </w:rPr>
            </w:pPr>
            <w:r>
              <w:rPr>
                <w:lang w:eastAsia="en-US"/>
              </w:rPr>
              <w:t>3</w:t>
            </w:r>
          </w:p>
        </w:tc>
        <w:tc>
          <w:tcPr>
            <w:tcW w:w="5804" w:type="dxa"/>
            <w:tcBorders/>
            <w:tcMar>
              <w:left w:w="240" w:type="dxa"/>
            </w:tcMar>
            <w:vAlign w:val="center"/>
          </w:tcPr>
          <w:p>
            <w:pPr>
              <w:pStyle w:val="Normal"/>
              <w:rPr>
                <w:lang w:eastAsia="en-US"/>
              </w:rPr>
            </w:pPr>
            <w:r>
              <w:rPr>
                <w:lang w:eastAsia="en-US"/>
              </w:rPr>
              <w:t>Grossistes</w:t>
            </w:r>
          </w:p>
        </w:tc>
        <w:tc>
          <w:tcPr>
            <w:tcW w:w="4480" w:type="dxa"/>
            <w:tcBorders/>
            <w:tcMar>
              <w:left w:w="240" w:type="dxa"/>
              <w:right w:w="0" w:type="dxa"/>
            </w:tcMar>
            <w:vAlign w:val="center"/>
          </w:tcPr>
          <w:p>
            <w:pPr>
              <w:pStyle w:val="Normal"/>
              <w:rPr>
                <w:lang w:eastAsia="en-US"/>
              </w:rPr>
            </w:pPr>
            <w:r>
              <w:rPr>
                <w:lang w:eastAsia="en-US"/>
              </w:rPr>
              <w:t>Marchés de Bamako</w:t>
            </w:r>
          </w:p>
        </w:tc>
      </w:tr>
    </w:tbl>
    <w:p>
      <w:pPr>
        <w:pStyle w:val="Normal"/>
        <w:rPr>
          <w:lang w:eastAsia="en-US"/>
        </w:rPr>
      </w:pPr>
      <w:r>
        <w:rPr/>
        <mc:AlternateContent>
          <mc:Choice Requires="wps">
            <w:drawing>
              <wp:inline distT="0" distB="0" distL="0" distR="0">
                <wp:extent cx="6121400" cy="9525"/>
                <wp:effectExtent l="0" t="0" r="0" b="0"/>
                <wp:docPr id="5" name="Shape5"/>
                <a:graphic xmlns:a="http://schemas.openxmlformats.org/drawingml/2006/main">
                  <a:graphicData uri="http://schemas.microsoft.com/office/word/2010/wordprocessingShape">
                    <wps:wsp>
                      <wps:cNvSpPr/>
                      <wps:spPr>
                        <a:xfrm>
                          <a:off x="0" y="0"/>
                          <a:ext cx="6121440" cy="93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5" path="m0,0l-2147483645,0l-2147483645,-2147483646l0,-2147483646xe" fillcolor="#a0a0a0" stroked="f" o:allowincell="f" style="position:absolute;margin-left:0pt;margin-top:-0.8pt;width:481.95pt;height:0.7pt;mso-wrap-style:none;v-text-anchor:middle;mso-position-vertical:top">
                <v:fill o:detectmouseclick="t" type="solid" color2="#5f5f5f"/>
                <v:stroke color="#3465a4" joinstyle="round" endcap="flat"/>
                <w10:wrap type="square"/>
              </v:rect>
            </w:pict>
          </mc:Fallback>
        </mc:AlternateContent>
      </w:r>
    </w:p>
    <w:p>
      <w:pPr>
        <w:pStyle w:val="Normal"/>
        <w:rPr>
          <w:b/>
          <w:bCs/>
          <w:lang w:eastAsia="en-US"/>
        </w:rPr>
      </w:pPr>
      <w:r>
        <w:rPr>
          <w:b/>
          <w:bCs/>
          <w:lang w:eastAsia="en-US"/>
        </w:rPr>
        <w:t>4. L’analyse de la concurrence</w:t>
      </w:r>
    </w:p>
    <w:p>
      <w:pPr>
        <w:pStyle w:val="Normal"/>
        <w:rPr>
          <w:lang w:eastAsia="en-US"/>
        </w:rPr>
      </w:pPr>
      <w:r>
        <w:rPr>
          <w:lang w:eastAsia="en-US"/>
        </w:rPr>
        <w:t>L’entreprise est face à des concurrents tels que les vendeuses de condiments, les producteurs locaux et les grossiste</w:t>
      </w:r>
      <w:r>
        <w:rPr>
          <w:b/>
          <w:bCs/>
          <w:lang w:eastAsia="en-US"/>
        </w:rPr>
        <w:t>s</w:t>
      </w:r>
      <w:r>
        <w:rPr>
          <w:lang w:eastAsia="en-US"/>
        </w:rPr>
        <w:t>. Ces concurrents ne pratiquent pas le séchage ou ne trient pas rigoureusement leurs produits. l’entreprise se distingue par la qualité de ses produits, la double disponibilité (frais/séché) et l’hygiène.</w:t>
      </w:r>
    </w:p>
    <w:p>
      <w:pPr>
        <w:pStyle w:val="Normal"/>
        <w:rPr>
          <w:lang w:eastAsia="en-US"/>
        </w:rPr>
      </w:pPr>
      <w:r>
        <w:rPr>
          <w:lang w:eastAsia="en-US"/>
        </w:rPr>
        <w:t>Cependant l’entreprise développera des stratégies pour mieux se positionner sur le marché en :</w:t>
      </w:r>
    </w:p>
    <w:p>
      <w:pPr>
        <w:pStyle w:val="Normal"/>
        <w:numPr>
          <w:ilvl w:val="0"/>
          <w:numId w:val="10"/>
        </w:numPr>
        <w:rPr>
          <w:lang w:eastAsia="en-US"/>
        </w:rPr>
      </w:pPr>
      <w:r>
        <w:rPr>
          <w:lang w:eastAsia="en-US"/>
        </w:rPr>
        <w:t>Fidélisant ses clients afin d’étendre sa part de marché ;</w:t>
      </w:r>
    </w:p>
    <w:p>
      <w:pPr>
        <w:pStyle w:val="Normal"/>
        <w:numPr>
          <w:ilvl w:val="0"/>
          <w:numId w:val="10"/>
        </w:numPr>
        <w:rPr>
          <w:lang w:eastAsia="en-US"/>
        </w:rPr>
      </w:pPr>
      <w:r>
        <w:rPr>
          <w:lang w:eastAsia="en-US"/>
        </w:rPr>
        <w:t>Renforçant sa capacité de production et de distribution avec de nouveaux équipements pour mieux satisfaire la demande croissante des clients.</w:t>
      </w:r>
    </w:p>
    <w:p>
      <w:pPr>
        <w:pStyle w:val="Normal"/>
        <w:rPr>
          <w:lang w:eastAsia="en-US"/>
        </w:rPr>
      </w:pPr>
      <w:r>
        <w:rPr>
          <w:lang w:eastAsia="en-US"/>
        </w:rPr>
        <w:t>L’entreprise prévoit également de participer aux foires agricoles et de développer des actions de promotion pour toucher le maximum de prospects.</w:t>
      </w:r>
    </w:p>
    <w:p>
      <w:pPr>
        <w:pStyle w:val="Normal"/>
        <w:rPr>
          <w:lang w:eastAsia="en-US"/>
        </w:rPr>
      </w:pPr>
      <w:r>
        <w:rPr/>
        <mc:AlternateContent>
          <mc:Choice Requires="wps">
            <w:drawing>
              <wp:inline distT="0" distB="0" distL="0" distR="0">
                <wp:extent cx="6121400" cy="9525"/>
                <wp:effectExtent l="0" t="0" r="0" b="0"/>
                <wp:docPr id="6" name="Shape6"/>
                <a:graphic xmlns:a="http://schemas.openxmlformats.org/drawingml/2006/main">
                  <a:graphicData uri="http://schemas.microsoft.com/office/word/2010/wordprocessingShape">
                    <wps:wsp>
                      <wps:cNvSpPr/>
                      <wps:spPr>
                        <a:xfrm>
                          <a:off x="0" y="0"/>
                          <a:ext cx="6121440" cy="93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6" path="m0,0l-2147483645,0l-2147483645,-2147483646l0,-2147483646xe" fillcolor="#a0a0a0" stroked="f" o:allowincell="f" style="position:absolute;margin-left:0pt;margin-top:-0.8pt;width:481.95pt;height:0.7pt;mso-wrap-style:none;v-text-anchor:middle;mso-position-vertical:top">
                <v:fill o:detectmouseclick="t" type="solid" color2="#5f5f5f"/>
                <v:stroke color="#3465a4" joinstyle="round" endcap="flat"/>
                <w10:wrap type="square"/>
              </v:rect>
            </w:pict>
          </mc:Fallback>
        </mc:AlternateContent>
      </w:r>
    </w:p>
    <w:p>
      <w:pPr>
        <w:pStyle w:val="Normal"/>
        <w:rPr>
          <w:b/>
          <w:bCs/>
          <w:lang w:eastAsia="en-US"/>
        </w:rPr>
      </w:pPr>
      <w:r>
        <w:rPr>
          <w:b/>
          <w:bCs/>
          <w:lang w:eastAsia="en-US"/>
        </w:rPr>
        <w:t xml:space="preserve">5. </w:t>
      </w:r>
      <w:r>
        <w:rPr>
          <w:lang w:eastAsia="en-US"/>
        </w:rPr>
        <w:t>La demande (clientèle cible)</w:t>
      </w:r>
    </w:p>
    <w:p>
      <w:pPr>
        <w:pStyle w:val="Normal"/>
        <w:rPr>
          <w:lang w:eastAsia="en-US"/>
        </w:rPr>
      </w:pPr>
      <w:r>
        <w:rPr>
          <w:lang w:eastAsia="en-US"/>
        </w:rPr>
        <w:t>La clientèle cible est constituée par les ménages, les restaurants, les revendeurs de condiments, les grossistes et les détaillants. En général, les clients sont exigeants sur certains éléments clés : la qualité du produit, la disponibilité, le prix accessible et la régularité de l’approvisionnement.</w:t>
      </w:r>
    </w:p>
    <w:p>
      <w:pPr>
        <w:pStyle w:val="Normal"/>
        <w:rPr>
          <w:lang w:eastAsia="en-US"/>
        </w:rPr>
      </w:pPr>
      <w:r>
        <w:rPr>
          <w:lang w:eastAsia="en-US"/>
        </w:rPr>
        <w:t>La stratégie de l’entreprise pour satisfaire les besoins des clients consiste à recenser les commandes afin de mieux planifier les jours de livraison, maintenir le contact avec les clients à travers une vérification de l’appréciation des clients sur les produits.</w:t>
      </w:r>
    </w:p>
    <w:p>
      <w:pPr>
        <w:pStyle w:val="Normal"/>
        <w:rPr>
          <w:lang w:eastAsia="en-US"/>
        </w:rPr>
      </w:pPr>
      <w:r>
        <w:rPr/>
        <mc:AlternateContent>
          <mc:Choice Requires="wps">
            <w:drawing>
              <wp:inline distT="0" distB="0" distL="0" distR="0">
                <wp:extent cx="6121400" cy="9525"/>
                <wp:effectExtent l="0" t="0" r="0" b="0"/>
                <wp:docPr id="7" name="Shape7"/>
                <a:graphic xmlns:a="http://schemas.openxmlformats.org/drawingml/2006/main">
                  <a:graphicData uri="http://schemas.microsoft.com/office/word/2010/wordprocessingShape">
                    <wps:wsp>
                      <wps:cNvSpPr/>
                      <wps:spPr>
                        <a:xfrm>
                          <a:off x="0" y="0"/>
                          <a:ext cx="6121440" cy="93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7" path="m0,0l-2147483645,0l-2147483645,-2147483646l0,-2147483646xe" fillcolor="#a0a0a0" stroked="f" o:allowincell="f" style="position:absolute;margin-left:0pt;margin-top:-0.8pt;width:481.95pt;height:0.7pt;mso-wrap-style:none;v-text-anchor:middle;mso-position-vertical:top">
                <v:fill o:detectmouseclick="t" type="solid" color2="#5f5f5f"/>
                <v:stroke color="#3465a4" joinstyle="round" endcap="flat"/>
                <w10:wrap type="square"/>
              </v:rect>
            </w:pict>
          </mc:Fallback>
        </mc:AlternateContent>
      </w:r>
    </w:p>
    <w:p>
      <w:pPr>
        <w:pStyle w:val="Normal"/>
        <w:rPr>
          <w:b/>
          <w:bCs/>
          <w:lang w:eastAsia="en-US"/>
        </w:rPr>
      </w:pPr>
      <w:r>
        <w:rPr>
          <w:b/>
          <w:bCs/>
          <w:lang w:eastAsia="en-US"/>
        </w:rPr>
        <w:t>6. Stratégies marketing</w:t>
      </w:r>
    </w:p>
    <w:p>
      <w:pPr>
        <w:pStyle w:val="Normal"/>
        <w:rPr>
          <w:lang w:eastAsia="en-US"/>
        </w:rPr>
      </w:pPr>
      <w:r>
        <w:rPr>
          <w:b/>
          <w:bCs/>
          <w:lang w:eastAsia="en-US"/>
        </w:rPr>
        <w:t>6.1 Politique de Produit :</w:t>
      </w:r>
    </w:p>
    <w:p>
      <w:pPr>
        <w:pStyle w:val="Normal"/>
        <w:rPr>
          <w:lang w:eastAsia="en-US"/>
        </w:rPr>
      </w:pPr>
      <w:r>
        <w:rPr>
          <w:lang w:eastAsia="en-US"/>
        </w:rPr>
        <w:t xml:space="preserve">La politique de produit est axée sur la production de piment frais et séché de haute qualité. La marque </w:t>
      </w:r>
      <w:r>
        <w:rPr>
          <w:b/>
          <w:bCs/>
          <w:lang w:eastAsia="en-US"/>
        </w:rPr>
        <w:t>PIMENT DÉLICE</w:t>
      </w:r>
      <w:r>
        <w:rPr>
          <w:lang w:eastAsia="en-US"/>
        </w:rPr>
        <w:t xml:space="preserve"> véhicule une image de </w:t>
      </w:r>
      <w:r>
        <w:rPr>
          <w:b/>
          <w:bCs/>
          <w:lang w:eastAsia="en-US"/>
        </w:rPr>
        <w:t>fraîcheur</w:t>
      </w:r>
      <w:r>
        <w:rPr>
          <w:lang w:eastAsia="en-US"/>
        </w:rPr>
        <w:t xml:space="preserve">, de </w:t>
      </w:r>
      <w:r>
        <w:rPr>
          <w:b/>
          <w:bCs/>
          <w:lang w:eastAsia="en-US"/>
        </w:rPr>
        <w:t>qualité</w:t>
      </w:r>
      <w:r>
        <w:rPr>
          <w:lang w:eastAsia="en-US"/>
        </w:rPr>
        <w:t xml:space="preserve"> et de </w:t>
      </w:r>
      <w:r>
        <w:rPr>
          <w:b/>
          <w:bCs/>
          <w:lang w:eastAsia="en-US"/>
        </w:rPr>
        <w:t>saveur authentique</w:t>
      </w:r>
      <w:r>
        <w:rPr>
          <w:lang w:eastAsia="en-US"/>
        </w:rPr>
        <w:t>. Le piment est proposé sous deux formes : frais (variété Avenir F1) et séché entier. Cette politique vise à fidéliser la clientèle et à assurer l’écoulement régulier de la production.</w:t>
      </w:r>
    </w:p>
    <w:p>
      <w:pPr>
        <w:pStyle w:val="Normal"/>
        <w:rPr>
          <w:lang w:eastAsia="en-US"/>
        </w:rPr>
      </w:pPr>
      <w:r>
        <w:rPr>
          <w:b/>
          <w:bCs/>
          <w:lang w:eastAsia="en-US"/>
        </w:rPr>
        <w:t>6.2 Politique de prix :</w:t>
      </w:r>
    </w:p>
    <w:p>
      <w:pPr>
        <w:pStyle w:val="Normal"/>
        <w:rPr>
          <w:lang w:eastAsia="en-US"/>
        </w:rPr>
      </w:pPr>
      <w:r>
        <w:rPr>
          <w:lang w:eastAsia="en-US"/>
        </w:rPr>
        <w:t>La politique de prix a consisté à fixer un prix incitatif pour les clients afin de les fidéliser, augmenter le chiffre d’affaires de l’entreprise et mieux se positionner face à la concurrence. Le prix de vente est fixé à 1 000 F CFA/kg pour le piment frais et 3 000 F CFA/kg pour le piment</w:t>
      </w:r>
      <w:r>
        <w:rPr>
          <w:b/>
          <w:bCs/>
          <w:lang w:eastAsia="en-US"/>
        </w:rPr>
        <w:t xml:space="preserve"> séché</w:t>
      </w:r>
      <w:r>
        <w:rPr>
          <w:lang w:eastAsia="en-US"/>
        </w:rPr>
        <w:t>. Des conditions favorables de livraison sont proposées pour les clients qui passent des commandes importantes.</w:t>
      </w:r>
    </w:p>
    <w:p>
      <w:pPr>
        <w:pStyle w:val="Normal"/>
        <w:rPr>
          <w:lang w:eastAsia="en-US"/>
        </w:rPr>
      </w:pPr>
      <w:r>
        <w:rPr>
          <w:b/>
          <w:bCs/>
          <w:lang w:eastAsia="en-US"/>
        </w:rPr>
        <w:t>6.3 Politique de place</w:t>
      </w:r>
    </w:p>
    <w:p>
      <w:pPr>
        <w:pStyle w:val="Normal"/>
        <w:rPr>
          <w:lang w:eastAsia="en-US"/>
        </w:rPr>
      </w:pPr>
      <w:r>
        <w:rPr>
          <w:lang w:eastAsia="en-US"/>
        </w:rPr>
        <w:t>La localisation de l’exploitation à Safé kore (Bougoula</w:t>
      </w:r>
      <w:r>
        <w:rPr>
          <w:b/>
          <w:bCs/>
          <w:lang w:eastAsia="en-US"/>
        </w:rPr>
        <w:t>)</w:t>
      </w:r>
      <w:r>
        <w:rPr>
          <w:lang w:eastAsia="en-US"/>
        </w:rPr>
        <w:t xml:space="preserve"> est stratégique parce qu’elle permet d’attirer les clients vers les produits. Les grossistes se rendent dans cette zone pour négocier avec les producteurs. Cela facilite l’établissement des liens de marché solides et durables dans la commercialisation de la production.</w:t>
      </w:r>
    </w:p>
    <w:p>
      <w:pPr>
        <w:pStyle w:val="Normal"/>
        <w:rPr>
          <w:lang w:eastAsia="en-US"/>
        </w:rPr>
      </w:pPr>
      <w:r>
        <w:rPr>
          <w:b/>
          <w:bCs/>
          <w:lang w:eastAsia="en-US"/>
        </w:rPr>
        <w:t>6.4 Politique de promotion/communication :</w:t>
      </w:r>
    </w:p>
    <w:p>
      <w:pPr>
        <w:pStyle w:val="Normal"/>
        <w:rPr>
          <w:lang w:eastAsia="en-US"/>
        </w:rPr>
      </w:pPr>
      <w:r>
        <w:rPr>
          <w:lang w:eastAsia="en-US"/>
        </w:rPr>
        <w:t>La politique de promotion et de communication développée comprend :</w:t>
      </w:r>
    </w:p>
    <w:p>
      <w:pPr>
        <w:pStyle w:val="Normal"/>
        <w:rPr>
          <w:lang w:eastAsia="en-US"/>
        </w:rPr>
      </w:pPr>
      <w:r>
        <w:rPr>
          <w:b/>
          <w:bCs/>
          <w:lang w:eastAsia="en-US"/>
        </w:rPr>
        <w:t>L’identification des prospects :</w:t>
      </w:r>
      <w:r>
        <w:rPr>
          <w:lang w:eastAsia="en-US"/>
        </w:rPr>
        <w:br/>
        <w:t>Il s’agit d’identifier les clients potentiels afin d’avoir leurs contacts et des informations sur les quantités de produits dont ils ont besoin par mois.</w:t>
      </w:r>
    </w:p>
    <w:p>
      <w:pPr>
        <w:pStyle w:val="Normal"/>
        <w:rPr>
          <w:lang w:eastAsia="en-US"/>
        </w:rPr>
      </w:pPr>
      <w:r>
        <w:rPr>
          <w:b/>
          <w:bCs/>
          <w:lang w:eastAsia="en-US"/>
        </w:rPr>
        <w:t>Identification des canaux de communication :</w:t>
      </w:r>
      <w:r>
        <w:rPr>
          <w:lang w:eastAsia="en-US"/>
        </w:rPr>
        <w:br/>
        <w:t>Les différents canaux de communication identifiés sont le contact direct, le téléphone, les radios de proximité et les réseaux sociaux.</w:t>
      </w:r>
    </w:p>
    <w:p>
      <w:pPr>
        <w:pStyle w:val="Normal"/>
        <w:rPr>
          <w:lang w:eastAsia="en-US"/>
        </w:rPr>
      </w:pPr>
      <w:r>
        <w:rPr>
          <w:b/>
          <w:bCs/>
          <w:lang w:eastAsia="en-US"/>
        </w:rPr>
        <w:t>Elaboration des outils de communication :</w:t>
      </w:r>
      <w:r>
        <w:rPr>
          <w:lang w:eastAsia="en-US"/>
        </w:rPr>
        <w:br/>
        <w:t>Les outils de communication retenus par l’entreprise sont les appels téléphoniques, les spots radios, WhatsApp, Facebook et TikTok.</w:t>
      </w:r>
    </w:p>
    <w:p>
      <w:pPr>
        <w:pStyle w:val="Normal"/>
        <w:rPr>
          <w:lang w:eastAsia="en-US"/>
        </w:rPr>
      </w:pPr>
      <w:r>
        <w:rPr>
          <w:b/>
          <w:bCs/>
          <w:lang w:eastAsia="en-US"/>
        </w:rPr>
        <w:t>Elaboration d’un plan de communication :</w:t>
      </w:r>
      <w:r>
        <w:rPr>
          <w:lang w:eastAsia="en-US"/>
        </w:rPr>
        <w:br/>
        <w:t>Un plan de communication cohérent et adapté aux moyens de l’entreprise sera élaboré afin de mieux cibler les clients potentiels et mieux faire face à la concurrence.</w:t>
      </w:r>
    </w:p>
    <w:p>
      <w:pPr>
        <w:pStyle w:val="Normal"/>
        <w:rPr>
          <w:lang w:eastAsia="en-US"/>
        </w:rPr>
      </w:pPr>
      <w:r>
        <w:rPr>
          <w:b/>
          <w:bCs/>
          <w:lang w:eastAsia="en-US"/>
        </w:rPr>
        <w:t>Mise en œuvre du plan de communication.</w:t>
      </w:r>
      <w:r>
        <w:rPr>
          <w:lang w:eastAsia="en-US"/>
        </w:rPr>
        <w:br/>
        <w:t>Les différents canaux identifiés seront utilisés dans la mise en œuvre de ce plan de communication. L’accent sera mis sur les périodes de grande consommation, de foires agricoles et commerciales.</w:t>
      </w:r>
    </w:p>
    <w:p>
      <w:pPr>
        <w:pStyle w:val="Normal"/>
        <w:rPr>
          <w:lang w:eastAsia="en-US"/>
        </w:rPr>
      </w:pPr>
      <w:r>
        <w:rPr>
          <w:lang w:eastAsia="en-US"/>
        </w:rPr>
      </w:r>
    </w:p>
    <w:p>
      <w:pPr>
        <w:pStyle w:val="Heading1"/>
        <w:keepLines/>
        <w:numPr>
          <w:ilvl w:val="0"/>
          <w:numId w:val="3"/>
        </w:numPr>
        <w:spacing w:before="0" w:after="120"/>
        <w:ind w:hanging="431" w:left="431" w:right="0"/>
        <w:jc w:val="both"/>
        <w:rPr>
          <w:rFonts w:ascii="Times New Roman" w:hAnsi="Times New Roman" w:cs="Times New Roman"/>
          <w:caps/>
          <w:color w:val="166B7F"/>
          <w:kern w:val="0"/>
          <w:lang w:eastAsia="en-US"/>
        </w:rPr>
      </w:pPr>
      <w:bookmarkStart w:id="8" w:name="__RefHeading___Toc234831707"/>
      <w:bookmarkEnd w:id="8"/>
      <w:r>
        <w:rPr>
          <w:rFonts w:cs="Times New Roman" w:ascii="Times New Roman" w:hAnsi="Times New Roman"/>
          <w:caps/>
          <w:color w:val="166B7F"/>
          <w:kern w:val="0"/>
          <w:lang w:eastAsia="en-US"/>
        </w:rPr>
        <w:t>ÉTUDE TECHNIQUE</w:t>
      </w:r>
    </w:p>
    <w:p>
      <w:pPr>
        <w:pStyle w:val="Heading2"/>
        <w:keepLines/>
        <w:numPr>
          <w:ilvl w:val="0"/>
          <w:numId w:val="12"/>
        </w:numPr>
        <w:spacing w:before="120" w:after="120"/>
        <w:ind w:hanging="360" w:left="720" w:right="0"/>
        <w:jc w:val="both"/>
        <w:rPr>
          <w:rFonts w:ascii="Times New Roman" w:hAnsi="Times New Roman" w:cs="Times New Roman"/>
          <w:i w:val="false"/>
          <w:i w:val="false"/>
          <w:iCs w:val="false"/>
          <w:sz w:val="24"/>
          <w:szCs w:val="24"/>
          <w:lang w:val="fr-CI"/>
        </w:rPr>
      </w:pPr>
      <w:bookmarkStart w:id="9" w:name="__RefHeading___Toc234831708"/>
      <w:bookmarkEnd w:id="9"/>
      <w:r>
        <w:rPr>
          <w:rFonts w:cs="Times New Roman" w:ascii="Times New Roman" w:hAnsi="Times New Roman"/>
          <w:i w:val="false"/>
          <w:iCs w:val="false"/>
          <w:sz w:val="24"/>
          <w:szCs w:val="24"/>
          <w:lang w:val="fr-CI"/>
        </w:rPr>
        <w:t xml:space="preserve">Site d’implantation : </w:t>
      </w:r>
    </w:p>
    <w:p>
      <w:pPr>
        <w:pStyle w:val="Normal"/>
        <w:rPr>
          <w:lang w:eastAsia="en-US"/>
        </w:rPr>
      </w:pPr>
      <w:r>
        <w:rPr>
          <w:lang w:eastAsia="en-US"/>
        </w:rPr>
        <w:t>Le projet sera réalisé sur une superficie de 0,5 hectare à Safé kore (Bougoula), dans la Région de Koulikoro. Le site du projet est accessible avec des routes praticables en toute saison, cela facilitera le transport de la production pour la livraison aux clients.</w:t>
      </w:r>
    </w:p>
    <w:p>
      <w:pPr>
        <w:pStyle w:val="Normal"/>
        <w:rPr>
          <w:lang w:eastAsia="en-US"/>
        </w:rPr>
      </w:pPr>
      <w:r>
        <w:rPr>
          <w:lang w:eastAsia="en-US"/>
        </w:rPr>
        <w:t>Le titre de propriété de la superficie est détenu par un membre de la famille qui en autorise l’exploitation par le promoteur pour une durée de 7 ans, renouvelable. L’acte de mise à disposition du terrain, dûment signé et légalisé, sera joint en annexe du présent plan d’affaires.</w:t>
      </w:r>
    </w:p>
    <w:p>
      <w:pPr>
        <w:pStyle w:val="Normal"/>
        <w:jc w:val="both"/>
        <w:rPr>
          <w:rFonts w:ascii="Cambria" w:hAnsi="Cambria" w:cs="Calibri"/>
          <w:i/>
          <w:i/>
          <w:iCs/>
          <w:sz w:val="20"/>
          <w:szCs w:val="20"/>
        </w:rPr>
      </w:pPr>
      <w:r>
        <w:rPr>
          <w:iCs/>
          <w:sz w:val="22"/>
          <w:szCs w:val="22"/>
        </w:rPr>
        <w:t xml:space="preserve">.. </w:t>
      </w:r>
    </w:p>
    <w:p>
      <w:pPr>
        <w:pStyle w:val="Heading2"/>
        <w:keepLines/>
        <w:numPr>
          <w:ilvl w:val="0"/>
          <w:numId w:val="12"/>
        </w:numPr>
        <w:spacing w:before="120" w:after="0"/>
        <w:ind w:hanging="360" w:left="720" w:right="0"/>
        <w:jc w:val="both"/>
        <w:rPr>
          <w:rFonts w:ascii="Times New Roman" w:hAnsi="Times New Roman" w:cs="Times New Roman"/>
          <w:i w:val="false"/>
          <w:i w:val="false"/>
          <w:iCs w:val="false"/>
          <w:sz w:val="24"/>
          <w:szCs w:val="24"/>
          <w:lang w:val="fr-CI"/>
        </w:rPr>
      </w:pPr>
      <w:bookmarkStart w:id="10" w:name="__RefHeading___Toc234831709"/>
      <w:bookmarkEnd w:id="10"/>
      <w:r>
        <w:rPr>
          <w:rFonts w:cs="Times New Roman" w:ascii="Times New Roman" w:hAnsi="Times New Roman"/>
          <w:i w:val="false"/>
          <w:iCs w:val="false"/>
          <w:sz w:val="24"/>
          <w:szCs w:val="24"/>
          <w:lang w:val="fr-CI"/>
        </w:rPr>
        <w:t>Locaux, aménagements / installations et équipements</w:t>
      </w:r>
    </w:p>
    <w:p>
      <w:pPr>
        <w:pStyle w:val="Normal"/>
        <w:ind w:left="720" w:right="0"/>
        <w:rPr/>
      </w:pPr>
      <w:r>
        <w:rPr/>
        <w:t xml:space="preserve">2.1 Constructions </w:t>
      </w:r>
    </w:p>
    <w:tbl>
      <w:tblPr>
        <w:tblW w:w="7420" w:type="dxa"/>
        <w:jc w:val="left"/>
        <w:tblInd w:w="80" w:type="dxa"/>
        <w:tblLayout w:type="fixed"/>
        <w:tblCellMar>
          <w:top w:w="0" w:type="dxa"/>
          <w:left w:w="70" w:type="dxa"/>
          <w:bottom w:w="0" w:type="dxa"/>
          <w:right w:w="70" w:type="dxa"/>
        </w:tblCellMar>
      </w:tblPr>
      <w:tblGrid>
        <w:gridCol w:w="3250"/>
        <w:gridCol w:w="992"/>
        <w:gridCol w:w="1417"/>
        <w:gridCol w:w="1760"/>
      </w:tblGrid>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992"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417"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76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25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rPr>
            </w:pPr>
            <w:r>
              <w:rPr>
                <w:color w:val="000000"/>
              </w:rPr>
              <w:t>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0</w:t>
            </w:r>
          </w:p>
        </w:tc>
      </w:tr>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992"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7"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76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0</w:t>
            </w:r>
          </w:p>
        </w:tc>
      </w:tr>
    </w:tbl>
    <w:p>
      <w:pPr>
        <w:pStyle w:val="Normal"/>
        <w:ind w:left="720" w:right="0"/>
        <w:rPr>
          <w:lang w:val="fr-CI"/>
        </w:rPr>
      </w:pPr>
      <w:r>
        <w:rPr>
          <w:lang w:val="fr-CI"/>
        </w:rPr>
      </w:r>
    </w:p>
    <w:p>
      <w:pPr>
        <w:pStyle w:val="Normal"/>
        <w:ind w:left="720" w:right="0"/>
        <w:rPr>
          <w:lang w:val="fr-CI"/>
        </w:rPr>
      </w:pPr>
      <w:r>
        <w:rPr>
          <w:lang w:val="fr-CI"/>
        </w:rPr>
        <w:t>2.2 Aménagements /installations</w:t>
      </w:r>
    </w:p>
    <w:p>
      <w:pPr>
        <w:pStyle w:val="Normal"/>
        <w:rPr/>
      </w:pPr>
      <w:r>
        <w:rPr/>
        <w:t> </w:t>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999"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520"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Préparation et aménagement de la parcelle</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99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30 000</w:t>
            </w:r>
          </w:p>
        </w:tc>
        <w:tc>
          <w:tcPr>
            <w:tcW w:w="1520"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30 000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Pompe de surface et accessoires</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99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400 000</w:t>
            </w:r>
          </w:p>
        </w:tc>
        <w:tc>
          <w:tcPr>
            <w:tcW w:w="1520"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400 000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Réservoir d’eau</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300 000</w:t>
            </w:r>
          </w:p>
        </w:tc>
        <w:tc>
          <w:tcPr>
            <w:tcW w:w="1520"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300 000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Plastique pour le paillage (m²)</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150</w:t>
            </w:r>
          </w:p>
        </w:tc>
        <w:tc>
          <w:tcPr>
            <w:tcW w:w="999"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2 000</w:t>
            </w:r>
          </w:p>
        </w:tc>
        <w:tc>
          <w:tcPr>
            <w:tcW w:w="1520"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300 000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Tuyaux polyéthylène D50</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80 000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80 000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Bouchon D50</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2</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Coude D50</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4</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Injecteur d’engrais</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25 000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Vanne et joint de départ</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100</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Filtre et accessoires</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Tuyaux à pression D63</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5</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12 000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60 000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Gaine goutte-à-goutte</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2</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100 000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200 000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99"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520"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1 495 000</w:t>
            </w:r>
          </w:p>
        </w:tc>
      </w:tr>
    </w:tbl>
    <w:p>
      <w:pPr>
        <w:pStyle w:val="Heading3"/>
        <w:numPr>
          <w:ilvl w:val="1"/>
          <w:numId w:val="9"/>
        </w:numPr>
        <w:ind w:hanging="360" w:left="1211" w:right="0"/>
        <w:rPr>
          <w:rFonts w:ascii="Times New Roman" w:hAnsi="Times New Roman" w:cs="Times New Roman"/>
          <w:sz w:val="24"/>
          <w:szCs w:val="24"/>
        </w:rPr>
      </w:pPr>
      <w:bookmarkStart w:id="11" w:name="__RefHeading___Toc234831710"/>
      <w:bookmarkEnd w:id="11"/>
      <w:r>
        <w:rPr>
          <w:rFonts w:cs="Times New Roman" w:ascii="Times New Roman" w:hAnsi="Times New Roman"/>
          <w:sz w:val="24"/>
          <w:szCs w:val="24"/>
        </w:rPr>
        <w:t>Equipements de production :</w:t>
      </w:r>
    </w:p>
    <w:p>
      <w:pPr>
        <w:pStyle w:val="Normal"/>
        <w:rPr>
          <w:sz w:val="22"/>
          <w:szCs w:val="22"/>
        </w:rPr>
      </w:pPr>
      <w:r>
        <w:rPr>
          <w:sz w:val="22"/>
          <w:szCs w:val="22"/>
        </w:rPr>
        <w:t>Les équipements de production sont consignés dans le tableau ci-dessous :</w:t>
      </w:r>
    </w:p>
    <w:p>
      <w:pPr>
        <w:pStyle w:val="Normal"/>
        <w:rPr>
          <w:b/>
          <w:bCs/>
          <w:sz w:val="22"/>
          <w:szCs w:val="22"/>
          <w:lang w:eastAsia="fr-CA"/>
        </w:rPr>
      </w:pPr>
      <w:r>
        <w:rPr>
          <w:b/>
          <w:bCs/>
          <w:sz w:val="22"/>
          <w:szCs w:val="22"/>
          <w:lang w:eastAsia="fr-CA"/>
        </w:rPr>
        <w:t xml:space="preserve"> </w:t>
      </w:r>
      <w:r>
        <w:rPr>
          <w:b/>
          <w:bCs/>
          <w:sz w:val="22"/>
          <w:szCs w:val="22"/>
          <w:lang w:eastAsia="fr-CA"/>
        </w:rPr>
        <w:t>Equipements de production</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Brouette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60 000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Arrosoirs</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9 000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jc w:val="both"/>
              <w:rPr>
                <w:color w:val="000000"/>
                <w:sz w:val="22"/>
                <w:szCs w:val="22"/>
              </w:rPr>
            </w:pPr>
            <w:r>
              <w:rPr>
                <w:color w:val="000000"/>
                <w:sz w:val="22"/>
                <w:szCs w:val="22"/>
              </w:rPr>
              <w:t>Houes / daba / pelles (1 lot)</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25 000</w:t>
            </w:r>
          </w:p>
        </w:tc>
      </w:tr>
      <w:tr>
        <w:trPr>
          <w:trHeight w:val="25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Caisses de récolte</w:t>
            </w:r>
          </w:p>
        </w:tc>
        <w:tc>
          <w:tcPr>
            <w:tcW w:w="100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10</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30 000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Balance</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30 000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Pulvérisateur</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Séchoirs avec grilles artisanaux</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214 000</w:t>
            </w:r>
          </w:p>
        </w:tc>
      </w:tr>
    </w:tbl>
    <w:p>
      <w:pPr>
        <w:pStyle w:val="Normal"/>
        <w:rPr>
          <w:b/>
          <w:bCs/>
          <w:sz w:val="22"/>
          <w:szCs w:val="22"/>
          <w:lang w:eastAsia="fr-CA"/>
        </w:rPr>
      </w:pPr>
      <w:r>
        <w:rPr>
          <w:b/>
          <w:bCs/>
          <w:sz w:val="22"/>
          <w:szCs w:val="22"/>
          <w:lang w:eastAsia="fr-CA"/>
        </w:rPr>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55" w:hRule="atLeast"/>
        </w:trPr>
        <w:tc>
          <w:tcPr>
            <w:tcW w:w="3899" w:type="dxa"/>
            <w:tcBorders/>
            <w:shd w:fill="FFFFFF" w:val="clear"/>
            <w:vAlign w:val="bottom"/>
          </w:tcPr>
          <w:p>
            <w:pPr>
              <w:pStyle w:val="Normal"/>
              <w:snapToGrid w:val="false"/>
              <w:rPr>
                <w:rFonts w:ascii="Cambria" w:hAnsi="Cambria" w:cs="Calibri"/>
                <w:b/>
                <w:bCs/>
                <w:sz w:val="20"/>
                <w:szCs w:val="20"/>
              </w:rPr>
            </w:pPr>
            <w:r>
              <w:rPr>
                <w:rFonts w:cs="Calibri" w:ascii="Cambria" w:hAnsi="Cambria"/>
                <w:b/>
                <w:bCs/>
                <w:sz w:val="20"/>
                <w:szCs w:val="20"/>
              </w:rPr>
            </w:r>
          </w:p>
        </w:tc>
        <w:tc>
          <w:tcPr>
            <w:tcW w:w="1001" w:type="dxa"/>
            <w:tcBorders/>
            <w:shd w:fill="FFFFFF" w:val="clear"/>
            <w:vAlign w:val="bottom"/>
          </w:tcPr>
          <w:p>
            <w:pPr>
              <w:pStyle w:val="Normal"/>
              <w:rPr>
                <w:rFonts w:ascii="Cambria" w:hAnsi="Cambria" w:cs="Calibri"/>
                <w:sz w:val="20"/>
                <w:szCs w:val="20"/>
              </w:rPr>
            </w:pPr>
            <w:r>
              <w:rPr/>
            </w:r>
          </w:p>
        </w:tc>
        <w:tc>
          <w:tcPr>
            <w:tcW w:w="999" w:type="dxa"/>
            <w:tcBorders/>
            <w:shd w:fill="FFFFFF" w:val="clear"/>
            <w:vAlign w:val="bottom"/>
          </w:tcPr>
          <w:p>
            <w:pPr>
              <w:pStyle w:val="Normal"/>
              <w:rPr>
                <w:rFonts w:ascii="Cambria" w:hAnsi="Cambria" w:cs="Calibri"/>
                <w:sz w:val="20"/>
                <w:szCs w:val="20"/>
              </w:rPr>
            </w:pPr>
            <w:r>
              <w:rPr/>
            </w:r>
          </w:p>
        </w:tc>
        <w:tc>
          <w:tcPr>
            <w:tcW w:w="1520" w:type="dxa"/>
            <w:tcBorders/>
            <w:shd w:fill="FFFFFF" w:val="clear"/>
            <w:vAlign w:val="bottom"/>
          </w:tcPr>
          <w:p>
            <w:pPr>
              <w:pStyle w:val="Normal"/>
              <w:rPr>
                <w:rFonts w:ascii="Cambria" w:hAnsi="Cambria" w:cs="Calibri"/>
                <w:sz w:val="20"/>
                <w:szCs w:val="20"/>
              </w:rPr>
            </w:pPr>
            <w:r>
              <w:rPr/>
            </w:r>
          </w:p>
        </w:tc>
      </w:tr>
    </w:tbl>
    <w:p>
      <w:pPr>
        <w:pStyle w:val="Heading2"/>
        <w:keepLines/>
        <w:numPr>
          <w:ilvl w:val="0"/>
          <w:numId w:val="12"/>
        </w:numPr>
        <w:spacing w:before="120" w:after="120"/>
        <w:ind w:hanging="360" w:left="720" w:right="0"/>
        <w:jc w:val="both"/>
        <w:rPr>
          <w:rFonts w:ascii="Times New Roman" w:hAnsi="Times New Roman" w:cs="Times New Roman"/>
          <w:b w:val="false"/>
          <w:bCs w:val="false"/>
          <w:i w:val="false"/>
          <w:i w:val="false"/>
          <w:sz w:val="22"/>
          <w:szCs w:val="22"/>
          <w:lang w:val="fr-CI"/>
        </w:rPr>
      </w:pPr>
      <w:bookmarkStart w:id="12" w:name="__RefHeading___Toc234831711"/>
      <w:bookmarkEnd w:id="12"/>
      <w:r>
        <w:rPr>
          <w:rFonts w:cs="Times New Roman" w:ascii="Times New Roman" w:hAnsi="Times New Roman"/>
          <w:i w:val="false"/>
          <w:iCs w:val="false"/>
          <w:sz w:val="22"/>
          <w:szCs w:val="22"/>
          <w:lang w:val="fr-CI"/>
        </w:rPr>
        <w:t xml:space="preserve">Le processus de production : </w:t>
      </w:r>
      <w:r>
        <w:rPr>
          <w:rFonts w:cs="Times New Roman" w:ascii="Times New Roman" w:hAnsi="Times New Roman"/>
          <w:b w:val="false"/>
          <w:bCs w:val="false"/>
          <w:i w:val="false"/>
          <w:sz w:val="22"/>
          <w:szCs w:val="22"/>
          <w:lang w:val="fr-CI"/>
        </w:rPr>
        <w:t>(définir le process et la capacité de production de l’entreprise)</w:t>
      </w:r>
    </w:p>
    <w:p>
      <w:pPr>
        <w:pStyle w:val="Normal"/>
        <w:numPr>
          <w:ilvl w:val="0"/>
          <w:numId w:val="2"/>
        </w:numPr>
        <w:tabs>
          <w:tab w:val="clear" w:pos="708"/>
        </w:tabs>
        <w:ind w:hanging="0" w:left="0" w:right="0"/>
        <w:rPr/>
      </w:pPr>
      <w:r>
        <w:rPr/>
        <w:t>Préparation du sol → Semis en pépinière → Repiquage → Irrigation → Fertilisation → Entretien → Floraison → Récolte → Tri → Séchage → Conditionnement.</w:t>
      </w:r>
    </w:p>
    <w:p>
      <w:pPr>
        <w:pStyle w:val="Normal"/>
        <w:rPr/>
      </w:pPr>
      <w:r>
        <w:rPr/>
        <w:t>Le processus de production au niveau de la parcelle maraîchère PIMENT DÉLICE comprend :</w:t>
      </w:r>
    </w:p>
    <w:p>
      <w:pPr>
        <w:pStyle w:val="Normal"/>
        <w:numPr>
          <w:ilvl w:val="0"/>
          <w:numId w:val="2"/>
        </w:numPr>
        <w:tabs>
          <w:tab w:val="clear" w:pos="708"/>
        </w:tabs>
        <w:ind w:hanging="0" w:left="0" w:right="0"/>
        <w:rPr/>
      </w:pPr>
      <w:r>
        <w:rPr>
          <w:b/>
          <w:bCs/>
        </w:rPr>
        <w:t>Préparation et amélioration du sol</w:t>
      </w:r>
      <w:r>
        <w:rPr/>
        <w:br/>
        <w:t>Le sol est enrichi principalement par des apports organiques, notamment du compost et du fumier bien décomposé, afin d’améliorer la fertilité avec l’appui modéré d’engrais minéraux.</w:t>
      </w:r>
    </w:p>
    <w:p>
      <w:pPr>
        <w:pStyle w:val="Normal"/>
        <w:numPr>
          <w:ilvl w:val="0"/>
          <w:numId w:val="2"/>
        </w:numPr>
        <w:tabs>
          <w:tab w:val="clear" w:pos="708"/>
        </w:tabs>
        <w:ind w:hanging="0" w:left="0" w:right="0"/>
        <w:rPr/>
      </w:pPr>
      <w:r>
        <w:rPr>
          <w:b/>
          <w:bCs/>
        </w:rPr>
        <w:t>Gestion durable de l’eau</w:t>
      </w:r>
      <w:r>
        <w:rPr/>
        <w:br/>
        <w:t>L’entreprise utilisera un forage équipé d’une pompe solaire et d’un système d’irrigation goutte-à-goutte pour assurer un approvisionnement constant en eau. Ces techniques permettront de réduire la consommation d’eau tout en augmentant les rendements.</w:t>
      </w:r>
    </w:p>
    <w:p>
      <w:pPr>
        <w:pStyle w:val="Normal"/>
        <w:numPr>
          <w:ilvl w:val="0"/>
          <w:numId w:val="2"/>
        </w:numPr>
        <w:tabs>
          <w:tab w:val="clear" w:pos="708"/>
        </w:tabs>
        <w:ind w:hanging="0" w:left="0" w:right="0"/>
        <w:rPr/>
      </w:pPr>
      <w:r>
        <w:rPr>
          <w:b/>
          <w:bCs/>
        </w:rPr>
        <w:t>Semis et repiquage</w:t>
      </w:r>
      <w:r>
        <w:rPr/>
        <w:br/>
        <w:t>Les semences de piment de variété adaptée (Avenir F1) sont semées en pépinière, puis repiquées sur la parcelle après préparation du sol.</w:t>
      </w:r>
    </w:p>
    <w:p>
      <w:pPr>
        <w:pStyle w:val="Normal"/>
        <w:numPr>
          <w:ilvl w:val="0"/>
          <w:numId w:val="2"/>
        </w:numPr>
        <w:tabs>
          <w:tab w:val="clear" w:pos="708"/>
        </w:tabs>
        <w:ind w:hanging="0" w:left="0" w:right="0"/>
        <w:rPr/>
      </w:pPr>
      <w:r>
        <w:rPr>
          <w:b/>
          <w:bCs/>
        </w:rPr>
        <w:t>Suivi et optimisation des intrants</w:t>
      </w:r>
      <w:r>
        <w:rPr/>
        <w:br/>
        <w:t>L’utilisation d’outils pour mieux doser les apports en eau et en nutriments en fonction des besoins réels des cultures, optimisant ainsi la production tout en limitant les pertes.</w:t>
      </w:r>
    </w:p>
    <w:p>
      <w:pPr>
        <w:pStyle w:val="Normal"/>
        <w:numPr>
          <w:ilvl w:val="0"/>
          <w:numId w:val="2"/>
        </w:numPr>
        <w:tabs>
          <w:tab w:val="clear" w:pos="708"/>
        </w:tabs>
        <w:ind w:hanging="0" w:left="0" w:right="0"/>
        <w:rPr/>
      </w:pPr>
      <w:r>
        <w:rPr>
          <w:b/>
          <w:bCs/>
        </w:rPr>
        <w:t>Récolte, tri et séchage</w:t>
      </w:r>
      <w:r>
        <w:rPr/>
        <w:br/>
        <w:t>La récolte est effectuée au moment optimal pour garantir la qualité et la fraîcheur du piment. Le tri permet de séparer les fruits sains des fruits abîmés. Une partie de la récolte est commercialisée à l’état frais, l’autre partie est séchée sur des claies artisanales afin de prolonger sa conservation.</w:t>
      </w:r>
    </w:p>
    <w:p>
      <w:pPr>
        <w:pStyle w:val="Normal"/>
        <w:numPr>
          <w:ilvl w:val="0"/>
          <w:numId w:val="2"/>
        </w:numPr>
        <w:tabs>
          <w:tab w:val="clear" w:pos="708"/>
        </w:tabs>
        <w:ind w:hanging="0" w:left="0" w:right="0"/>
        <w:rPr/>
      </w:pPr>
      <w:r>
        <w:rPr>
          <w:b/>
          <w:bCs/>
        </w:rPr>
        <w:t>Commercialisation</w:t>
      </w:r>
      <w:r>
        <w:rPr/>
        <w:br/>
        <w:t>Le piment frais et le piment séché sont conditionnés puis livrés aux ménages, restaurants, revendeurs et grossistes de Bamako et environs.</w:t>
      </w:r>
    </w:p>
    <w:tbl>
      <w:tblPr>
        <w:tblW w:w="7867" w:type="dxa"/>
        <w:jc w:val="left"/>
        <w:tblInd w:w="0" w:type="dxa"/>
        <w:tblLayout w:type="fixed"/>
        <w:tblCellMar>
          <w:top w:w="0" w:type="dxa"/>
          <w:left w:w="70" w:type="dxa"/>
          <w:bottom w:w="0" w:type="dxa"/>
          <w:right w:w="70" w:type="dxa"/>
        </w:tblCellMar>
      </w:tblPr>
      <w:tblGrid>
        <w:gridCol w:w="2054"/>
        <w:gridCol w:w="704"/>
        <w:gridCol w:w="947"/>
        <w:gridCol w:w="946"/>
        <w:gridCol w:w="1006"/>
        <w:gridCol w:w="1033"/>
        <w:gridCol w:w="1176"/>
      </w:tblGrid>
      <w:tr>
        <w:trPr>
          <w:trHeight w:val="397" w:hRule="atLeast"/>
        </w:trPr>
        <w:tc>
          <w:tcPr>
            <w:tcW w:w="2054" w:type="dxa"/>
            <w:tcBorders>
              <w:top w:val="single" w:sz="4" w:space="0" w:color="000000"/>
              <w:left w:val="single" w:sz="4" w:space="0" w:color="000000"/>
              <w:bottom w:val="single" w:sz="4" w:space="0" w:color="000000"/>
              <w:right w:val="single" w:sz="4" w:space="0" w:color="000000"/>
            </w:tcBorders>
          </w:tcPr>
          <w:p>
            <w:pPr>
              <w:pStyle w:val="Normal"/>
              <w:rPr>
                <w:b/>
                <w:bCs/>
                <w:sz w:val="22"/>
                <w:szCs w:val="22"/>
                <w:lang w:eastAsia="fr-CA"/>
              </w:rPr>
            </w:pPr>
            <w:r>
              <w:rPr>
                <w:b/>
                <w:bCs/>
                <w:sz w:val="22"/>
                <w:szCs w:val="22"/>
                <w:lang w:eastAsia="fr-CA"/>
              </w:rPr>
              <w:t>Désignation</w:t>
            </w:r>
          </w:p>
        </w:tc>
        <w:tc>
          <w:tcPr>
            <w:tcW w:w="704" w:type="dxa"/>
            <w:tcBorders>
              <w:top w:val="single" w:sz="4" w:space="0" w:color="000000"/>
              <w:bottom w:val="single" w:sz="4" w:space="0" w:color="000000"/>
              <w:right w:val="single" w:sz="4" w:space="0" w:color="000000"/>
            </w:tcBorders>
          </w:tcPr>
          <w:p>
            <w:pPr>
              <w:pStyle w:val="Normal"/>
              <w:jc w:val="center"/>
              <w:rPr>
                <w:b/>
                <w:bCs/>
                <w:sz w:val="22"/>
                <w:szCs w:val="22"/>
                <w:lang w:eastAsia="fr-CA"/>
              </w:rPr>
            </w:pPr>
            <w:r>
              <w:rPr>
                <w:b/>
                <w:bCs/>
                <w:sz w:val="22"/>
                <w:szCs w:val="22"/>
                <w:lang w:eastAsia="fr-CA"/>
              </w:rPr>
              <w:t>Unité</w:t>
            </w:r>
          </w:p>
        </w:tc>
        <w:tc>
          <w:tcPr>
            <w:tcW w:w="947" w:type="dxa"/>
            <w:tcBorders>
              <w:top w:val="single" w:sz="4" w:space="0" w:color="000000"/>
              <w:bottom w:val="single" w:sz="4" w:space="0" w:color="000000"/>
              <w:right w:val="single" w:sz="4" w:space="0" w:color="000000"/>
            </w:tcBorders>
          </w:tcPr>
          <w:p>
            <w:pPr>
              <w:pStyle w:val="Normal"/>
              <w:jc w:val="center"/>
              <w:rPr>
                <w:b/>
                <w:bCs/>
                <w:sz w:val="22"/>
                <w:szCs w:val="22"/>
                <w:lang w:eastAsia="fr-CA"/>
              </w:rPr>
            </w:pPr>
            <w:r>
              <w:rPr>
                <w:b/>
                <w:bCs/>
                <w:sz w:val="22"/>
                <w:szCs w:val="22"/>
                <w:lang w:eastAsia="fr-CA"/>
              </w:rPr>
              <w:t>Qté/jour</w:t>
            </w:r>
          </w:p>
        </w:tc>
        <w:tc>
          <w:tcPr>
            <w:tcW w:w="946" w:type="dxa"/>
            <w:tcBorders>
              <w:top w:val="single" w:sz="4" w:space="0" w:color="000000"/>
              <w:bottom w:val="single" w:sz="4" w:space="0" w:color="000000"/>
              <w:right w:val="single" w:sz="4" w:space="0" w:color="000000"/>
            </w:tcBorders>
          </w:tcPr>
          <w:p>
            <w:pPr>
              <w:pStyle w:val="Normal"/>
              <w:jc w:val="center"/>
              <w:rPr>
                <w:b/>
                <w:bCs/>
                <w:sz w:val="22"/>
                <w:szCs w:val="22"/>
                <w:lang w:eastAsia="fr-CA"/>
              </w:rPr>
            </w:pPr>
            <w:r>
              <w:rPr>
                <w:b/>
                <w:bCs/>
                <w:sz w:val="22"/>
                <w:szCs w:val="22"/>
                <w:lang w:eastAsia="fr-CA"/>
              </w:rPr>
              <w:t>Qté/Sme</w:t>
            </w:r>
          </w:p>
        </w:tc>
        <w:tc>
          <w:tcPr>
            <w:tcW w:w="1006" w:type="dxa"/>
            <w:tcBorders>
              <w:top w:val="single" w:sz="4" w:space="0" w:color="000000"/>
              <w:bottom w:val="single" w:sz="4" w:space="0" w:color="000000"/>
              <w:right w:val="single" w:sz="4" w:space="0" w:color="000000"/>
            </w:tcBorders>
          </w:tcPr>
          <w:p>
            <w:pPr>
              <w:pStyle w:val="Normal"/>
              <w:jc w:val="center"/>
              <w:rPr>
                <w:b/>
                <w:bCs/>
                <w:sz w:val="22"/>
                <w:szCs w:val="22"/>
                <w:lang w:eastAsia="fr-CA"/>
              </w:rPr>
            </w:pPr>
            <w:r>
              <w:rPr>
                <w:b/>
                <w:bCs/>
                <w:sz w:val="22"/>
                <w:szCs w:val="22"/>
                <w:lang w:eastAsia="fr-CA"/>
              </w:rPr>
              <w:t>Qté/mois</w:t>
            </w:r>
          </w:p>
        </w:tc>
        <w:tc>
          <w:tcPr>
            <w:tcW w:w="1033" w:type="dxa"/>
            <w:tcBorders>
              <w:top w:val="single" w:sz="4" w:space="0" w:color="000000"/>
              <w:bottom w:val="single" w:sz="4" w:space="0" w:color="000000"/>
              <w:right w:val="single" w:sz="4" w:space="0" w:color="000000"/>
            </w:tcBorders>
          </w:tcPr>
          <w:p>
            <w:pPr>
              <w:pStyle w:val="Normal"/>
              <w:jc w:val="center"/>
              <w:rPr>
                <w:b/>
                <w:bCs/>
                <w:sz w:val="22"/>
                <w:szCs w:val="22"/>
                <w:lang w:eastAsia="fr-CA"/>
              </w:rPr>
            </w:pPr>
            <w:r>
              <w:rPr>
                <w:b/>
                <w:bCs/>
                <w:sz w:val="22"/>
                <w:szCs w:val="22"/>
                <w:lang w:eastAsia="fr-CA"/>
              </w:rPr>
              <w:t>Qté/Trim</w:t>
            </w:r>
          </w:p>
        </w:tc>
        <w:tc>
          <w:tcPr>
            <w:tcW w:w="1176" w:type="dxa"/>
            <w:tcBorders>
              <w:top w:val="single" w:sz="4" w:space="0" w:color="000000"/>
              <w:bottom w:val="single" w:sz="4" w:space="0" w:color="000000"/>
              <w:right w:val="single" w:sz="4" w:space="0" w:color="000000"/>
            </w:tcBorders>
          </w:tcPr>
          <w:p>
            <w:pPr>
              <w:pStyle w:val="Normal"/>
              <w:jc w:val="center"/>
              <w:rPr>
                <w:b/>
                <w:bCs/>
                <w:sz w:val="22"/>
                <w:szCs w:val="22"/>
                <w:lang w:eastAsia="fr-CA"/>
              </w:rPr>
            </w:pPr>
            <w:r>
              <w:rPr>
                <w:b/>
                <w:bCs/>
                <w:sz w:val="22"/>
                <w:szCs w:val="22"/>
                <w:lang w:eastAsia="fr-CA"/>
              </w:rPr>
              <w:t>Qté/an</w:t>
            </w:r>
          </w:p>
        </w:tc>
      </w:tr>
      <w:tr>
        <w:trPr>
          <w:trHeight w:val="340" w:hRule="atLeast"/>
        </w:trPr>
        <w:tc>
          <w:tcPr>
            <w:tcW w:w="2054" w:type="dxa"/>
            <w:tcBorders>
              <w:left w:val="single" w:sz="4" w:space="0" w:color="000000"/>
              <w:bottom w:val="single" w:sz="4" w:space="0" w:color="000000"/>
              <w:right w:val="single" w:sz="4" w:space="0" w:color="000000"/>
            </w:tcBorders>
          </w:tcPr>
          <w:p>
            <w:pPr>
              <w:pStyle w:val="Normal"/>
              <w:rPr>
                <w:sz w:val="22"/>
                <w:szCs w:val="22"/>
                <w:lang w:eastAsia="fr-CA"/>
              </w:rPr>
            </w:pPr>
            <w:r>
              <w:rPr>
                <w:sz w:val="22"/>
                <w:szCs w:val="22"/>
                <w:lang w:eastAsia="fr-CA"/>
              </w:rPr>
              <w:t>Vente Piment frais</w:t>
            </w:r>
          </w:p>
        </w:tc>
        <w:tc>
          <w:tcPr>
            <w:tcW w:w="704"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Kg</w:t>
            </w:r>
          </w:p>
        </w:tc>
        <w:tc>
          <w:tcPr>
            <w:tcW w:w="947"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0</w:t>
            </w:r>
          </w:p>
        </w:tc>
        <w:tc>
          <w:tcPr>
            <w:tcW w:w="946"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0</w:t>
            </w:r>
          </w:p>
        </w:tc>
        <w:tc>
          <w:tcPr>
            <w:tcW w:w="1006"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0</w:t>
            </w:r>
          </w:p>
        </w:tc>
        <w:tc>
          <w:tcPr>
            <w:tcW w:w="1033"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1 600</w:t>
            </w:r>
          </w:p>
        </w:tc>
        <w:tc>
          <w:tcPr>
            <w:tcW w:w="1176" w:type="dxa"/>
            <w:tcBorders>
              <w:bottom w:val="single" w:sz="4" w:space="0" w:color="000000"/>
              <w:right w:val="single" w:sz="4" w:space="0" w:color="000000"/>
            </w:tcBorders>
            <w:shd w:fill="F2F2F2" w:val="clear"/>
          </w:tcPr>
          <w:p>
            <w:pPr>
              <w:pStyle w:val="Normal"/>
              <w:jc w:val="center"/>
              <w:rPr>
                <w:color w:val="000000"/>
                <w:sz w:val="22"/>
                <w:szCs w:val="22"/>
                <w:lang w:eastAsia="fr-CA"/>
              </w:rPr>
            </w:pPr>
            <w:r>
              <w:rPr>
                <w:color w:val="000000"/>
                <w:sz w:val="22"/>
                <w:szCs w:val="22"/>
                <w:lang w:eastAsia="fr-CA"/>
              </w:rPr>
              <w:t>6 400</w:t>
            </w:r>
          </w:p>
        </w:tc>
      </w:tr>
      <w:tr>
        <w:trPr>
          <w:trHeight w:val="340" w:hRule="atLeast"/>
        </w:trPr>
        <w:tc>
          <w:tcPr>
            <w:tcW w:w="2054" w:type="dxa"/>
            <w:tcBorders>
              <w:left w:val="single" w:sz="4" w:space="0" w:color="000000"/>
              <w:bottom w:val="single" w:sz="4" w:space="0" w:color="000000"/>
              <w:right w:val="single" w:sz="4" w:space="0" w:color="000000"/>
            </w:tcBorders>
          </w:tcPr>
          <w:p>
            <w:pPr>
              <w:pStyle w:val="Normal"/>
              <w:rPr>
                <w:sz w:val="22"/>
                <w:szCs w:val="22"/>
                <w:lang w:eastAsia="fr-CA"/>
              </w:rPr>
            </w:pPr>
            <w:r>
              <w:rPr>
                <w:sz w:val="22"/>
                <w:szCs w:val="22"/>
                <w:lang w:eastAsia="fr-CA"/>
              </w:rPr>
              <w:t>Vente Piment séché</w:t>
            </w:r>
          </w:p>
        </w:tc>
        <w:tc>
          <w:tcPr>
            <w:tcW w:w="704"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Kg</w:t>
            </w:r>
          </w:p>
        </w:tc>
        <w:tc>
          <w:tcPr>
            <w:tcW w:w="947"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0</w:t>
            </w:r>
          </w:p>
        </w:tc>
        <w:tc>
          <w:tcPr>
            <w:tcW w:w="946"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0</w:t>
            </w:r>
          </w:p>
        </w:tc>
        <w:tc>
          <w:tcPr>
            <w:tcW w:w="1006"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0</w:t>
            </w:r>
          </w:p>
        </w:tc>
        <w:tc>
          <w:tcPr>
            <w:tcW w:w="1033" w:type="dxa"/>
            <w:tcBorders>
              <w:bottom w:val="single" w:sz="4" w:space="0" w:color="000000"/>
              <w:right w:val="single" w:sz="4" w:space="0" w:color="000000"/>
            </w:tcBorders>
          </w:tcPr>
          <w:p>
            <w:pPr>
              <w:pStyle w:val="Normal"/>
              <w:jc w:val="center"/>
              <w:rPr>
                <w:color w:val="000000"/>
                <w:sz w:val="22"/>
                <w:szCs w:val="22"/>
                <w:lang w:eastAsia="fr-CA"/>
              </w:rPr>
            </w:pPr>
            <w:r>
              <w:rPr>
                <w:color w:val="000000"/>
                <w:sz w:val="22"/>
                <w:szCs w:val="22"/>
                <w:lang w:eastAsia="fr-CA"/>
              </w:rPr>
              <w:t>100</w:t>
            </w:r>
          </w:p>
        </w:tc>
        <w:tc>
          <w:tcPr>
            <w:tcW w:w="1176" w:type="dxa"/>
            <w:tcBorders>
              <w:bottom w:val="single" w:sz="4" w:space="0" w:color="000000"/>
              <w:right w:val="single" w:sz="4" w:space="0" w:color="000000"/>
            </w:tcBorders>
            <w:shd w:fill="F2F2F2" w:val="clear"/>
          </w:tcPr>
          <w:p>
            <w:pPr>
              <w:pStyle w:val="Normal"/>
              <w:jc w:val="center"/>
              <w:rPr>
                <w:color w:val="000000"/>
                <w:sz w:val="22"/>
                <w:szCs w:val="22"/>
                <w:lang w:eastAsia="fr-CA"/>
              </w:rPr>
            </w:pPr>
            <w:r>
              <w:rPr>
                <w:color w:val="000000"/>
                <w:sz w:val="22"/>
                <w:szCs w:val="22"/>
                <w:lang w:eastAsia="fr-CA"/>
              </w:rPr>
              <w:t>400</w:t>
            </w:r>
          </w:p>
        </w:tc>
      </w:tr>
    </w:tbl>
    <w:p>
      <w:pPr>
        <w:pStyle w:val="Heading2"/>
        <w:keepLines/>
        <w:numPr>
          <w:ilvl w:val="0"/>
          <w:numId w:val="12"/>
        </w:numPr>
        <w:spacing w:before="120" w:after="120"/>
        <w:ind w:hanging="360" w:left="720" w:right="0"/>
        <w:jc w:val="both"/>
        <w:rPr>
          <w:rFonts w:ascii="Times New Roman" w:hAnsi="Times New Roman" w:cs="Times New Roman"/>
          <w:sz w:val="24"/>
          <w:szCs w:val="24"/>
          <w:lang w:val="fr-CI"/>
        </w:rPr>
      </w:pPr>
      <w:bookmarkStart w:id="13" w:name="__RefHeading___Toc234831712"/>
      <w:bookmarkEnd w:id="13"/>
      <w:r>
        <w:rPr>
          <w:rFonts w:cs="Times New Roman" w:ascii="Times New Roman" w:hAnsi="Times New Roman"/>
          <w:i w:val="false"/>
          <w:iCs w:val="false"/>
          <w:sz w:val="24"/>
          <w:szCs w:val="24"/>
          <w:lang w:val="fr-CI"/>
        </w:rPr>
        <w:t xml:space="preserve">Le personnel : </w:t>
      </w:r>
      <w:r>
        <w:rPr>
          <w:rFonts w:cs="Times New Roman" w:ascii="Times New Roman" w:hAnsi="Times New Roman"/>
          <w:sz w:val="24"/>
          <w:szCs w:val="24"/>
          <w:lang w:val="fr-CI"/>
        </w:rPr>
        <w:t>(profil et compétences)</w:t>
      </w:r>
    </w:p>
    <w:p>
      <w:pPr>
        <w:pStyle w:val="Normal"/>
        <w:rPr>
          <w:sz w:val="22"/>
          <w:szCs w:val="22"/>
          <w:lang w:val="fr-CI"/>
        </w:rPr>
      </w:pPr>
      <w:r>
        <w:rPr>
          <w:sz w:val="22"/>
          <w:szCs w:val="22"/>
          <w:lang w:val="fr-CI"/>
        </w:rPr>
        <w:t xml:space="preserve">L’entreprise emploie cinq (5) hommes : deux (2) en permanence (le promoteur-gérant et le responsable de production) et trois (3) aides-production saisonniers (3 mois). </w:t>
      </w:r>
    </w:p>
    <w:tbl>
      <w:tblPr>
        <w:tblW w:w="4750" w:type="pct"/>
        <w:jc w:val="center"/>
        <w:tblInd w:w="0" w:type="dxa"/>
        <w:tblLayout w:type="fixed"/>
        <w:tblCellMar>
          <w:top w:w="0" w:type="dxa"/>
          <w:left w:w="70" w:type="dxa"/>
          <w:bottom w:w="0" w:type="dxa"/>
          <w:right w:w="70" w:type="dxa"/>
        </w:tblCellMar>
      </w:tblPr>
      <w:tblGrid>
        <w:gridCol w:w="2549"/>
        <w:gridCol w:w="963"/>
        <w:gridCol w:w="1002"/>
        <w:gridCol w:w="2269"/>
        <w:gridCol w:w="1072"/>
        <w:gridCol w:w="1302"/>
      </w:tblGrid>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Cambria" w:hAnsi="Cambria" w:cs="Arial"/>
                <w:b/>
                <w:bCs/>
                <w:sz w:val="22"/>
                <w:szCs w:val="22"/>
                <w:lang w:val="fr-ML" w:eastAsia="fr-ML"/>
              </w:rPr>
            </w:pPr>
            <w:r>
              <w:rPr>
                <w:rFonts w:cs="Arial" w:ascii="Cambria" w:hAnsi="Cambria"/>
                <w:b/>
                <w:bCs/>
                <w:sz w:val="22"/>
                <w:szCs w:val="22"/>
              </w:rPr>
              <w:t>Noms et Prénoms</w:t>
            </w:r>
          </w:p>
        </w:tc>
        <w:tc>
          <w:tcPr>
            <w:tcW w:w="9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Sexe</w:t>
            </w:r>
          </w:p>
        </w:tc>
        <w:tc>
          <w:tcPr>
            <w:tcW w:w="10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Nombre</w:t>
            </w:r>
          </w:p>
        </w:tc>
        <w:tc>
          <w:tcPr>
            <w:tcW w:w="22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Poste</w:t>
            </w:r>
          </w:p>
        </w:tc>
        <w:tc>
          <w:tcPr>
            <w:tcW w:w="107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Salaire mensuel</w:t>
            </w:r>
          </w:p>
        </w:tc>
        <w:tc>
          <w:tcPr>
            <w:tcW w:w="13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Montant annuel</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Lamine FOFANA</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Gérant (promoteur)</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25 000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300 000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Ouvrier permanent</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Responsable production</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25 000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300 000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Ouvriers saisonniers</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3</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Aide-production (3 mois)</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25 000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225 000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both"/>
              <w:rPr>
                <w:rFonts w:ascii="Cambria" w:hAnsi="Cambria" w:cs="Arial"/>
                <w:b/>
                <w:bCs/>
                <w:sz w:val="22"/>
                <w:szCs w:val="22"/>
              </w:rPr>
            </w:pPr>
            <w:r>
              <w:rPr>
                <w:rFonts w:cs="Arial" w:ascii="Cambria" w:hAnsi="Cambria"/>
                <w:b/>
                <w:bCs/>
                <w:sz w:val="22"/>
                <w:szCs w:val="22"/>
              </w:rPr>
              <w:t>Total</w:t>
            </w:r>
          </w:p>
        </w:tc>
        <w:tc>
          <w:tcPr>
            <w:tcW w:w="963"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
          </w:p>
        </w:tc>
        <w:tc>
          <w:tcPr>
            <w:tcW w:w="10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5</w:t>
            </w:r>
          </w:p>
        </w:tc>
        <w:tc>
          <w:tcPr>
            <w:tcW w:w="2269" w:type="dxa"/>
            <w:tcBorders>
              <w:top w:val="single" w:sz="4" w:space="0" w:color="000000"/>
              <w:left w:val="single" w:sz="4" w:space="0" w:color="000000"/>
              <w:bottom w:val="single" w:sz="4" w:space="0" w:color="000000"/>
              <w:right w:val="single" w:sz="4" w:space="0" w:color="000000"/>
            </w:tcBorders>
            <w:shd w:fill="C4BD97" w:val="clear"/>
          </w:tcPr>
          <w:p>
            <w:pPr>
              <w:pStyle w:val="Normal"/>
              <w:snapToGrid w:val="false"/>
              <w:jc w:val="center"/>
              <w:rPr>
                <w:rFonts w:ascii="Cambria" w:hAnsi="Cambria" w:cs="Arial"/>
                <w:b/>
                <w:bCs/>
                <w:sz w:val="22"/>
                <w:szCs w:val="22"/>
              </w:rPr>
            </w:pPr>
            <w:r>
              <w:rPr>
                <w:rFonts w:cs="Arial" w:ascii="Cambria" w:hAnsi="Cambria"/>
                <w:b/>
                <w:bCs/>
                <w:sz w:val="22"/>
                <w:szCs w:val="22"/>
              </w:rPr>
            </w:r>
          </w:p>
        </w:tc>
        <w:tc>
          <w:tcPr>
            <w:tcW w:w="107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75 000</w:t>
            </w:r>
          </w:p>
        </w:tc>
        <w:tc>
          <w:tcPr>
            <w:tcW w:w="13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825 000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both"/>
              <w:rPr>
                <w:rFonts w:ascii="Cambria" w:hAnsi="Cambria" w:cs="Arial"/>
                <w:b/>
                <w:bCs/>
                <w:i/>
                <w:i/>
                <w:iCs/>
                <w:sz w:val="22"/>
                <w:szCs w:val="22"/>
              </w:rPr>
            </w:pPr>
            <w:r>
              <w:rPr>
                <w:rFonts w:cs="Arial" w:ascii="Cambria" w:hAnsi="Cambria"/>
                <w:b/>
                <w:bCs/>
                <w:i/>
                <w:iCs/>
                <w:sz w:val="22"/>
                <w:szCs w:val="22"/>
              </w:rPr>
              <w:t>Frais du personnel</w:t>
            </w:r>
          </w:p>
        </w:tc>
        <w:tc>
          <w:tcPr>
            <w:tcW w:w="963"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2269" w:type="dxa"/>
            <w:tcBorders>
              <w:top w:val="single" w:sz="4" w:space="0" w:color="000000"/>
              <w:left w:val="single" w:sz="4" w:space="0" w:color="000000"/>
              <w:bottom w:val="single" w:sz="4" w:space="0" w:color="000000"/>
              <w:right w:val="single" w:sz="4" w:space="0" w:color="000000"/>
            </w:tcBorders>
            <w:shd w:fill="8DB4E2" w:val="clear"/>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7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75 000</w:t>
            </w:r>
          </w:p>
        </w:tc>
        <w:tc>
          <w:tcPr>
            <w:tcW w:w="13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825 000</w:t>
            </w:r>
          </w:p>
        </w:tc>
      </w:tr>
    </w:tbl>
    <w:p>
      <w:pPr>
        <w:pStyle w:val="Heading1"/>
        <w:keepLines/>
        <w:numPr>
          <w:ilvl w:val="0"/>
          <w:numId w:val="3"/>
        </w:numPr>
        <w:spacing w:before="240" w:after="120"/>
        <w:ind w:hanging="431" w:left="431" w:right="0"/>
        <w:jc w:val="both"/>
        <w:rPr>
          <w:rFonts w:ascii="Times New Roman" w:hAnsi="Times New Roman" w:cs="Times New Roman"/>
          <w:caps/>
          <w:color w:val="166B7F"/>
          <w:kern w:val="0"/>
          <w:lang w:eastAsia="en-US"/>
        </w:rPr>
      </w:pPr>
      <w:bookmarkStart w:id="14" w:name="__RefHeading___Toc234831713"/>
      <w:bookmarkEnd w:id="14"/>
      <w:r>
        <w:rPr>
          <w:rFonts w:cs="Times New Roman" w:ascii="Times New Roman" w:hAnsi="Times New Roman"/>
          <w:caps/>
          <w:color w:val="166B7F"/>
          <w:kern w:val="0"/>
          <w:lang w:eastAsia="en-US"/>
        </w:rPr>
        <w:t>ÉTUDE ÉCONOMIQUE ET FINANCIÈRE</w:t>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15" w:name="__RefHeading___Toc234831714"/>
      <w:bookmarkEnd w:id="15"/>
      <w:r>
        <w:rPr>
          <w:rFonts w:cs="Times New Roman" w:ascii="Times New Roman" w:hAnsi="Times New Roman"/>
          <w:i w:val="false"/>
          <w:iCs w:val="false"/>
          <w:lang w:val="fr-CI"/>
        </w:rPr>
        <w:t xml:space="preserve">Hypothèses de base </w:t>
      </w:r>
    </w:p>
    <w:p>
      <w:pPr>
        <w:pStyle w:val="Heading3"/>
        <w:numPr>
          <w:ilvl w:val="2"/>
          <w:numId w:val="3"/>
        </w:numPr>
        <w:ind w:hanging="720" w:left="720" w:right="0"/>
        <w:rPr>
          <w:rFonts w:ascii="Times New Roman" w:hAnsi="Times New Roman" w:cs="Times New Roman"/>
          <w:sz w:val="24"/>
          <w:szCs w:val="24"/>
        </w:rPr>
      </w:pPr>
      <w:bookmarkStart w:id="16" w:name="__RefHeading___Toc234831715"/>
      <w:bookmarkEnd w:id="16"/>
      <w:r>
        <w:rPr>
          <w:rFonts w:cs="Times New Roman" w:ascii="Times New Roman" w:hAnsi="Times New Roman"/>
          <w:sz w:val="24"/>
          <w:szCs w:val="24"/>
        </w:rPr>
        <w:t>Recettes prévisionnelles annuelles</w:t>
      </w:r>
    </w:p>
    <w:p>
      <w:pPr>
        <w:pStyle w:val="Normal"/>
        <w:rPr/>
      </w:pPr>
      <w:r>
        <w:rPr>
          <w:sz w:val="22"/>
          <w:szCs w:val="22"/>
        </w:rPr>
        <w:t>Les recettes prévisionnelles annuelles sont croissantes sur les cinq années. Elles sont décrites</w:t>
      </w:r>
      <w:r>
        <w:rPr/>
        <w:t xml:space="preserve"> dans le tableau ci-dessous :</w:t>
      </w:r>
    </w:p>
    <w:p>
      <w:pPr>
        <w:pStyle w:val="Normal"/>
        <w:rPr/>
      </w:pPr>
      <w:r>
        <w:rPr/>
      </w:r>
    </w:p>
    <w:tbl>
      <w:tblPr>
        <w:tblW w:w="9791" w:type="dxa"/>
        <w:jc w:val="left"/>
        <w:tblInd w:w="60" w:type="dxa"/>
        <w:tblLayout w:type="fixed"/>
        <w:tblCellMar>
          <w:top w:w="0" w:type="dxa"/>
          <w:left w:w="70" w:type="dxa"/>
          <w:bottom w:w="0" w:type="dxa"/>
          <w:right w:w="70" w:type="dxa"/>
        </w:tblCellMar>
      </w:tblPr>
      <w:tblGrid>
        <w:gridCol w:w="3271"/>
        <w:gridCol w:w="1274"/>
        <w:gridCol w:w="1276"/>
        <w:gridCol w:w="1277"/>
        <w:gridCol w:w="1276"/>
        <w:gridCol w:w="1416"/>
      </w:tblGrid>
      <w:tr>
        <w:trPr>
          <w:trHeight w:val="360" w:hRule="atLeast"/>
        </w:trPr>
        <w:tc>
          <w:tcPr>
            <w:tcW w:w="3271"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8"/>
                <w:szCs w:val="28"/>
              </w:rPr>
            </w:pPr>
            <w:r>
              <w:rPr>
                <w:rFonts w:cs="Calibri" w:ascii="Cambria" w:hAnsi="Cambria"/>
                <w:b/>
                <w:bCs/>
                <w:i/>
                <w:iCs/>
                <w:color w:val="FFFFFF"/>
                <w:sz w:val="28"/>
                <w:szCs w:val="28"/>
              </w:rPr>
              <w:t>Recettes prévisionnelles</w:t>
            </w:r>
          </w:p>
        </w:tc>
        <w:tc>
          <w:tcPr>
            <w:tcW w:w="1274"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7"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41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r>
      <w:tr>
        <w:trPr>
          <w:trHeight w:val="285" w:hRule="atLeast"/>
        </w:trPr>
        <w:tc>
          <w:tcPr>
            <w:tcW w:w="3271" w:type="dxa"/>
            <w:tcBorders/>
            <w:vAlign w:val="bottom"/>
          </w:tcPr>
          <w:p>
            <w:pPr>
              <w:pStyle w:val="Normal"/>
              <w:rPr>
                <w:rFonts w:ascii="Cambria" w:hAnsi="Cambria" w:cs="Calibri"/>
                <w:b/>
                <w:bCs/>
                <w:i/>
                <w:i/>
                <w:iCs/>
                <w:sz w:val="20"/>
                <w:szCs w:val="20"/>
              </w:rPr>
            </w:pPr>
            <w:r>
              <w:rPr>
                <w:rFonts w:cs="Calibri" w:ascii="Cambria" w:hAnsi="Cambria"/>
                <w:b/>
                <w:bCs/>
                <w:i/>
                <w:iCs/>
                <w:sz w:val="20"/>
                <w:szCs w:val="20"/>
              </w:rPr>
              <w:t>Taux de croissance</w:t>
            </w:r>
          </w:p>
        </w:tc>
        <w:tc>
          <w:tcPr>
            <w:tcW w:w="1274"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0%</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7"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41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r>
      <w:tr>
        <w:trPr>
          <w:trHeight w:val="315" w:hRule="atLeast"/>
        </w:trPr>
        <w:tc>
          <w:tcPr>
            <w:tcW w:w="3271"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rPr>
            </w:pPr>
            <w:r>
              <w:rPr>
                <w:rFonts w:cs="Calibri" w:ascii="Cambria" w:hAnsi="Cambria"/>
                <w:b/>
                <w:bCs/>
                <w:i/>
                <w:iCs/>
              </w:rPr>
              <w:t>Désignations/Années</w:t>
            </w:r>
          </w:p>
        </w:tc>
        <w:tc>
          <w:tcPr>
            <w:tcW w:w="1274"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AN1</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AN2</w:t>
            </w:r>
          </w:p>
        </w:tc>
        <w:tc>
          <w:tcPr>
            <w:tcW w:w="1277"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AN3</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AN4</w:t>
            </w:r>
          </w:p>
        </w:tc>
        <w:tc>
          <w:tcPr>
            <w:tcW w:w="141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AN5</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piment frais</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6 400 000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6 528 000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6 658 560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6 791 731</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6 927 566</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piment séché</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1 224 000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1 248 480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1 273 450</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1 298 919</w:t>
            </w:r>
          </w:p>
        </w:tc>
      </w:tr>
      <w:tr>
        <w:trPr>
          <w:trHeight w:val="285" w:hRule="atLeast"/>
        </w:trPr>
        <w:tc>
          <w:tcPr>
            <w:tcW w:w="3271"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recettes</w:t>
            </w:r>
          </w:p>
        </w:tc>
        <w:tc>
          <w:tcPr>
            <w:tcW w:w="1274"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7 600 000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7 752 000</w:t>
            </w:r>
          </w:p>
        </w:tc>
        <w:tc>
          <w:tcPr>
            <w:tcW w:w="1277"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7 907 040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8 065 181</w:t>
            </w:r>
          </w:p>
        </w:tc>
        <w:tc>
          <w:tcPr>
            <w:tcW w:w="141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8 226 484</w:t>
            </w:r>
          </w:p>
        </w:tc>
      </w:tr>
    </w:tbl>
    <w:p>
      <w:pPr>
        <w:pStyle w:val="Heading3"/>
        <w:numPr>
          <w:ilvl w:val="2"/>
          <w:numId w:val="3"/>
        </w:numPr>
        <w:spacing w:before="0" w:after="60"/>
        <w:ind w:hanging="720" w:left="720" w:right="0"/>
        <w:rPr>
          <w:rFonts w:ascii="Times New Roman" w:hAnsi="Times New Roman" w:cs="Times New Roman"/>
          <w:sz w:val="24"/>
          <w:szCs w:val="24"/>
        </w:rPr>
      </w:pPr>
      <w:bookmarkStart w:id="17" w:name="__RefHeading___Toc234831716"/>
      <w:bookmarkEnd w:id="17"/>
      <w:r>
        <w:rPr>
          <w:rFonts w:cs="Times New Roman" w:ascii="Times New Roman" w:hAnsi="Times New Roman"/>
          <w:sz w:val="24"/>
          <w:szCs w:val="24"/>
        </w:rPr>
        <w:t xml:space="preserve">Données prévisionnelles sur les achats </w:t>
      </w:r>
    </w:p>
    <w:p>
      <w:pPr>
        <w:pStyle w:val="Heading3"/>
        <w:tabs>
          <w:tab w:val="clear" w:pos="0"/>
        </w:tabs>
        <w:spacing w:before="0" w:after="60"/>
        <w:ind w:hanging="720" w:left="720" w:right="0"/>
        <w:rPr>
          <w:rFonts w:ascii="Times New Roman" w:hAnsi="Times New Roman" w:cs="Times New Roman"/>
          <w:sz w:val="24"/>
          <w:szCs w:val="24"/>
        </w:rPr>
      </w:pPr>
      <w:bookmarkStart w:id="18" w:name="__RefHeading___Toc234831717"/>
      <w:bookmarkEnd w:id="18"/>
      <w:r>
        <w:rPr>
          <w:rFonts w:cs="Times New Roman" w:ascii="Times New Roman" w:hAnsi="Times New Roman"/>
          <w:sz w:val="24"/>
          <w:szCs w:val="24"/>
        </w:rPr>
        <w:t>Achats de matières premières</w:t>
      </w:r>
    </w:p>
    <w:p>
      <w:pPr>
        <w:pStyle w:val="Normal"/>
        <w:jc w:val="both"/>
        <w:rPr>
          <w:iCs/>
          <w:sz w:val="22"/>
          <w:szCs w:val="22"/>
        </w:rPr>
      </w:pPr>
      <w:r>
        <w:rPr>
          <w:iCs/>
          <w:sz w:val="22"/>
          <w:szCs w:val="22"/>
        </w:rPr>
        <w:t>Les achats de matières premières ont été évalués en tenant compte des quantités qui seront utilisées par an. Les projections d’achat sont les suivantes :</w:t>
      </w:r>
    </w:p>
    <w:p>
      <w:pPr>
        <w:pStyle w:val="Normal"/>
        <w:jc w:val="both"/>
        <w:rPr>
          <w:b/>
          <w:bCs/>
          <w:iCs/>
          <w:sz w:val="22"/>
          <w:szCs w:val="22"/>
          <w:lang w:eastAsia="fr-CA"/>
        </w:rPr>
      </w:pPr>
      <w:r>
        <w:rPr>
          <w:b/>
          <w:bCs/>
          <w:iCs/>
          <w:sz w:val="22"/>
          <w:szCs w:val="22"/>
          <w:lang w:eastAsia="fr-CA"/>
        </w:rPr>
        <w:t>ACHAT DE MATIERES PREMIERES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Semence piment Avenir F1</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Boîte</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2</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90 000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180 000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Fumure organique / compost</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Tonne</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4</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15 000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60 000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NPK</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2</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40 000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Urée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2</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40 000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Produits de traitement</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60 000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60 000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500 000</w:t>
            </w:r>
          </w:p>
        </w:tc>
      </w:tr>
    </w:tbl>
    <w:p>
      <w:pPr>
        <w:pStyle w:val="Normal"/>
        <w:jc w:val="both"/>
        <w:rPr>
          <w:b/>
          <w:bCs/>
          <w:iCs/>
          <w:sz w:val="22"/>
          <w:szCs w:val="22"/>
          <w:lang w:eastAsia="fr-CA"/>
        </w:rPr>
      </w:pPr>
      <w:r>
        <w:rPr>
          <w:b/>
          <w:bCs/>
          <w:iCs/>
          <w:sz w:val="22"/>
          <w:szCs w:val="22"/>
          <w:lang w:eastAsia="fr-CA"/>
        </w:rPr>
        <w:t>AUTRES ACHATS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Carburant / énergie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50 000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Emballages (sacs, caisses)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7 500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7 500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Eau d'irrigation</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50 000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107 500</w:t>
            </w:r>
          </w:p>
        </w:tc>
      </w:tr>
    </w:tbl>
    <w:p>
      <w:pPr>
        <w:pStyle w:val="Heading3"/>
        <w:numPr>
          <w:ilvl w:val="2"/>
          <w:numId w:val="3"/>
        </w:numPr>
        <w:ind w:hanging="720" w:left="720" w:right="0"/>
        <w:rPr>
          <w:rFonts w:ascii="Times New Roman" w:hAnsi="Times New Roman" w:cs="Times New Roman"/>
          <w:sz w:val="24"/>
          <w:szCs w:val="24"/>
        </w:rPr>
      </w:pPr>
      <w:bookmarkStart w:id="19" w:name="__RefHeading___Toc234831718"/>
      <w:bookmarkEnd w:id="19"/>
      <w:r>
        <w:rPr>
          <w:rFonts w:cs="Times New Roman" w:ascii="Times New Roman" w:hAnsi="Times New Roman"/>
          <w:sz w:val="24"/>
          <w:szCs w:val="24"/>
        </w:rPr>
        <w:t>Frais Généraux</w:t>
      </w:r>
    </w:p>
    <w:p>
      <w:pPr>
        <w:pStyle w:val="Normal"/>
        <w:rPr>
          <w:sz w:val="22"/>
          <w:szCs w:val="22"/>
        </w:rPr>
      </w:pPr>
      <w:r>
        <w:rPr>
          <w:sz w:val="22"/>
          <w:szCs w:val="22"/>
        </w:rPr>
        <w:t>Les frais généraux de l’entreprise portent sur les éléments qui sont : transports/déplacements, communication/publicité et maintenance. Le montant est évalué à 300 000 F durant toute l’année.</w:t>
      </w:r>
    </w:p>
    <w:p>
      <w:pPr>
        <w:pStyle w:val="Normal"/>
        <w:rPr>
          <w:b/>
          <w:bCs/>
          <w:sz w:val="22"/>
          <w:szCs w:val="22"/>
          <w:lang w:eastAsia="fr-CA"/>
        </w:rPr>
      </w:pPr>
      <w:r>
        <w:rPr>
          <w:b/>
          <w:bCs/>
          <w:sz w:val="22"/>
          <w:szCs w:val="22"/>
          <w:lang w:eastAsia="fr-CA"/>
        </w:rPr>
        <w:t>Frais généraux :</w:t>
      </w:r>
    </w:p>
    <w:tbl>
      <w:tblPr>
        <w:tblW w:w="9828" w:type="dxa"/>
        <w:jc w:val="center"/>
        <w:tblInd w:w="0" w:type="dxa"/>
        <w:tblLayout w:type="fixed"/>
        <w:tblCellMar>
          <w:top w:w="0" w:type="dxa"/>
          <w:left w:w="70" w:type="dxa"/>
          <w:bottom w:w="0" w:type="dxa"/>
          <w:right w:w="70" w:type="dxa"/>
        </w:tblCellMar>
      </w:tblPr>
      <w:tblGrid>
        <w:gridCol w:w="3546"/>
        <w:gridCol w:w="920"/>
        <w:gridCol w:w="1545"/>
        <w:gridCol w:w="1392"/>
        <w:gridCol w:w="1069"/>
        <w:gridCol w:w="1355"/>
      </w:tblGrid>
      <w:tr>
        <w:trPr>
          <w:trHeight w:val="573" w:hRule="atLeast"/>
        </w:trPr>
        <w:tc>
          <w:tcPr>
            <w:tcW w:w="3546" w:type="dxa"/>
            <w:tcBorders>
              <w:top w:val="single" w:sz="8" w:space="0" w:color="000000"/>
              <w:left w:val="single" w:sz="8" w:space="0" w:color="000000"/>
              <w:bottom w:val="single" w:sz="8" w:space="0" w:color="000000"/>
              <w:right w:val="single" w:sz="4" w:space="0" w:color="000000"/>
            </w:tcBorders>
            <w:shd w:fill="C65911" w:val="clear"/>
            <w:vAlign w:val="center"/>
          </w:tcPr>
          <w:p>
            <w:pPr>
              <w:pStyle w:val="Normal"/>
              <w:rPr>
                <w:b/>
                <w:bCs/>
                <w:color w:val="FFFFFF"/>
                <w:sz w:val="22"/>
                <w:szCs w:val="22"/>
                <w:lang w:eastAsia="fr-CA"/>
              </w:rPr>
            </w:pPr>
            <w:r>
              <w:rPr>
                <w:b/>
                <w:bCs/>
                <w:color w:val="FFFFFF"/>
                <w:sz w:val="22"/>
                <w:szCs w:val="22"/>
                <w:lang w:eastAsia="fr-CA"/>
              </w:rPr>
              <w:t>Désignation</w:t>
            </w:r>
          </w:p>
        </w:tc>
        <w:tc>
          <w:tcPr>
            <w:tcW w:w="920"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Unité</w:t>
            </w:r>
          </w:p>
        </w:tc>
        <w:tc>
          <w:tcPr>
            <w:tcW w:w="1545"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Qté/nbre/mois</w:t>
            </w:r>
          </w:p>
        </w:tc>
        <w:tc>
          <w:tcPr>
            <w:tcW w:w="1392"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Qté/nbre/an</w:t>
            </w:r>
          </w:p>
        </w:tc>
        <w:tc>
          <w:tcPr>
            <w:tcW w:w="1069"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Prix unitaire</w:t>
            </w:r>
          </w:p>
        </w:tc>
        <w:tc>
          <w:tcPr>
            <w:tcW w:w="1355" w:type="dxa"/>
            <w:tcBorders>
              <w:top w:val="single" w:sz="8" w:space="0" w:color="000000"/>
              <w:right w:val="single" w:sz="8"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Montant</w:t>
              <w:br/>
              <w:t xml:space="preserve"> (F.CFA)</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Transports / déplacements</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12 500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150 000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Communication / publicité</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6 250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75 000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Maintenance</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75 000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75 000</w:t>
            </w:r>
          </w:p>
        </w:tc>
      </w:tr>
      <w:tr>
        <w:trPr>
          <w:trHeight w:val="295" w:hRule="atLeast"/>
        </w:trPr>
        <w:tc>
          <w:tcPr>
            <w:tcW w:w="3546" w:type="dxa"/>
            <w:tcBorders>
              <w:top w:val="single" w:sz="4" w:space="0" w:color="000000"/>
              <w:left w:val="single" w:sz="4" w:space="0" w:color="000000"/>
              <w:bottom w:val="single" w:sz="8" w:space="0" w:color="000000"/>
              <w:right w:val="single" w:sz="4" w:space="0" w:color="000000"/>
            </w:tcBorders>
            <w:shd w:fill="ACB9CA" w:val="clear"/>
            <w:vAlign w:val="center"/>
          </w:tcPr>
          <w:p>
            <w:pPr>
              <w:pStyle w:val="Normal"/>
              <w:jc w:val="center"/>
              <w:rPr>
                <w:b/>
                <w:bCs/>
                <w:sz w:val="22"/>
                <w:szCs w:val="22"/>
                <w:lang w:eastAsia="fr-CA"/>
              </w:rPr>
            </w:pPr>
            <w:r>
              <w:rPr>
                <w:b/>
                <w:bCs/>
                <w:sz w:val="22"/>
                <w:szCs w:val="22"/>
                <w:lang w:eastAsia="fr-CA"/>
              </w:rPr>
              <w:t>TOTAL</w:t>
            </w:r>
          </w:p>
        </w:tc>
        <w:tc>
          <w:tcPr>
            <w:tcW w:w="920"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545"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92"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069"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55" w:type="dxa"/>
            <w:tcBorders>
              <w:bottom w:val="single" w:sz="8" w:space="0" w:color="000000"/>
              <w:right w:val="single" w:sz="4" w:space="0" w:color="000000"/>
            </w:tcBorders>
            <w:shd w:fill="ACB9CA" w:val="clear"/>
            <w:vAlign w:val="center"/>
          </w:tcPr>
          <w:p>
            <w:pPr>
              <w:pStyle w:val="Normal"/>
              <w:jc w:val="center"/>
              <w:rPr>
                <w:sz w:val="22"/>
                <w:szCs w:val="22"/>
                <w:lang w:eastAsia="fr-CA"/>
              </w:rPr>
            </w:pPr>
            <w:r>
              <w:rPr>
                <w:sz w:val="22"/>
                <w:szCs w:val="22"/>
                <w:lang w:eastAsia="fr-CA"/>
              </w:rPr>
              <w:t>300 000</w:t>
            </w:r>
          </w:p>
        </w:tc>
      </w:tr>
    </w:tbl>
    <w:p>
      <w:pPr>
        <w:pStyle w:val="Heading3"/>
        <w:numPr>
          <w:ilvl w:val="2"/>
          <w:numId w:val="3"/>
        </w:numPr>
        <w:ind w:hanging="720" w:left="720" w:right="0"/>
        <w:rPr>
          <w:rFonts w:ascii="Times New Roman" w:hAnsi="Times New Roman" w:cs="Times New Roman"/>
          <w:sz w:val="24"/>
          <w:szCs w:val="24"/>
        </w:rPr>
      </w:pPr>
      <w:bookmarkStart w:id="20" w:name="__RefHeading___Toc234831719"/>
      <w:bookmarkEnd w:id="20"/>
      <w:r>
        <w:rPr>
          <w:rFonts w:cs="Times New Roman" w:ascii="Times New Roman" w:hAnsi="Times New Roman"/>
          <w:sz w:val="24"/>
          <w:szCs w:val="24"/>
        </w:rPr>
        <w:t>Dotations aux amortissements</w:t>
      </w:r>
    </w:p>
    <w:p>
      <w:pPr>
        <w:pStyle w:val="Normal"/>
        <w:spacing w:before="120" w:after="0"/>
        <w:jc w:val="both"/>
        <w:rPr>
          <w:iCs/>
          <w:sz w:val="22"/>
          <w:szCs w:val="22"/>
        </w:rPr>
      </w:pPr>
      <w:r>
        <w:rPr>
          <w:iCs/>
          <w:sz w:val="22"/>
          <w:szCs w:val="22"/>
        </w:rPr>
        <w:t>Les dotations aux amortissements sont calculées dans le tableau ci-dessous sur les cinq prochaines années.</w:t>
      </w:r>
    </w:p>
    <w:tbl>
      <w:tblPr>
        <w:tblW w:w="9644" w:type="dxa"/>
        <w:jc w:val="left"/>
        <w:tblInd w:w="65" w:type="dxa"/>
        <w:tblLayout w:type="fixed"/>
        <w:tblCellMar>
          <w:top w:w="0" w:type="dxa"/>
          <w:left w:w="70" w:type="dxa"/>
          <w:bottom w:w="0" w:type="dxa"/>
          <w:right w:w="70" w:type="dxa"/>
        </w:tblCellMar>
      </w:tblPr>
      <w:tblGrid>
        <w:gridCol w:w="2511"/>
        <w:gridCol w:w="1005"/>
        <w:gridCol w:w="1105"/>
        <w:gridCol w:w="1004"/>
        <w:gridCol w:w="1005"/>
        <w:gridCol w:w="1005"/>
        <w:gridCol w:w="1004"/>
        <w:gridCol w:w="1003"/>
      </w:tblGrid>
      <w:tr>
        <w:trPr>
          <w:trHeight w:val="315" w:hRule="atLeast"/>
        </w:trPr>
        <w:tc>
          <w:tcPr>
            <w:tcW w:w="2511"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Dotation aux amortissements</w:t>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1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3"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15" w:hRule="atLeast"/>
        </w:trPr>
        <w:tc>
          <w:tcPr>
            <w:tcW w:w="2511"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Désignations/Années</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Montant</w:t>
            </w:r>
          </w:p>
        </w:tc>
        <w:tc>
          <w:tcPr>
            <w:tcW w:w="11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Taux</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AN1</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AN2</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AN3</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AN4</w:t>
            </w:r>
          </w:p>
        </w:tc>
        <w:tc>
          <w:tcPr>
            <w:tcW w:w="1003"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AN5</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d'établissement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100,00%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550 000</w:t>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2.1 Constructions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3"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2.2 Agencement-Aménagement-Installations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Préparation et aménagement de la parcelle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7 500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7 500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Pompe de surface et accessoires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Réservoir d’eau</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Plastique pour le paillage (150 m²)</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Système d’irrigation goutte-à-goutte (tuyaux, bouchons, coudes, injecteur, vannes, filtre, gaine)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465 000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116 250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116 250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116 250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116 250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2.3 Mobiliers et matériels</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2.4 Equipements de production</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Brouette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12 000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Arrosoirs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1 800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1 800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1 800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1 800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1 800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Houes / daba / pelles (1 lot)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5 000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Caisses de récolte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6 000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Balance, pulvérisateur et séchoirs artisanaux</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90 000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18 000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18 000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18 000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18 000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18 000</w:t>
            </w:r>
          </w:p>
        </w:tc>
      </w:tr>
      <w:tr>
        <w:trPr>
          <w:trHeight w:val="285" w:hRule="atLeast"/>
        </w:trPr>
        <w:tc>
          <w:tcPr>
            <w:tcW w:w="2511"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2 259 000</w:t>
            </w:r>
          </w:p>
        </w:tc>
        <w:tc>
          <w:tcPr>
            <w:tcW w:w="1105" w:type="dxa"/>
            <w:tcBorders>
              <w:bottom w:val="single" w:sz="4" w:space="0" w:color="000000"/>
              <w:right w:val="single" w:sz="4" w:space="0" w:color="000000"/>
            </w:tcBorders>
            <w:shd w:fill="F4C9C8" w:val="clear"/>
            <w:vAlign w:val="bottom"/>
          </w:tcPr>
          <w:p>
            <w:pPr>
              <w:pStyle w:val="Normal"/>
              <w:snapToGrid w:val="false"/>
              <w:jc w:val="center"/>
              <w:rPr>
                <w:b/>
                <w:bCs/>
                <w:i/>
                <w:i/>
                <w:iCs/>
                <w:sz w:val="22"/>
                <w:szCs w:val="22"/>
              </w:rPr>
            </w:pPr>
            <w:r>
              <w:rPr>
                <w:b/>
                <w:bCs/>
                <w:i/>
                <w:iCs/>
                <w:sz w:val="22"/>
                <w:szCs w:val="22"/>
              </w:rPr>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966 550</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416 550</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416 550</w:t>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416 550</w:t>
            </w:r>
          </w:p>
        </w:tc>
        <w:tc>
          <w:tcPr>
            <w:tcW w:w="1003"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42 800</w:t>
            </w:r>
          </w:p>
        </w:tc>
      </w:tr>
      <w:tr>
        <w:trPr>
          <w:trHeight w:val="285" w:hRule="atLeast"/>
        </w:trPr>
        <w:tc>
          <w:tcPr>
            <w:tcW w:w="2511" w:type="dxa"/>
            <w:tcBorders/>
            <w:vAlign w:val="bottom"/>
          </w:tcPr>
          <w:p>
            <w:pPr>
              <w:pStyle w:val="Normal"/>
              <w:snapToGrid w:val="false"/>
              <w:jc w:val="right"/>
              <w:rPr>
                <w:b/>
                <w:bCs/>
                <w:i/>
                <w:i/>
                <w:iCs/>
                <w:sz w:val="22"/>
                <w:szCs w:val="22"/>
              </w:rPr>
            </w:pPr>
            <w:r>
              <w:rPr>
                <w:b/>
                <w:bCs/>
                <w:i/>
                <w:iCs/>
                <w:sz w:val="22"/>
                <w:szCs w:val="22"/>
              </w:rPr>
            </w:r>
          </w:p>
        </w:tc>
        <w:tc>
          <w:tcPr>
            <w:tcW w:w="1005" w:type="dxa"/>
            <w:tcBorders/>
            <w:vAlign w:val="bottom"/>
          </w:tcPr>
          <w:p>
            <w:pPr>
              <w:pStyle w:val="Normal"/>
              <w:snapToGrid w:val="false"/>
              <w:jc w:val="right"/>
              <w:rPr>
                <w:b/>
                <w:bCs/>
                <w:i/>
                <w:i/>
                <w:iCs/>
                <w:sz w:val="22"/>
                <w:szCs w:val="22"/>
              </w:rPr>
            </w:pPr>
            <w:r>
              <w:rPr>
                <w:b/>
                <w:bCs/>
                <w:i/>
                <w:iCs/>
                <w:sz w:val="22"/>
                <w:szCs w:val="22"/>
              </w:rPr>
            </w:r>
          </w:p>
        </w:tc>
        <w:tc>
          <w:tcPr>
            <w:tcW w:w="11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3" w:type="dxa"/>
            <w:tcBorders/>
            <w:vAlign w:val="bottom"/>
          </w:tcPr>
          <w:p>
            <w:pPr>
              <w:pStyle w:val="Normal"/>
              <w:snapToGrid w:val="false"/>
              <w:jc w:val="right"/>
              <w:rPr>
                <w:sz w:val="22"/>
                <w:szCs w:val="22"/>
              </w:rPr>
            </w:pPr>
            <w:r>
              <w:rPr>
                <w:sz w:val="22"/>
                <w:szCs w:val="22"/>
              </w:rPr>
            </w:r>
          </w:p>
        </w:tc>
      </w:tr>
    </w:tbl>
    <w:p>
      <w:pPr>
        <w:pStyle w:val="Heading3"/>
        <w:numPr>
          <w:ilvl w:val="2"/>
          <w:numId w:val="3"/>
        </w:numPr>
        <w:spacing w:before="120" w:after="120"/>
        <w:ind w:hanging="720" w:left="720" w:right="0"/>
        <w:jc w:val="both"/>
        <w:rPr>
          <w:rFonts w:ascii="Times New Roman" w:hAnsi="Times New Roman" w:cs="Times New Roman"/>
          <w:iCs/>
          <w:sz w:val="22"/>
          <w:szCs w:val="22"/>
        </w:rPr>
      </w:pPr>
      <w:bookmarkStart w:id="21" w:name="__RefHeading___Toc234831720"/>
      <w:bookmarkEnd w:id="21"/>
      <w:r>
        <w:rPr>
          <w:rFonts w:cs="Times New Roman" w:ascii="Times New Roman" w:hAnsi="Times New Roman"/>
          <w:sz w:val="24"/>
          <w:szCs w:val="24"/>
        </w:rPr>
        <w:t>Echéancier de remboursement</w:t>
      </w:r>
    </w:p>
    <w:p>
      <w:pPr>
        <w:pStyle w:val="Normal"/>
        <w:spacing w:before="120" w:after="120"/>
        <w:jc w:val="both"/>
        <w:rPr>
          <w:iCs/>
          <w:sz w:val="22"/>
          <w:szCs w:val="22"/>
        </w:rPr>
      </w:pPr>
      <w:r>
        <w:rPr>
          <w:iCs/>
          <w:sz w:val="22"/>
          <w:szCs w:val="22"/>
        </w:rPr>
        <w:t>L’échéancier de remboursement porte sur 60 mois, dont un différé de 6 mois pendant lequel seuls les intérêts sont payés, soit 54 échéances mensuelles.</w:t>
      </w:r>
    </w:p>
    <w:tbl>
      <w:tblPr>
        <w:tblW w:w="10070" w:type="dxa"/>
        <w:jc w:val="left"/>
        <w:tblInd w:w="65" w:type="dxa"/>
        <w:tblLayout w:type="fixed"/>
        <w:tblCellMar>
          <w:top w:w="0" w:type="dxa"/>
          <w:left w:w="70" w:type="dxa"/>
          <w:bottom w:w="0" w:type="dxa"/>
          <w:right w:w="70" w:type="dxa"/>
        </w:tblCellMar>
      </w:tblPr>
      <w:tblGrid>
        <w:gridCol w:w="997"/>
        <w:gridCol w:w="1417"/>
        <w:gridCol w:w="1134"/>
        <w:gridCol w:w="1134"/>
        <w:gridCol w:w="1135"/>
        <w:gridCol w:w="1701"/>
        <w:gridCol w:w="1276"/>
        <w:gridCol w:w="1274"/>
      </w:tblGrid>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Montant du Prêt :</w:t>
            </w:r>
          </w:p>
        </w:tc>
        <w:tc>
          <w:tcPr>
            <w:tcW w:w="1134" w:type="dxa"/>
            <w:tcBorders>
              <w:top w:val="single" w:sz="4" w:space="0" w:color="000000"/>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2 753 100</w:t>
            </w:r>
          </w:p>
        </w:tc>
        <w:tc>
          <w:tcPr>
            <w:tcW w:w="1134" w:type="dxa"/>
            <w:tcBorders>
              <w:top w:val="single" w:sz="4" w:space="0" w:color="000000"/>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FCFA</w:t>
            </w:r>
          </w:p>
        </w:tc>
        <w:tc>
          <w:tcPr>
            <w:tcW w:w="1135"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8%</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 soit</w:t>
            </w:r>
          </w:p>
        </w:tc>
        <w:tc>
          <w:tcPr>
            <w:tcW w:w="1135" w:type="dxa"/>
            <w:tcBorders>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0,67%</w:t>
            </w:r>
          </w:p>
        </w:tc>
        <w:tc>
          <w:tcPr>
            <w:tcW w:w="1701"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mois</w:t>
            </w:r>
          </w:p>
        </w:tc>
        <w:tc>
          <w:tcPr>
            <w:tcW w:w="1276"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TAF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17%</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appliqué TTC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9,36%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remboursement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sz w:val="22"/>
                <w:szCs w:val="22"/>
              </w:rPr>
            </w:pPr>
            <w:r>
              <w:rPr>
                <w:sz w:val="22"/>
                <w:szCs w:val="22"/>
              </w:rPr>
              <w:t>par mois</w:t>
            </w:r>
          </w:p>
        </w:tc>
        <w:tc>
          <w:tcPr>
            <w:tcW w:w="1134"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différé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Durée du prêt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60</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Nombre d'échéance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54</w:t>
            </w:r>
          </w:p>
        </w:tc>
        <w:tc>
          <w:tcPr>
            <w:tcW w:w="1134"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00" w:hRule="atLeast"/>
        </w:trPr>
        <w:tc>
          <w:tcPr>
            <w:tcW w:w="997" w:type="dxa"/>
            <w:tcBorders/>
            <w:shd w:fill="FFFFFF" w:val="clear"/>
            <w:vAlign w:val="bottom"/>
          </w:tcPr>
          <w:p>
            <w:pPr>
              <w:pStyle w:val="Normal"/>
              <w:snapToGrid w:val="false"/>
              <w:jc w:val="center"/>
              <w:rPr>
                <w:color w:val="800000"/>
                <w:sz w:val="22"/>
                <w:szCs w:val="22"/>
              </w:rPr>
            </w:pPr>
            <w:r>
              <w:rPr>
                <w:color w:val="800000"/>
                <w:sz w:val="22"/>
                <w:szCs w:val="22"/>
              </w:rPr>
            </w:r>
          </w:p>
        </w:tc>
        <w:tc>
          <w:tcPr>
            <w:tcW w:w="1417" w:type="dxa"/>
            <w:tcBorders/>
            <w:shd w:fill="FFFFFF" w:val="clear"/>
            <w:vAlign w:val="bottom"/>
          </w:tcPr>
          <w:p>
            <w:pPr>
              <w:pStyle w:val="Normal"/>
              <w:snapToGrid w:val="false"/>
              <w:jc w:val="center"/>
              <w:rPr>
                <w:color w:val="800000"/>
                <w:sz w:val="22"/>
                <w:szCs w:val="22"/>
              </w:rPr>
            </w:pPr>
            <w:r>
              <w:rPr>
                <w:color w:val="800000"/>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5" w:type="dxa"/>
            <w:tcBorders/>
            <w:shd w:fill="FFFFFF" w:val="clear"/>
            <w:vAlign w:val="bottom"/>
          </w:tcPr>
          <w:p>
            <w:pPr>
              <w:pStyle w:val="Normal"/>
              <w:snapToGrid w:val="false"/>
              <w:jc w:val="center"/>
              <w:rPr>
                <w:sz w:val="22"/>
                <w:szCs w:val="22"/>
              </w:rPr>
            </w:pPr>
            <w:r>
              <w:rPr>
                <w:sz w:val="22"/>
                <w:szCs w:val="22"/>
              </w:rPr>
            </w:r>
          </w:p>
        </w:tc>
        <w:tc>
          <w:tcPr>
            <w:tcW w:w="1701" w:type="dxa"/>
            <w:tcBorders/>
            <w:shd w:fill="FFFFFF" w:val="clear"/>
            <w:vAlign w:val="bottom"/>
          </w:tcPr>
          <w:p>
            <w:pPr>
              <w:pStyle w:val="Normal"/>
              <w:snapToGrid w:val="false"/>
              <w:jc w:val="center"/>
              <w:rPr>
                <w:sz w:val="22"/>
                <w:szCs w:val="22"/>
              </w:rPr>
            </w:pPr>
            <w:r>
              <w:rPr>
                <w:sz w:val="22"/>
                <w:szCs w:val="22"/>
              </w:rPr>
            </w:r>
          </w:p>
        </w:tc>
        <w:tc>
          <w:tcPr>
            <w:tcW w:w="1276" w:type="dxa"/>
            <w:tcBorders/>
            <w:shd w:fill="FFFFFF" w:val="clear"/>
            <w:vAlign w:val="bottom"/>
          </w:tcPr>
          <w:p>
            <w:pPr>
              <w:pStyle w:val="Normal"/>
              <w:snapToGrid w:val="false"/>
              <w:jc w:val="center"/>
              <w:rPr>
                <w:sz w:val="22"/>
                <w:szCs w:val="22"/>
              </w:rPr>
            </w:pPr>
            <w:r>
              <w:rPr>
                <w:sz w:val="22"/>
                <w:szCs w:val="22"/>
              </w:rPr>
            </w:r>
          </w:p>
        </w:tc>
        <w:tc>
          <w:tcPr>
            <w:tcW w:w="1274" w:type="dxa"/>
            <w:tcBorders/>
            <w:shd w:fill="FFFFFF" w:val="clear"/>
            <w:vAlign w:val="bottom"/>
          </w:tcPr>
          <w:p>
            <w:pPr>
              <w:pStyle w:val="Normal"/>
              <w:snapToGrid w:val="false"/>
              <w:jc w:val="center"/>
              <w:rPr>
                <w:sz w:val="22"/>
                <w:szCs w:val="22"/>
              </w:rPr>
            </w:pPr>
            <w:r>
              <w:rPr>
                <w:sz w:val="22"/>
                <w:szCs w:val="22"/>
              </w:rPr>
            </w:r>
          </w:p>
        </w:tc>
      </w:tr>
      <w:tr>
        <w:trPr>
          <w:trHeight w:val="315" w:hRule="atLeast"/>
        </w:trPr>
        <w:tc>
          <w:tcPr>
            <w:tcW w:w="99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Période</w:t>
            </w:r>
          </w:p>
        </w:tc>
        <w:tc>
          <w:tcPr>
            <w:tcW w:w="141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Montant</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Intérêts</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TAF</w:t>
            </w:r>
          </w:p>
        </w:tc>
        <w:tc>
          <w:tcPr>
            <w:tcW w:w="1135"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Frais Financier</w:t>
            </w:r>
          </w:p>
        </w:tc>
        <w:tc>
          <w:tcPr>
            <w:tcW w:w="1701" w:type="dxa"/>
            <w:tcBorders>
              <w:top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Remboursement</w:t>
            </w:r>
          </w:p>
        </w:tc>
        <w:tc>
          <w:tcPr>
            <w:tcW w:w="1276"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274"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r>
      <w:tr>
        <w:trPr>
          <w:trHeight w:val="630" w:hRule="atLeast"/>
        </w:trPr>
        <w:tc>
          <w:tcPr>
            <w:tcW w:w="99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41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5"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701"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Principal</w:t>
            </w:r>
          </w:p>
        </w:tc>
        <w:tc>
          <w:tcPr>
            <w:tcW w:w="1276"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dégressive</w:t>
            </w:r>
          </w:p>
        </w:tc>
        <w:tc>
          <w:tcPr>
            <w:tcW w:w="1274"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linéaire</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sz w:val="22"/>
                <w:szCs w:val="22"/>
              </w:rPr>
            </w:pPr>
            <w:r>
              <w:rPr>
                <w:b/>
                <w:bCs/>
                <w:sz w:val="22"/>
                <w:szCs w:val="22"/>
              </w:rPr>
              <w:t>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2 753 100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18 354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2 753 100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18 354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2 753 100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18 354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2 753 100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18 354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2 753 100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18 354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2 753 100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18 354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2 753 100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18 354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21 474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72 458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2 702 117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18 014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3 062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21 077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72 060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2 651 133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17 674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3 005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20 679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71 662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2 600 150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17 334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2 947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20 281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71 265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2 549 167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16 994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2 889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19 884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70 867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12</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2 498 183</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16 655</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2 831</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19 486</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50 983</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70 469</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2 447 200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16 315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2 773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19 088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70 071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2 396 217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15 975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2 716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18 690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69 674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2 345 233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15 635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2 658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18 293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69 276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2 294 250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15 295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17 895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68 878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2 243 267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14 955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2 542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17 497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68 481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2 192 283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14 615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2 485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17 100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68 083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2 141 300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14 275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2 427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16 702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67 685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2 090 317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13 935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2 369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16 304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67 288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2 039 333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13 596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2 311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15 907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66 890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1 988 350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13 256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2 253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15 509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66 492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1 937 367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12 916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2 196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15 111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66 095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1 886 383</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12 576</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2 138</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14 714</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50 983</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65 697</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1 835 400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12 236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2 080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14 316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65 299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1 784 417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11 896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2 022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13 918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64 902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1 733 433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11 556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1 965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13 521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64 504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1 682 450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11 216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1 907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13 123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64 106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1 631 467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10 876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1 849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12 725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63 709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1 580 483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10 537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1 791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12 328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63 311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1 529 500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10 197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1 733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11 930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62 913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1 478 517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9 857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1 676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11 532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62 516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1 427 533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9 517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1 618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11 135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62 118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1 376 550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9 177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1 560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10 737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61 720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1 325 567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8 837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1 502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10 339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61 323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36</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1 274 583</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8 497</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1 445</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9 942</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50 983</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60 925</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1 223 600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8 157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1 387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9 544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60 527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1 172 617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7 817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1 329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9 146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60 130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1 121 633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7 478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1 271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8 749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59 732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1 070 650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7 138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1 213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8 351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59 334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1 019 667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6 798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1 156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7 953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58 937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968 683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6 458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1 098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7 556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58 539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917 700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6 118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1 040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7 158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58 141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866 717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5 778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982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6 760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57 744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815 733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5 438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924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6 363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57 346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764 750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5 098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867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5 965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56 948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713 767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4 758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809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5 567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56 551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48</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662 783</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4 419</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751</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5 170</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50 983</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56 153</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611 800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4 079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693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4 772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55 755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560 817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3 739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636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4 374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55 358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509 833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3 399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578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3 977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54 960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458 850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3 059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3 579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54 562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407 867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2 719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3 181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54 165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356 883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2 379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404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2 784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53 767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305 900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2 039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2 386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53 369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254 917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1 699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1 988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52 972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203 933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1 360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1 591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52 574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152 950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1 020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1 193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52 176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101 967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680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795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50 983</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51 779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60</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50 983</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340</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58</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398</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50 983</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51 381</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64 305</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TOTAL</w:t>
            </w:r>
          </w:p>
        </w:tc>
        <w:tc>
          <w:tcPr>
            <w:tcW w:w="1417"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5"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719 385</w:t>
            </w:r>
          </w:p>
        </w:tc>
        <w:tc>
          <w:tcPr>
            <w:tcW w:w="1701"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2 753 100</w:t>
            </w:r>
          </w:p>
        </w:tc>
        <w:tc>
          <w:tcPr>
            <w:tcW w:w="1276"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3 472 485</w:t>
            </w:r>
          </w:p>
        </w:tc>
        <w:tc>
          <w:tcPr>
            <w:tcW w:w="1274"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3 472 485</w:t>
            </w:r>
          </w:p>
        </w:tc>
      </w:tr>
    </w:tbl>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2" w:name="__RefHeading___Toc234831721"/>
      <w:bookmarkEnd w:id="22"/>
      <w:r>
        <w:rPr>
          <w:rFonts w:cs="Times New Roman" w:ascii="Times New Roman" w:hAnsi="Times New Roman"/>
          <w:i w:val="false"/>
          <w:iCs w:val="false"/>
          <w:lang w:val="fr-CI"/>
        </w:rPr>
        <w:t>Coût total du projet</w:t>
      </w:r>
    </w:p>
    <w:p>
      <w:pPr>
        <w:pStyle w:val="Normal"/>
        <w:spacing w:before="120" w:after="120"/>
        <w:rPr>
          <w:iCs/>
          <w:sz w:val="22"/>
          <w:szCs w:val="22"/>
        </w:rPr>
      </w:pPr>
      <w:r>
        <w:rPr>
          <w:iCs/>
          <w:sz w:val="22"/>
          <w:szCs w:val="22"/>
        </w:rPr>
        <w:t xml:space="preserve">Le coût total du projet est évalué à </w:t>
      </w:r>
      <w:r>
        <w:rPr>
          <w:b/>
          <w:bCs/>
          <w:iCs/>
          <w:color w:val="000000"/>
          <w:sz w:val="22"/>
          <w:szCs w:val="22"/>
          <w:lang w:eastAsia="fr-CA"/>
        </w:rPr>
        <w:t xml:space="preserve">3 059 000 </w:t>
      </w:r>
      <w:r>
        <w:rPr>
          <w:iCs/>
          <w:sz w:val="22"/>
          <w:szCs w:val="22"/>
        </w:rPr>
        <w:t xml:space="preserve">FCFA. Ce montant est composé par : les frais d’investissement </w:t>
      </w:r>
      <w:r>
        <w:rPr>
          <w:b/>
          <w:bCs/>
          <w:iCs/>
          <w:sz w:val="22"/>
          <w:szCs w:val="22"/>
          <w:lang w:eastAsia="fr-CA"/>
        </w:rPr>
        <w:t xml:space="preserve">1 709 000 </w:t>
      </w:r>
      <w:r>
        <w:rPr>
          <w:iCs/>
          <w:sz w:val="22"/>
          <w:szCs w:val="22"/>
        </w:rPr>
        <w:t xml:space="preserve">FCFA (55,9%) , le besoin en fonds de roulement </w:t>
      </w:r>
      <w:r>
        <w:rPr>
          <w:b/>
          <w:bCs/>
          <w:iCs/>
          <w:sz w:val="22"/>
          <w:szCs w:val="22"/>
          <w:lang w:eastAsia="fr-CA"/>
        </w:rPr>
        <w:t xml:space="preserve">800 000 </w:t>
      </w:r>
      <w:r>
        <w:rPr>
          <w:iCs/>
          <w:sz w:val="22"/>
          <w:szCs w:val="22"/>
        </w:rPr>
        <w:t xml:space="preserve"> FCFA (26,2%) et les autres frais d’établissement 550 000 FCFA (18,0%).</w:t>
      </w:r>
    </w:p>
    <w:tbl>
      <w:tblPr>
        <w:tblW w:w="9600" w:type="dxa"/>
        <w:jc w:val="left"/>
        <w:tblInd w:w="65" w:type="dxa"/>
        <w:tblLayout w:type="fixed"/>
        <w:tblCellMar>
          <w:top w:w="0" w:type="dxa"/>
          <w:left w:w="70" w:type="dxa"/>
          <w:bottom w:w="0" w:type="dxa"/>
          <w:right w:w="70" w:type="dxa"/>
        </w:tblCellMar>
      </w:tblPr>
      <w:tblGrid>
        <w:gridCol w:w="5940"/>
        <w:gridCol w:w="1289"/>
        <w:gridCol w:w="1551"/>
        <w:gridCol w:w="819"/>
      </w:tblGrid>
      <w:tr>
        <w:trPr>
          <w:trHeight w:val="405" w:hRule="atLeast"/>
        </w:trPr>
        <w:tc>
          <w:tcPr>
            <w:tcW w:w="5940" w:type="dxa"/>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EVALUATION DU COÛT DE  PROJET (FCFA)</w:t>
            </w:r>
          </w:p>
        </w:tc>
        <w:tc>
          <w:tcPr>
            <w:tcW w:w="2840" w:type="dxa"/>
            <w:gridSpan w:val="2"/>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Montant FCFA</w:t>
            </w:r>
          </w:p>
        </w:tc>
        <w:tc>
          <w:tcPr>
            <w:tcW w:w="819" w:type="dxa"/>
            <w:tcBorders>
              <w:top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w:t>
            </w:r>
          </w:p>
        </w:tc>
      </w:tr>
      <w:tr>
        <w:trPr>
          <w:trHeight w:val="300" w:hRule="atLeast"/>
        </w:trPr>
        <w:tc>
          <w:tcPr>
            <w:tcW w:w="5940" w:type="dxa"/>
            <w:tcBorders>
              <w:left w:val="single" w:sz="4" w:space="0" w:color="000000"/>
            </w:tcBorders>
            <w:vAlign w:val="bottom"/>
          </w:tcPr>
          <w:p>
            <w:pPr>
              <w:pStyle w:val="Normal"/>
              <w:rPr>
                <w:color w:val="000000"/>
                <w:sz w:val="22"/>
                <w:szCs w:val="22"/>
              </w:rPr>
            </w:pPr>
            <w:r>
              <w:rPr/>
            </w:r>
          </w:p>
        </w:tc>
        <w:tc>
          <w:tcPr>
            <w:tcW w:w="1289" w:type="dxa"/>
            <w:tcBorders/>
            <w:vAlign w:val="center"/>
          </w:tcPr>
          <w:p>
            <w:pPr>
              <w:pStyle w:val="Normal"/>
              <w:snapToGrid w:val="false"/>
              <w:jc w:val="center"/>
              <w:rPr>
                <w:color w:val="000000"/>
                <w:sz w:val="22"/>
                <w:szCs w:val="22"/>
              </w:rPr>
            </w:pPr>
            <w:r>
              <w:rPr>
                <w:color w:val="000000"/>
                <w:sz w:val="22"/>
                <w:szCs w:val="22"/>
              </w:rPr>
            </w:r>
          </w:p>
        </w:tc>
        <w:tc>
          <w:tcPr>
            <w:tcW w:w="1551" w:type="dxa"/>
            <w:tcBorders/>
            <w:vAlign w:val="center"/>
          </w:tcPr>
          <w:p>
            <w:pPr>
              <w:pStyle w:val="Normal"/>
              <w:snapToGrid w:val="false"/>
              <w:jc w:val="center"/>
              <w:rPr>
                <w:color w:val="000000"/>
                <w:sz w:val="22"/>
                <w:szCs w:val="22"/>
              </w:rPr>
            </w:pPr>
            <w:r>
              <w:rPr>
                <w:color w:val="000000"/>
                <w:sz w:val="22"/>
                <w:szCs w:val="22"/>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Frais d'établissement</w:t>
            </w:r>
          </w:p>
        </w:tc>
        <w:tc>
          <w:tcPr>
            <w:tcW w:w="128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550 000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18,0%</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Autres frais d’établissement</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Frais d'investissement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1 709 000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55,9%</w:t>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Constructions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Agencement-Aménagement-Installations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1 495 000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Préparation et aménagement de la parcelle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pPr>
            <w:r>
              <w:rPr>
                <w:color w:val="000000"/>
                <w:sz w:val="22"/>
                <w:szCs w:val="22"/>
              </w:rPr>
              <w:t>Pompe de surface et accessoires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Réservoir d’eau</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Plastique pour le paillage (150 m²)</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Système d’irrigation goutte-à-goutte (tuyaux, bouchons, coudes, injecteur, vannes, filtre, gaine)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465 000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Mobiliers et matériels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2.4 Equipements de production</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214 000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Brouette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60 000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Arrosoirs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9 000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Houes / daba / pelles (1 lot)</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Caisses de récolte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Balance, pulvérisateur et séchoirs artisanaux</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90 000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3. Besoin en fonds de roulement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800 000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26,2%</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Achats de matières premières (3 mois)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151 875</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Sécurité de caisse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648 125</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447" w:hRule="atLeast"/>
        </w:trPr>
        <w:tc>
          <w:tcPr>
            <w:tcW w:w="7229" w:type="dxa"/>
            <w:gridSpan w:val="2"/>
            <w:tcBorders>
              <w:top w:val="single" w:sz="4" w:space="0" w:color="000000"/>
              <w:left w:val="single" w:sz="4" w:space="0" w:color="000000"/>
              <w:bottom w:val="single" w:sz="4" w:space="0" w:color="000000"/>
              <w:right w:val="single" w:sz="4" w:space="0" w:color="000000"/>
            </w:tcBorders>
            <w:shd w:fill="CCFFFF" w:val="clear"/>
            <w:vAlign w:val="center"/>
          </w:tcPr>
          <w:p>
            <w:pPr>
              <w:pStyle w:val="Normal"/>
              <w:jc w:val="center"/>
              <w:rPr>
                <w:b/>
                <w:bCs/>
                <w:color w:val="000000"/>
                <w:sz w:val="22"/>
                <w:szCs w:val="22"/>
              </w:rPr>
            </w:pPr>
            <w:r>
              <w:rPr>
                <w:b/>
                <w:bCs/>
                <w:color w:val="000000"/>
                <w:sz w:val="22"/>
                <w:szCs w:val="22"/>
              </w:rPr>
              <w:t>COÛT TOTAL DU PROJET</w:t>
            </w:r>
          </w:p>
        </w:tc>
        <w:tc>
          <w:tcPr>
            <w:tcW w:w="1551" w:type="dxa"/>
            <w:tcBorders>
              <w:bottom w:val="single" w:sz="4" w:space="0" w:color="000000"/>
              <w:right w:val="single" w:sz="4" w:space="0" w:color="000000"/>
            </w:tcBorders>
            <w:shd w:fill="CCFFFF" w:val="clear"/>
            <w:vAlign w:val="center"/>
          </w:tcPr>
          <w:p>
            <w:pPr>
              <w:pStyle w:val="Normal"/>
              <w:jc w:val="right"/>
              <w:rPr>
                <w:b/>
                <w:bCs/>
                <w:color w:val="000000"/>
                <w:sz w:val="22"/>
                <w:szCs w:val="22"/>
              </w:rPr>
            </w:pPr>
            <w:r>
              <w:rPr>
                <w:b/>
                <w:bCs/>
                <w:color w:val="000000"/>
                <w:sz w:val="22"/>
                <w:szCs w:val="22"/>
              </w:rPr>
              <w:t>3 059 000</w:t>
            </w:r>
          </w:p>
        </w:tc>
        <w:tc>
          <w:tcPr>
            <w:tcW w:w="819" w:type="dxa"/>
            <w:tcBorders>
              <w:bottom w:val="single" w:sz="4" w:space="0" w:color="000000"/>
              <w:right w:val="single" w:sz="4" w:space="0" w:color="000000"/>
            </w:tcBorders>
            <w:shd w:fill="CCFFFF" w:val="clear"/>
            <w:vAlign w:val="center"/>
          </w:tcPr>
          <w:p>
            <w:pPr>
              <w:pStyle w:val="Normal"/>
              <w:rPr>
                <w:b/>
                <w:bCs/>
                <w:color w:val="000000"/>
                <w:sz w:val="22"/>
                <w:szCs w:val="22"/>
              </w:rPr>
            </w:pPr>
            <w:r>
              <w:rPr/>
            </w:r>
          </w:p>
        </w:tc>
      </w:tr>
    </w:tbl>
    <w:p>
      <w:pPr>
        <w:pStyle w:val="Normal"/>
        <w:spacing w:before="120" w:after="120"/>
        <w:jc w:val="both"/>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3" w:name="__RefHeading___Toc234831722"/>
      <w:bookmarkEnd w:id="23"/>
      <w:r>
        <w:rPr>
          <w:rFonts w:cs="Times New Roman" w:ascii="Times New Roman" w:hAnsi="Times New Roman"/>
          <w:i w:val="false"/>
          <w:iCs w:val="false"/>
          <w:lang w:val="fr-CI"/>
        </w:rPr>
        <w:t>Plan de financement</w:t>
      </w:r>
    </w:p>
    <w:p>
      <w:pPr>
        <w:pStyle w:val="Normal"/>
        <w:spacing w:before="120" w:after="120"/>
        <w:jc w:val="both"/>
        <w:rPr>
          <w:iCs/>
          <w:sz w:val="22"/>
          <w:szCs w:val="22"/>
        </w:rPr>
      </w:pPr>
      <w:r>
        <w:rPr>
          <w:iCs/>
          <w:sz w:val="22"/>
          <w:szCs w:val="22"/>
        </w:rPr>
        <w:t xml:space="preserve">Le plan de financement montre que sur un coût total du projet de </w:t>
      </w:r>
      <w:r>
        <w:rPr>
          <w:b/>
          <w:bCs/>
          <w:iCs/>
          <w:color w:val="000000"/>
          <w:sz w:val="22"/>
          <w:szCs w:val="22"/>
          <w:lang w:eastAsia="fr-CA"/>
        </w:rPr>
        <w:t>3 059 000</w:t>
      </w:r>
      <w:r>
        <w:rPr>
          <w:iCs/>
          <w:sz w:val="22"/>
          <w:szCs w:val="22"/>
        </w:rPr>
        <w:t xml:space="preserve"> FCFA, le promoteur s’engage à contribuer à hauteur de 10% de ce montant, soit </w:t>
      </w:r>
      <w:r>
        <w:rPr>
          <w:rFonts w:cs="Calibri" w:ascii="Cambria" w:hAnsi="Cambria"/>
          <w:b/>
          <w:iCs/>
          <w:color w:val="000000"/>
          <w:sz w:val="22"/>
          <w:szCs w:val="22"/>
        </w:rPr>
        <w:t>305 900</w:t>
      </w:r>
      <w:r>
        <w:rPr>
          <w:rFonts w:cs="Calibri" w:ascii="Cambria" w:hAnsi="Cambria"/>
          <w:iCs/>
          <w:color w:val="000000"/>
          <w:sz w:val="22"/>
          <w:szCs w:val="22"/>
        </w:rPr>
        <w:t xml:space="preserve"> </w:t>
      </w:r>
      <w:r>
        <w:rPr>
          <w:iCs/>
          <w:sz w:val="22"/>
          <w:szCs w:val="22"/>
        </w:rPr>
        <w:t>FCFA, le crédit sollicité (90 %) s’élevant à 2 753 100 FCFA, remboursable sur 60 mois dont 6 mois de différé.</w:t>
      </w:r>
    </w:p>
    <w:tbl>
      <w:tblPr>
        <w:tblW w:w="8580" w:type="dxa"/>
        <w:jc w:val="left"/>
        <w:tblInd w:w="65" w:type="dxa"/>
        <w:tblLayout w:type="fixed"/>
        <w:tblCellMar>
          <w:top w:w="0" w:type="dxa"/>
          <w:left w:w="70" w:type="dxa"/>
          <w:bottom w:w="0" w:type="dxa"/>
          <w:right w:w="70" w:type="dxa"/>
        </w:tblCellMar>
      </w:tblPr>
      <w:tblGrid>
        <w:gridCol w:w="5860"/>
        <w:gridCol w:w="1199"/>
        <w:gridCol w:w="1521"/>
      </w:tblGrid>
      <w:tr>
        <w:trPr>
          <w:trHeight w:val="420" w:hRule="atLeast"/>
        </w:trPr>
        <w:tc>
          <w:tcPr>
            <w:tcW w:w="586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b/>
                <w:bCs/>
                <w:color w:val="FFFFFF"/>
                <w:sz w:val="22"/>
                <w:szCs w:val="22"/>
              </w:rPr>
              <w:t>PLAN DE FINANCEMENT</w:t>
            </w:r>
          </w:p>
        </w:tc>
        <w:tc>
          <w:tcPr>
            <w:tcW w:w="1199" w:type="dxa"/>
            <w:tcBorders>
              <w:top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r>
          </w:p>
        </w:tc>
        <w:tc>
          <w:tcPr>
            <w:tcW w:w="1521" w:type="dxa"/>
            <w:tcBorders>
              <w:top w:val="single" w:sz="4"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r>
      <w:tr>
        <w:trPr>
          <w:trHeight w:val="360" w:hRule="atLeast"/>
        </w:trPr>
        <w:tc>
          <w:tcPr>
            <w:tcW w:w="5860"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Le coût total de projet</w:t>
            </w:r>
          </w:p>
        </w:tc>
        <w:tc>
          <w:tcPr>
            <w:tcW w:w="1199" w:type="dxa"/>
            <w:tcBorders>
              <w:top w:val="single" w:sz="8"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100%</w:t>
            </w:r>
          </w:p>
        </w:tc>
        <w:tc>
          <w:tcPr>
            <w:tcW w:w="1521" w:type="dxa"/>
            <w:tcBorders>
              <w:top w:val="single" w:sz="8"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b/>
                <w:bCs/>
                <w:i/>
                <w:iCs/>
                <w:color w:val="FFFFFF"/>
                <w:sz w:val="22"/>
                <w:szCs w:val="22"/>
              </w:rPr>
              <w:t>3 059 000</w:t>
            </w:r>
          </w:p>
        </w:tc>
      </w:tr>
      <w:tr>
        <w:trPr>
          <w:trHeight w:val="360" w:hRule="atLeast"/>
        </w:trPr>
        <w:tc>
          <w:tcPr>
            <w:tcW w:w="5860" w:type="dxa"/>
            <w:tcBorders>
              <w:top w:val="single" w:sz="4"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Le financement de projet</w:t>
            </w:r>
          </w:p>
        </w:tc>
        <w:tc>
          <w:tcPr>
            <w:tcW w:w="1199"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r>
          </w:p>
        </w:tc>
        <w:tc>
          <w:tcPr>
            <w:tcW w:w="1521" w:type="dxa"/>
            <w:tcBorders>
              <w:top w:val="single" w:sz="4"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L'apport personnel</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10%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305 900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en numéraire</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305 900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La contribution (Primes) du FACEJ</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création emploi »</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innovants»</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(Projets verts et Verdissement)</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Le crédit sollicité</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90%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2 753 100</w:t>
            </w:r>
          </w:p>
        </w:tc>
      </w:tr>
      <w:tr>
        <w:trPr>
          <w:trHeight w:val="300" w:hRule="atLeast"/>
        </w:trPr>
        <w:tc>
          <w:tcPr>
            <w:tcW w:w="5860" w:type="dxa"/>
            <w:tcBorders>
              <w:left w:val="single" w:sz="8" w:space="0" w:color="000000"/>
              <w:bottom w:val="single" w:sz="8" w:space="0" w:color="000000"/>
              <w:right w:val="single" w:sz="4" w:space="0" w:color="000000"/>
            </w:tcBorders>
            <w:vAlign w:val="bottom"/>
          </w:tcPr>
          <w:p>
            <w:pPr>
              <w:pStyle w:val="Normal"/>
              <w:rPr>
                <w:color w:val="000000"/>
                <w:sz w:val="22"/>
                <w:szCs w:val="22"/>
              </w:rPr>
            </w:pPr>
            <w:r>
              <w:rPr>
                <w:color w:val="000000"/>
                <w:sz w:val="22"/>
                <w:szCs w:val="22"/>
              </w:rPr>
              <w:t>Financement</w:t>
            </w:r>
          </w:p>
        </w:tc>
        <w:tc>
          <w:tcPr>
            <w:tcW w:w="1199" w:type="dxa"/>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90%</w:t>
            </w:r>
          </w:p>
        </w:tc>
        <w:tc>
          <w:tcPr>
            <w:tcW w:w="1521" w:type="dxa"/>
            <w:tcBorders>
              <w:bottom w:val="single" w:sz="8" w:space="0" w:color="000000"/>
              <w:right w:val="single" w:sz="8" w:space="0" w:color="000000"/>
            </w:tcBorders>
            <w:shd w:fill="E2EFD9" w:val="clear"/>
            <w:vAlign w:val="center"/>
          </w:tcPr>
          <w:p>
            <w:pPr>
              <w:pStyle w:val="Normal"/>
              <w:jc w:val="center"/>
              <w:rPr>
                <w:b/>
                <w:bCs/>
                <w:color w:val="000000"/>
                <w:sz w:val="22"/>
                <w:szCs w:val="22"/>
              </w:rPr>
            </w:pPr>
            <w:r>
              <w:rPr>
                <w:b/>
                <w:bCs/>
                <w:color w:val="000000"/>
                <w:sz w:val="22"/>
                <w:szCs w:val="22"/>
              </w:rPr>
              <w:t>2 753 100</w:t>
            </w:r>
          </w:p>
        </w:tc>
      </w:tr>
      <w:tr>
        <w:trPr>
          <w:trHeight w:val="285" w:hRule="atLeast"/>
        </w:trPr>
        <w:tc>
          <w:tcPr>
            <w:tcW w:w="5860" w:type="dxa"/>
            <w:tcBorders>
              <w:left w:val="single" w:sz="8" w:space="0" w:color="000000"/>
              <w:bottom w:val="single" w:sz="4" w:space="0" w:color="000000"/>
              <w:right w:val="single" w:sz="4" w:space="0" w:color="000000"/>
            </w:tcBorders>
            <w:shd w:fill="D63431" w:val="clear"/>
            <w:vAlign w:val="center"/>
          </w:tcPr>
          <w:p>
            <w:pPr>
              <w:pStyle w:val="Normal"/>
              <w:rPr>
                <w:b/>
                <w:bCs/>
                <w:i/>
                <w:i/>
                <w:iCs/>
                <w:color w:val="FFFFFF"/>
                <w:sz w:val="22"/>
                <w:szCs w:val="22"/>
              </w:rPr>
            </w:pPr>
            <w:r>
              <w:rPr>
                <w:b/>
                <w:bCs/>
                <w:i/>
                <w:iCs/>
                <w:color w:val="FFFFFF"/>
                <w:sz w:val="22"/>
                <w:szCs w:val="22"/>
              </w:rPr>
              <w:t>Conditions de financement des IFS</w:t>
            </w:r>
          </w:p>
        </w:tc>
        <w:tc>
          <w:tcPr>
            <w:tcW w:w="1199" w:type="dxa"/>
            <w:tcBorders>
              <w:bottom w:val="single" w:sz="4" w:space="0" w:color="000000"/>
              <w:right w:val="single" w:sz="4" w:space="0" w:color="000000"/>
            </w:tcBorders>
            <w:shd w:fill="D63431" w:val="clear"/>
            <w:vAlign w:val="bottom"/>
          </w:tcPr>
          <w:p>
            <w:pPr>
              <w:pStyle w:val="Normal"/>
              <w:rPr>
                <w:b/>
                <w:bCs/>
                <w:i/>
                <w:i/>
                <w:iCs/>
                <w:color w:val="FFFFFF"/>
                <w:sz w:val="22"/>
                <w:szCs w:val="22"/>
              </w:rPr>
            </w:pPr>
            <w:r>
              <w:rPr/>
            </w:r>
          </w:p>
        </w:tc>
        <w:tc>
          <w:tcPr>
            <w:tcW w:w="1521" w:type="dxa"/>
            <w:tcBorders>
              <w:bottom w:val="single" w:sz="4" w:space="0" w:color="000000"/>
              <w:right w:val="single" w:sz="8" w:space="0" w:color="000000"/>
            </w:tcBorders>
            <w:shd w:fill="D63431" w:val="clear"/>
            <w:vAlign w:val="bottom"/>
          </w:tcPr>
          <w:p>
            <w:pPr>
              <w:pStyle w:val="Normal"/>
              <w:rPr>
                <w:b/>
                <w:bCs/>
                <w:i/>
                <w:i/>
                <w:iCs/>
                <w:color w:val="FFFFFF"/>
                <w:sz w:val="22"/>
                <w:szCs w:val="22"/>
              </w:rPr>
            </w:pPr>
            <w:r>
              <w:rPr/>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Durée du prêt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60</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Taux d'intérêt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8%</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An</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Différé</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6</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Échéance de paiement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54</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échéances</w:t>
            </w:r>
          </w:p>
        </w:tc>
      </w:tr>
      <w:tr>
        <w:trPr>
          <w:trHeight w:val="300" w:hRule="atLeast"/>
        </w:trPr>
        <w:tc>
          <w:tcPr>
            <w:tcW w:w="5860" w:type="dxa"/>
            <w:tcBorders>
              <w:left w:val="single" w:sz="8" w:space="0" w:color="000000"/>
              <w:bottom w:val="single" w:sz="8" w:space="0" w:color="000000"/>
              <w:right w:val="single" w:sz="4" w:space="0" w:color="000000"/>
            </w:tcBorders>
            <w:shd w:fill="FFFFFF" w:val="clear"/>
            <w:vAlign w:val="center"/>
          </w:tcPr>
          <w:p>
            <w:pPr>
              <w:pStyle w:val="Normal"/>
              <w:rPr>
                <w:color w:val="000000"/>
                <w:sz w:val="22"/>
                <w:szCs w:val="22"/>
              </w:rPr>
            </w:pPr>
            <w:r>
              <w:rPr>
                <w:color w:val="000000"/>
                <w:sz w:val="22"/>
                <w:szCs w:val="22"/>
              </w:rPr>
              <w:t>TAF</w:t>
            </w:r>
          </w:p>
        </w:tc>
        <w:tc>
          <w:tcPr>
            <w:tcW w:w="1199" w:type="dxa"/>
            <w:tcBorders>
              <w:bottom w:val="single" w:sz="8"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17%</w:t>
            </w:r>
          </w:p>
        </w:tc>
        <w:tc>
          <w:tcPr>
            <w:tcW w:w="1521" w:type="dxa"/>
            <w:tcBorders>
              <w:bottom w:val="single" w:sz="8" w:space="0" w:color="000000"/>
              <w:right w:val="single" w:sz="8" w:space="0" w:color="000000"/>
            </w:tcBorders>
            <w:shd w:fill="FFFFFF" w:val="clear"/>
            <w:vAlign w:val="center"/>
          </w:tcPr>
          <w:p>
            <w:pPr>
              <w:pStyle w:val="Normal"/>
              <w:jc w:val="center"/>
              <w:rPr>
                <w:color w:val="000000"/>
                <w:sz w:val="22"/>
                <w:szCs w:val="22"/>
              </w:rPr>
            </w:pPr>
            <w:r>
              <w:rPr/>
            </w:r>
          </w:p>
        </w:tc>
      </w:tr>
    </w:tbl>
    <w:p>
      <w:pPr>
        <w:pStyle w:val="Normal"/>
        <w:jc w:val="center"/>
        <w:rPr/>
      </w:pPr>
      <w:r>
        <w:rPr/>
        <w:drawing>
          <wp:inline distT="0" distB="0" distL="0" distR="0">
            <wp:extent cx="5400040" cy="200533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2"/>
                    <a:stretch>
                      <a:fillRect/>
                    </a:stretch>
                  </pic:blipFill>
                  <pic:spPr bwMode="auto">
                    <a:xfrm>
                      <a:off x="0" y="0"/>
                      <a:ext cx="5400040" cy="2005330"/>
                    </a:xfrm>
                    <a:prstGeom prst="rect">
                      <a:avLst/>
                    </a:prstGeom>
                  </pic:spPr>
                </pic:pic>
              </a:graphicData>
            </a:graphic>
          </wp:inline>
        </w:drawing>
      </w:r>
    </w:p>
    <w:p>
      <w:pPr>
        <w:pStyle w:val="Normal"/>
        <w:jc w:val="center"/>
        <w:rPr/>
      </w:pPr>
      <w:r>
        <w:rPr>
          <w:i/>
          <w:sz w:val="18"/>
        </w:rPr>
        <w:t>Graphique 1 – Emplois et ressources du projet (millions de F CFA)</w:t>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4" w:name="__RefHeading___Toc234831723"/>
      <w:bookmarkEnd w:id="24"/>
      <w:r>
        <w:rPr>
          <w:rFonts w:cs="Times New Roman" w:ascii="Times New Roman" w:hAnsi="Times New Roman"/>
          <w:i w:val="false"/>
          <w:iCs w:val="false"/>
          <w:lang w:val="fr-CI"/>
        </w:rPr>
        <w:t>Compte d'exploitation prévisionnel</w:t>
      </w:r>
    </w:p>
    <w:tbl>
      <w:tblPr>
        <w:tblW w:w="9928" w:type="dxa"/>
        <w:jc w:val="left"/>
        <w:tblInd w:w="65" w:type="dxa"/>
        <w:tblLayout w:type="fixed"/>
        <w:tblCellMar>
          <w:top w:w="0" w:type="dxa"/>
          <w:left w:w="70" w:type="dxa"/>
          <w:bottom w:w="0" w:type="dxa"/>
          <w:right w:w="70" w:type="dxa"/>
        </w:tblCellMar>
      </w:tblPr>
      <w:tblGrid>
        <w:gridCol w:w="3124"/>
        <w:gridCol w:w="1276"/>
        <w:gridCol w:w="1416"/>
        <w:gridCol w:w="1418"/>
        <w:gridCol w:w="1418"/>
        <w:gridCol w:w="284"/>
        <w:gridCol w:w="991"/>
      </w:tblGrid>
      <w:tr>
        <w:trPr>
          <w:trHeight w:val="405" w:hRule="atLeast"/>
        </w:trPr>
        <w:tc>
          <w:tcPr>
            <w:tcW w:w="7234" w:type="dxa"/>
            <w:gridSpan w:val="4"/>
            <w:tcBorders>
              <w:top w:val="single" w:sz="4" w:space="0" w:color="000000"/>
              <w:left w:val="single" w:sz="4" w:space="0" w:color="000000"/>
              <w:bottom w:val="single" w:sz="4" w:space="0" w:color="000000"/>
            </w:tcBorders>
            <w:shd w:fill="166B7F" w:val="clear"/>
            <w:vAlign w:val="bottom"/>
          </w:tcPr>
          <w:p>
            <w:pPr>
              <w:pStyle w:val="Normal"/>
              <w:jc w:val="center"/>
              <w:rPr>
                <w:b/>
                <w:bCs/>
                <w:sz w:val="22"/>
                <w:szCs w:val="22"/>
              </w:rPr>
            </w:pPr>
            <w:r>
              <w:rPr>
                <w:b/>
                <w:bCs/>
                <w:sz w:val="22"/>
                <w:szCs w:val="22"/>
              </w:rPr>
              <w:t>COMPTE D'EXPLOITATION PREVISIONNEL (FCFA)</w:t>
            </w:r>
          </w:p>
        </w:tc>
        <w:tc>
          <w:tcPr>
            <w:tcW w:w="1702" w:type="dxa"/>
            <w:gridSpan w:val="2"/>
            <w:tcBorders>
              <w:top w:val="single" w:sz="4" w:space="0" w:color="000000"/>
              <w:bottom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991"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60" w:hRule="atLeast"/>
        </w:trPr>
        <w:tc>
          <w:tcPr>
            <w:tcW w:w="312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41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AN4</w:t>
            </w:r>
          </w:p>
        </w:tc>
        <w:tc>
          <w:tcPr>
            <w:tcW w:w="1275" w:type="dxa"/>
            <w:gridSpan w:val="2"/>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AN5</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1. Recettes prévisionnelles</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recettes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7 600 000</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7 752 000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7 907 040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8 065 181</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8 226 484</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2. Charges d'exploitation</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Achats (matières premières et autres achats)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607 500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643 950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695 466</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751 103</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811 192</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Charges de Personnel</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825 000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866 250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866 250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866 250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866 250</w:t>
            </w:r>
          </w:p>
        </w:tc>
      </w:tr>
      <w:tr>
        <w:trPr>
          <w:trHeight w:val="570"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Travaux-Fournitures et Services Extérieurs (TFSE)</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300 000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315 000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315 000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315 000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315 000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Autres charges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financiers  et charges assimilées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251 725</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202 812</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145 547</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88 283</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31 018</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Dotations aux amortissements</w:t>
            </w:r>
          </w:p>
        </w:tc>
        <w:tc>
          <w:tcPr>
            <w:tcW w:w="1276" w:type="dxa"/>
            <w:tcBorders>
              <w:bottom w:val="single" w:sz="4" w:space="0" w:color="000000"/>
              <w:right w:val="single" w:sz="4" w:space="0" w:color="000000"/>
            </w:tcBorders>
            <w:vAlign w:val="bottom"/>
          </w:tcPr>
          <w:p>
            <w:pPr>
              <w:pStyle w:val="Normal"/>
              <w:jc w:val="center"/>
              <w:rPr>
                <w:sz w:val="22"/>
                <w:szCs w:val="22"/>
              </w:rPr>
            </w:pPr>
            <w:r>
              <w:rPr>
                <w:sz w:val="22"/>
                <w:szCs w:val="22"/>
              </w:rPr>
              <w:t>966 550</w:t>
            </w:r>
          </w:p>
        </w:tc>
        <w:tc>
          <w:tcPr>
            <w:tcW w:w="1416" w:type="dxa"/>
            <w:tcBorders>
              <w:bottom w:val="single" w:sz="4" w:space="0" w:color="000000"/>
              <w:right w:val="single" w:sz="4" w:space="0" w:color="000000"/>
            </w:tcBorders>
            <w:vAlign w:val="bottom"/>
          </w:tcPr>
          <w:p>
            <w:pPr>
              <w:pStyle w:val="Normal"/>
              <w:jc w:val="center"/>
              <w:rPr>
                <w:sz w:val="22"/>
                <w:szCs w:val="22"/>
              </w:rPr>
            </w:pPr>
            <w:r>
              <w:rPr>
                <w:sz w:val="22"/>
                <w:szCs w:val="22"/>
              </w:rPr>
              <w:t>416 550</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416 550</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416 550</w:t>
            </w:r>
          </w:p>
        </w:tc>
        <w:tc>
          <w:tcPr>
            <w:tcW w:w="1275" w:type="dxa"/>
            <w:gridSpan w:val="2"/>
            <w:tcBorders>
              <w:bottom w:val="single" w:sz="4" w:space="0" w:color="000000"/>
              <w:right w:val="single" w:sz="4" w:space="0" w:color="000000"/>
            </w:tcBorders>
            <w:vAlign w:val="bottom"/>
          </w:tcPr>
          <w:p>
            <w:pPr>
              <w:pStyle w:val="Normal"/>
              <w:jc w:val="center"/>
              <w:rPr>
                <w:sz w:val="22"/>
                <w:szCs w:val="22"/>
              </w:rPr>
            </w:pPr>
            <w:r>
              <w:rPr>
                <w:sz w:val="22"/>
                <w:szCs w:val="22"/>
              </w:rPr>
              <w:t>42 800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charges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2 950 775</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2 444 562</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2 438 813</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2 437 186</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2 066 260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bruts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4 649 225</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5 307 438</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5 468 227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5 627 995</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6 160 225</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BIC</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Impôts et taxes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74 250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77 962</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77 962</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77 962</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77 962</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nets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4 574 975</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5 229 476</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5 390 264</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5 550 032</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6 082 262</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CAF</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5 541 525</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5 646 026</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5 806 814</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5 966 582</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6 125 062</w:t>
            </w:r>
          </w:p>
        </w:tc>
      </w:tr>
      <w:tr>
        <w:trPr>
          <w:trHeight w:val="360" w:hRule="atLeast"/>
        </w:trPr>
        <w:tc>
          <w:tcPr>
            <w:tcW w:w="3124" w:type="dxa"/>
            <w:tcBorders>
              <w:left w:val="single" w:sz="4" w:space="0" w:color="000000"/>
              <w:bottom w:val="single" w:sz="4" w:space="0" w:color="000000"/>
              <w:right w:val="single" w:sz="4" w:space="0" w:color="000000"/>
            </w:tcBorders>
            <w:shd w:fill="00CCFF" w:val="clear"/>
            <w:vAlign w:val="bottom"/>
          </w:tcPr>
          <w:p>
            <w:pPr>
              <w:pStyle w:val="Normal"/>
              <w:jc w:val="center"/>
              <w:rPr>
                <w:b/>
                <w:bCs/>
                <w:sz w:val="22"/>
                <w:szCs w:val="22"/>
              </w:rPr>
            </w:pPr>
            <w:r>
              <w:rPr>
                <w:b/>
                <w:bCs/>
                <w:sz w:val="22"/>
                <w:szCs w:val="22"/>
              </w:rPr>
              <w:t>CAF CUMULEE</w:t>
            </w:r>
          </w:p>
        </w:tc>
        <w:tc>
          <w:tcPr>
            <w:tcW w:w="127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5 541 525</w:t>
            </w:r>
          </w:p>
        </w:tc>
        <w:tc>
          <w:tcPr>
            <w:tcW w:w="141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11 187 551</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16 994 365</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22 960 947</w:t>
            </w:r>
          </w:p>
        </w:tc>
        <w:tc>
          <w:tcPr>
            <w:tcW w:w="1275" w:type="dxa"/>
            <w:gridSpan w:val="2"/>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29 086 009</w:t>
            </w:r>
          </w:p>
        </w:tc>
      </w:tr>
    </w:tbl>
    <w:p>
      <w:pPr>
        <w:pStyle w:val="Normal"/>
        <w:jc w:val="center"/>
        <w:rPr/>
      </w:pPr>
      <w:r>
        <w:rPr/>
        <w:drawing>
          <wp:inline distT="0" distB="0" distL="0" distR="0">
            <wp:extent cx="5400040" cy="262318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3"/>
                    <a:stretch>
                      <a:fillRect/>
                    </a:stretch>
                  </pic:blipFill>
                  <pic:spPr bwMode="auto">
                    <a:xfrm>
                      <a:off x="0" y="0"/>
                      <a:ext cx="5400040" cy="2623185"/>
                    </a:xfrm>
                    <a:prstGeom prst="rect">
                      <a:avLst/>
                    </a:prstGeom>
                  </pic:spPr>
                </pic:pic>
              </a:graphicData>
            </a:graphic>
          </wp:inline>
        </w:drawing>
      </w:r>
    </w:p>
    <w:p>
      <w:pPr>
        <w:pStyle w:val="Normal"/>
        <w:jc w:val="center"/>
        <w:rPr/>
      </w:pPr>
      <w:r>
        <w:rPr>
          <w:i/>
          <w:sz w:val="18"/>
        </w:rPr>
        <w:t>Graphique 2 – Chiffre d'affaires et résultat net sur 5 ans (millions de F CFA)</w:t>
      </w:r>
    </w:p>
    <w:p>
      <w:pPr>
        <w:pStyle w:val="Normal"/>
        <w:jc w:val="center"/>
        <w:rPr>
          <w:sz w:val="22"/>
          <w:szCs w:val="22"/>
          <w:lang w:val="fr-CI"/>
        </w:rPr>
      </w:pPr>
      <w:r>
        <w:rPr>
          <w:sz w:val="22"/>
          <w:szCs w:val="22"/>
          <w:lang w:val="fr-CI"/>
        </w:rPr>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5" w:name="__RefHeading___Toc234831724"/>
      <w:bookmarkEnd w:id="25"/>
      <w:r>
        <w:rPr>
          <w:rFonts w:cs="Times New Roman" w:ascii="Times New Roman" w:hAnsi="Times New Roman"/>
          <w:i w:val="false"/>
          <w:iCs w:val="false"/>
          <w:lang w:val="fr-CI"/>
        </w:rPr>
        <w:t>Tableau de financement annuel</w:t>
      </w:r>
    </w:p>
    <w:tbl>
      <w:tblPr>
        <w:tblW w:w="10070" w:type="dxa"/>
        <w:jc w:val="left"/>
        <w:tblInd w:w="65" w:type="dxa"/>
        <w:tblLayout w:type="fixed"/>
        <w:tblCellMar>
          <w:top w:w="0" w:type="dxa"/>
          <w:left w:w="70" w:type="dxa"/>
          <w:bottom w:w="0" w:type="dxa"/>
          <w:right w:w="70" w:type="dxa"/>
        </w:tblCellMar>
      </w:tblPr>
      <w:tblGrid>
        <w:gridCol w:w="2556"/>
        <w:gridCol w:w="1276"/>
        <w:gridCol w:w="1134"/>
        <w:gridCol w:w="1135"/>
        <w:gridCol w:w="1275"/>
        <w:gridCol w:w="142"/>
        <w:gridCol w:w="1276"/>
        <w:gridCol w:w="1275"/>
      </w:tblGrid>
      <w:tr>
        <w:trPr>
          <w:trHeight w:val="405" w:hRule="atLeast"/>
        </w:trPr>
        <w:tc>
          <w:tcPr>
            <w:tcW w:w="3832" w:type="dxa"/>
            <w:gridSpan w:val="2"/>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COMPTE DE TRESORERIE  (FCFA)</w:t>
            </w:r>
          </w:p>
        </w:tc>
        <w:tc>
          <w:tcPr>
            <w:tcW w:w="1134"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135"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417" w:type="dxa"/>
            <w:gridSpan w:val="2"/>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276" w:type="dxa"/>
            <w:tcBorders>
              <w:top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
          </w:p>
        </w:tc>
        <w:tc>
          <w:tcPr>
            <w:tcW w:w="1275" w:type="dxa"/>
            <w:tcBorders>
              <w:top w:val="single" w:sz="4" w:space="0" w:color="000000"/>
              <w:bottom w:val="single" w:sz="4" w:space="0" w:color="000000"/>
            </w:tcBorders>
            <w:shd w:fill="166B7F" w:val="clear"/>
            <w:vAlign w:val="bottom"/>
          </w:tcPr>
          <w:p>
            <w:pPr>
              <w:pStyle w:val="Normal"/>
              <w:rPr>
                <w:rFonts w:ascii="Cambria" w:hAnsi="Cambria" w:cs="Calibri"/>
                <w:b/>
                <w:bCs/>
                <w:color w:val="FFFFFF"/>
                <w:sz w:val="32"/>
                <w:szCs w:val="32"/>
              </w:rPr>
            </w:pPr>
            <w:r>
              <w:rPr/>
            </w:r>
          </w:p>
        </w:tc>
      </w:tr>
      <w:tr>
        <w:trPr>
          <w:trHeight w:val="375" w:hRule="atLeast"/>
        </w:trPr>
        <w:tc>
          <w:tcPr>
            <w:tcW w:w="255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27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134" w:type="dxa"/>
            <w:tcBorders/>
            <w:vAlign w:val="bottom"/>
          </w:tcPr>
          <w:p>
            <w:pPr>
              <w:pStyle w:val="Normal"/>
              <w:snapToGrid w:val="false"/>
              <w:rPr>
                <w:b/>
                <w:bCs/>
                <w:color w:val="000000"/>
                <w:sz w:val="22"/>
                <w:szCs w:val="22"/>
              </w:rPr>
            </w:pPr>
            <w:r>
              <w:rPr>
                <w:b/>
                <w:bCs/>
                <w:color w:val="000000"/>
                <w:sz w:val="22"/>
                <w:szCs w:val="22"/>
              </w:rPr>
            </w:r>
          </w:p>
        </w:tc>
        <w:tc>
          <w:tcPr>
            <w:tcW w:w="1135" w:type="dxa"/>
            <w:tcBorders/>
            <w:vAlign w:val="bottom"/>
          </w:tcPr>
          <w:p>
            <w:pPr>
              <w:pStyle w:val="Normal"/>
              <w:snapToGrid w:val="false"/>
              <w:rPr>
                <w:b/>
                <w:bCs/>
                <w:color w:val="000000"/>
                <w:sz w:val="22"/>
                <w:szCs w:val="22"/>
              </w:rPr>
            </w:pPr>
            <w:r>
              <w:rPr>
                <w:b/>
                <w:bCs/>
                <w:color w:val="000000"/>
                <w:sz w:val="22"/>
                <w:szCs w:val="22"/>
              </w:rPr>
            </w:r>
          </w:p>
        </w:tc>
        <w:tc>
          <w:tcPr>
            <w:tcW w:w="1417" w:type="dxa"/>
            <w:gridSpan w:val="2"/>
            <w:tcBorders/>
            <w:vAlign w:val="bottom"/>
          </w:tcPr>
          <w:p>
            <w:pPr>
              <w:pStyle w:val="Normal"/>
              <w:snapToGrid w:val="false"/>
              <w:rPr>
                <w:color w:val="000000"/>
                <w:sz w:val="22"/>
                <w:szCs w:val="22"/>
              </w:rPr>
            </w:pPr>
            <w:r>
              <w:rPr>
                <w:color w:val="000000"/>
                <w:sz w:val="22"/>
                <w:szCs w:val="22"/>
              </w:rPr>
            </w:r>
          </w:p>
        </w:tc>
        <w:tc>
          <w:tcPr>
            <w:tcW w:w="1276"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r>
      <w:tr>
        <w:trPr>
          <w:trHeight w:val="360"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AN0</w:t>
            </w:r>
          </w:p>
        </w:tc>
        <w:tc>
          <w:tcPr>
            <w:tcW w:w="1134"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13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gridSpan w:val="2"/>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AN4</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AN5</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SOURCES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personnel</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305 900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Crédit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2 753 100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Dotation aux Amortissements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966 550</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416 550</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416 550</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416 550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42 800</w:t>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Résultats nets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4 574 975</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5 229 476</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5 390 264</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5 550 032</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6 082 262</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RESSOURCES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3 059 000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5 541 525</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5 646 026</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5 806 814</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5 966 582</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6 125 062</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EMPLOIS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d'établissements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550 000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d'investissement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1 709 000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BFR</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800 000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Remboursement de CREDIT MOYEN TERME</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305 900</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611 800</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611 800</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611 800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611 800</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EMPLOIS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3 059 000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305 900</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611 800</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611 800</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611 800</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611 800</w:t>
            </w:r>
          </w:p>
        </w:tc>
      </w:tr>
      <w:tr>
        <w:trPr>
          <w:trHeight w:val="300" w:hRule="atLeast"/>
        </w:trPr>
        <w:tc>
          <w:tcPr>
            <w:tcW w:w="2556" w:type="dxa"/>
            <w:tcBorders/>
            <w:vAlign w:val="bottom"/>
          </w:tcPr>
          <w:p>
            <w:pPr>
              <w:pStyle w:val="Normal"/>
              <w:snapToGrid w:val="false"/>
              <w:rPr>
                <w:rFonts w:ascii="Cambria" w:hAnsi="Cambria" w:cs="Calibri"/>
                <w:b/>
                <w:bCs/>
                <w:i/>
                <w:i/>
                <w:iCs/>
                <w:color w:val="000000"/>
                <w:sz w:val="22"/>
                <w:szCs w:val="22"/>
              </w:rPr>
            </w:pPr>
            <w:r>
              <w:rPr>
                <w:rFonts w:cs="Calibri" w:ascii="Cambria" w:hAnsi="Cambria"/>
                <w:b/>
                <w:bCs/>
                <w:i/>
                <w:iCs/>
                <w:color w:val="000000"/>
                <w:sz w:val="22"/>
                <w:szCs w:val="22"/>
              </w:rPr>
            </w:r>
          </w:p>
        </w:tc>
        <w:tc>
          <w:tcPr>
            <w:tcW w:w="1276" w:type="dxa"/>
            <w:tcBorders/>
            <w:vAlign w:val="bottom"/>
          </w:tcPr>
          <w:p>
            <w:pPr>
              <w:pStyle w:val="Normal"/>
              <w:snapToGrid w:val="false"/>
              <w:jc w:val="center"/>
              <w:rPr>
                <w:rFonts w:ascii="Cambria" w:hAnsi="Cambria" w:cs="Calibri"/>
                <w:b/>
                <w:bCs/>
                <w:i/>
                <w:i/>
                <w:iCs/>
                <w:color w:val="000000"/>
                <w:sz w:val="22"/>
                <w:szCs w:val="22"/>
              </w:rPr>
            </w:pPr>
            <w:r>
              <w:rPr>
                <w:rFonts w:cs="Calibri" w:ascii="Cambria" w:hAnsi="Cambria"/>
                <w:b/>
                <w:bCs/>
                <w:i/>
                <w:iCs/>
                <w:color w:val="000000"/>
                <w:sz w:val="22"/>
                <w:szCs w:val="22"/>
              </w:rPr>
            </w:r>
          </w:p>
        </w:tc>
        <w:tc>
          <w:tcPr>
            <w:tcW w:w="1134" w:type="dxa"/>
            <w:tcBorders/>
            <w:vAlign w:val="bottom"/>
          </w:tcPr>
          <w:p>
            <w:pPr>
              <w:pStyle w:val="Normal"/>
              <w:snapToGrid w:val="false"/>
              <w:jc w:val="center"/>
              <w:rPr>
                <w:color w:val="000000"/>
                <w:sz w:val="22"/>
                <w:szCs w:val="22"/>
              </w:rPr>
            </w:pPr>
            <w:r>
              <w:rPr>
                <w:color w:val="000000"/>
                <w:sz w:val="22"/>
                <w:szCs w:val="22"/>
              </w:rPr>
            </w:r>
          </w:p>
        </w:tc>
        <w:tc>
          <w:tcPr>
            <w:tcW w:w="1135" w:type="dxa"/>
            <w:tcBorders/>
            <w:vAlign w:val="bottom"/>
          </w:tcPr>
          <w:p>
            <w:pPr>
              <w:pStyle w:val="Normal"/>
              <w:snapToGrid w:val="false"/>
              <w:jc w:val="center"/>
              <w:rPr>
                <w:color w:val="000000"/>
                <w:sz w:val="22"/>
                <w:szCs w:val="22"/>
              </w:rPr>
            </w:pPr>
            <w:r>
              <w:rPr>
                <w:color w:val="000000"/>
                <w:sz w:val="22"/>
                <w:szCs w:val="22"/>
              </w:rPr>
            </w:r>
          </w:p>
        </w:tc>
        <w:tc>
          <w:tcPr>
            <w:tcW w:w="1275" w:type="dxa"/>
            <w:tcBorders/>
            <w:vAlign w:val="bottom"/>
          </w:tcPr>
          <w:p>
            <w:pPr>
              <w:pStyle w:val="Normal"/>
              <w:snapToGrid w:val="false"/>
              <w:jc w:val="center"/>
              <w:rPr>
                <w:color w:val="000000"/>
                <w:sz w:val="22"/>
                <w:szCs w:val="22"/>
              </w:rPr>
            </w:pPr>
            <w:r>
              <w:rPr>
                <w:color w:val="000000"/>
                <w:sz w:val="22"/>
                <w:szCs w:val="22"/>
              </w:rPr>
            </w:r>
          </w:p>
        </w:tc>
        <w:tc>
          <w:tcPr>
            <w:tcW w:w="1418" w:type="dxa"/>
            <w:gridSpan w:val="2"/>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r>
      <w:tr>
        <w:trPr>
          <w:trHeight w:val="315"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DEGAGEE</w:t>
            </w:r>
          </w:p>
        </w:tc>
        <w:tc>
          <w:tcPr>
            <w:tcW w:w="1276"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5 235 625</w:t>
            </w:r>
          </w:p>
        </w:tc>
        <w:tc>
          <w:tcPr>
            <w:tcW w:w="113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5 034 226</w:t>
            </w:r>
          </w:p>
        </w:tc>
        <w:tc>
          <w:tcPr>
            <w:tcW w:w="127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5 195 014</w:t>
            </w:r>
          </w:p>
        </w:tc>
        <w:tc>
          <w:tcPr>
            <w:tcW w:w="1418" w:type="dxa"/>
            <w:gridSpan w:val="2"/>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5 354 782</w:t>
            </w:r>
          </w:p>
        </w:tc>
        <w:tc>
          <w:tcPr>
            <w:tcW w:w="1275"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i/>
                <w:color w:val="FFFFFF"/>
                <w:sz w:val="22"/>
              </w:rPr>
              <w:t>5 513 262</w:t>
            </w:r>
          </w:p>
        </w:tc>
      </w:tr>
      <w:tr>
        <w:trPr>
          <w:trHeight w:val="315" w:hRule="atLeast"/>
        </w:trPr>
        <w:tc>
          <w:tcPr>
            <w:tcW w:w="2556"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CUMULEE</w:t>
            </w:r>
          </w:p>
        </w:tc>
        <w:tc>
          <w:tcPr>
            <w:tcW w:w="1276"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5 235 625</w:t>
            </w:r>
          </w:p>
        </w:tc>
        <w:tc>
          <w:tcPr>
            <w:tcW w:w="113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10 269 851</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15 464 865</w:t>
            </w:r>
          </w:p>
        </w:tc>
        <w:tc>
          <w:tcPr>
            <w:tcW w:w="1418" w:type="dxa"/>
            <w:gridSpan w:val="2"/>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20 819 647</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26 332 909</w:t>
            </w:r>
          </w:p>
        </w:tc>
      </w:tr>
    </w:tbl>
    <w:p>
      <w:pPr>
        <w:pStyle w:val="Normal"/>
        <w:jc w:val="center"/>
        <w:rPr/>
      </w:pPr>
      <w:r>
        <w:rPr/>
        <w:drawing>
          <wp:inline distT="0" distB="0" distL="0" distR="0">
            <wp:extent cx="5400040" cy="246824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4"/>
                    <a:stretch>
                      <a:fillRect/>
                    </a:stretch>
                  </pic:blipFill>
                  <pic:spPr bwMode="auto">
                    <a:xfrm>
                      <a:off x="0" y="0"/>
                      <a:ext cx="5400040" cy="2468245"/>
                    </a:xfrm>
                    <a:prstGeom prst="rect">
                      <a:avLst/>
                    </a:prstGeom>
                  </pic:spPr>
                </pic:pic>
              </a:graphicData>
            </a:graphic>
          </wp:inline>
        </w:drawing>
      </w:r>
    </w:p>
    <w:p>
      <w:pPr>
        <w:pStyle w:val="Normal"/>
        <w:jc w:val="center"/>
        <w:rPr/>
      </w:pPr>
      <w:r>
        <w:rPr>
          <w:i/>
          <w:sz w:val="18"/>
        </w:rPr>
        <w:t>Graphique 3 – Trésorerie cumulée sur 5 ans (millions de F CFA)</w:t>
      </w:r>
    </w:p>
    <w:p>
      <w:pPr>
        <w:pStyle w:val="Normal"/>
        <w:rPr>
          <w:lang w:val="fr-CI"/>
        </w:rPr>
      </w:pPr>
      <w:r>
        <w:rPr>
          <w:lang w:val="fr-CI"/>
        </w:rPr>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6" w:name="__RefHeading___Toc234831725"/>
      <w:bookmarkEnd w:id="26"/>
      <w:r>
        <w:rPr>
          <w:rFonts w:cs="Times New Roman" w:ascii="Times New Roman" w:hAnsi="Times New Roman"/>
          <w:i w:val="false"/>
          <w:iCs w:val="false"/>
          <w:lang w:val="fr-CI"/>
        </w:rPr>
        <w:t>Bilan de départ</w:t>
      </w:r>
    </w:p>
    <w:tbl>
      <w:tblPr>
        <w:tblW w:w="16240" w:type="dxa"/>
        <w:jc w:val="left"/>
        <w:tblInd w:w="65" w:type="dxa"/>
        <w:tblLayout w:type="fixed"/>
        <w:tblCellMar>
          <w:top w:w="0" w:type="dxa"/>
          <w:left w:w="70" w:type="dxa"/>
          <w:bottom w:w="0" w:type="dxa"/>
          <w:right w:w="70" w:type="dxa"/>
        </w:tblCellMar>
      </w:tblPr>
      <w:tblGrid>
        <w:gridCol w:w="9860"/>
        <w:gridCol w:w="1559"/>
        <w:gridCol w:w="3403"/>
        <w:gridCol w:w="1417"/>
      </w:tblGrid>
      <w:tr>
        <w:trPr>
          <w:trHeight w:val="300" w:hRule="atLeast"/>
        </w:trPr>
        <w:tc>
          <w:tcPr>
            <w:tcW w:w="9860" w:type="dxa"/>
            <w:tcBorders/>
            <w:shd w:fill="FFFFFF" w:val="clear"/>
            <w:vAlign w:val="bottom"/>
          </w:tcPr>
          <w:tbl>
            <w:tblPr>
              <w:tblW w:w="9711" w:type="dxa"/>
              <w:jc w:val="left"/>
              <w:tblInd w:w="225" w:type="dxa"/>
              <w:tblLayout w:type="fixed"/>
              <w:tblCellMar>
                <w:top w:w="0" w:type="dxa"/>
                <w:left w:w="70" w:type="dxa"/>
                <w:bottom w:w="0" w:type="dxa"/>
                <w:right w:w="70" w:type="dxa"/>
              </w:tblCellMar>
            </w:tblPr>
            <w:tblGrid>
              <w:gridCol w:w="3540"/>
              <w:gridCol w:w="1560"/>
              <w:gridCol w:w="3260"/>
              <w:gridCol w:w="1350"/>
            </w:tblGrid>
            <w:tr>
              <w:trPr>
                <w:trHeight w:val="360" w:hRule="atLeast"/>
              </w:trPr>
              <w:tc>
                <w:tcPr>
                  <w:tcW w:w="9710" w:type="dxa"/>
                  <w:gridSpan w:val="4"/>
                  <w:tcBorders>
                    <w:top w:val="single" w:sz="4" w:space="0" w:color="000000"/>
                    <w:left w:val="single" w:sz="4" w:space="0" w:color="000000"/>
                    <w:bottom w:val="single" w:sz="4" w:space="0" w:color="000000"/>
                  </w:tcBorders>
                  <w:shd w:fill="7F1F1F" w:val="clear"/>
                  <w:vAlign w:val="bottom"/>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BILAN DE DEMARRAGE TOUT TYPE PROJET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ACTIF</w:t>
                  </w:r>
                </w:p>
              </w:tc>
              <w:tc>
                <w:tcPr>
                  <w:tcW w:w="15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c>
                <w:tcPr>
                  <w:tcW w:w="32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PASSIF</w:t>
                  </w:r>
                </w:p>
              </w:tc>
              <w:tc>
                <w:tcPr>
                  <w:tcW w:w="135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r>
            <w:tr>
              <w:trPr>
                <w:trHeight w:val="540"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IMMOBILISE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incorporelles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(a)+(b)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305 900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Nature (a)</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Espèces (b)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305 900</w:t>
                  </w:r>
                </w:p>
              </w:tc>
            </w:tr>
            <w:tr>
              <w:trPr>
                <w:trHeight w:val="349"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Autres frais d’établissement</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550 000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Résultat net de l'exercice (bénéfice + ou perte -)</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Autres capitaux propres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Préparation et aménagement de la parcelle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CAPITAUX PROPRES (I)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305 900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Pompe de surface et accessoires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400 000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DETTES FINANCIERES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Réservoir d’eau</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Emprunts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2 753 100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Plastique pour le paillage (150 m²)</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de crédit-bail et contrats assimilés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Système d’irrigation goutte-à-goutte (tuyaux, bouchons, coudes, injecteur, vannes, filtre, gaine)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465 000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financières diverses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Brouette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60 000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DETTES FINANCIERES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2 753 100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Arrosoirs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9 000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RESSOURCES STABLES ( I +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3 059 000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Houes / daba / pelles (1 lot)</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25 000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Caisses de récolte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Balance, pulvérisateur et séchoirs artisanaux</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90 000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IMMOBILISE (I)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2 259 000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CIRCULANT</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PASSIF CIRCULANT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Stocks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Matières premières et autres approvisionnements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151 875</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En-cours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Créances et emplois assimilés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PASSIF CIRCULANT (III)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Clients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TRESORERIE – PASSIF</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CIRCULANT (II)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151 875</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PASSIF (IV)</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TRESORERIE - ACTIF</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Banques, caisse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rPr>
                    <w:t>648 125</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ACTIF (III)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648 125</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420" w:hRule="atLeast"/>
              </w:trPr>
              <w:tc>
                <w:tcPr>
                  <w:tcW w:w="3540" w:type="dxa"/>
                  <w:tcBorders>
                    <w:top w:val="single" w:sz="4" w:space="0" w:color="000000"/>
                    <w:left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w:t>
                  </w:r>
                </w:p>
              </w:tc>
              <w:tc>
                <w:tcPr>
                  <w:tcW w:w="156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3 059 000</w:t>
                  </w:r>
                </w:p>
              </w:tc>
              <w:tc>
                <w:tcPr>
                  <w:tcW w:w="3260" w:type="dxa"/>
                  <w:tcBorders>
                    <w:top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I+II+III+IV )</w:t>
                  </w:r>
                </w:p>
              </w:tc>
              <w:tc>
                <w:tcPr>
                  <w:tcW w:w="135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3 059 000</w:t>
                  </w:r>
                </w:p>
              </w:tc>
            </w:tr>
            <w:tr>
              <w:trPr>
                <w:trHeight w:val="390" w:hRule="atLeast"/>
              </w:trPr>
              <w:tc>
                <w:tcPr>
                  <w:tcW w:w="354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156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3260" w:type="dxa"/>
                  <w:tcBorders/>
                  <w:shd w:fill="D9E2F3" w:val="clear"/>
                  <w:vAlign w:val="bottom"/>
                </w:tcPr>
                <w:p>
                  <w:pPr>
                    <w:pStyle w:val="Normal"/>
                    <w:snapToGrid w:val="false"/>
                    <w:jc w:val="center"/>
                    <w:rPr>
                      <w:color w:val="000000"/>
                      <w:sz w:val="22"/>
                      <w:szCs w:val="22"/>
                    </w:rPr>
                  </w:pPr>
                  <w:r>
                    <w:rPr>
                      <w:color w:val="000000"/>
                      <w:sz w:val="22"/>
                      <w:szCs w:val="22"/>
                    </w:rPr>
                  </w:r>
                </w:p>
              </w:tc>
              <w:tc>
                <w:tcPr>
                  <w:tcW w:w="1350" w:type="dxa"/>
                  <w:tcBorders/>
                  <w:shd w:fill="D9E2F3" w:val="clear"/>
                  <w:vAlign w:val="bottom"/>
                </w:tcPr>
                <w:p>
                  <w:pPr>
                    <w:pStyle w:val="Normal"/>
                    <w:snapToGrid w:val="false"/>
                    <w:jc w:val="center"/>
                    <w:rPr>
                      <w:color w:val="000000"/>
                      <w:sz w:val="22"/>
                      <w:szCs w:val="22"/>
                    </w:rPr>
                  </w:pPr>
                  <w:r>
                    <w:rPr>
                      <w:color w:val="000000"/>
                      <w:sz w:val="22"/>
                      <w:szCs w:val="22"/>
                    </w:rPr>
                  </w:r>
                </w:p>
              </w:tc>
            </w:tr>
          </w:tbl>
          <w:p>
            <w:pPr>
              <w:pStyle w:val="Normal"/>
              <w:rPr>
                <w:rFonts w:ascii="Cambria" w:hAnsi="Cambria" w:cs="Calibri"/>
                <w:color w:val="000000"/>
                <w:sz w:val="22"/>
                <w:szCs w:val="22"/>
              </w:rPr>
            </w:pPr>
            <w:r>
              <w:rPr/>
            </w:r>
          </w:p>
        </w:tc>
        <w:tc>
          <w:tcPr>
            <w:tcW w:w="1559" w:type="dxa"/>
            <w:tcBorders/>
            <w:shd w:fill="FFFFFF" w:val="clear"/>
            <w:vAlign w:val="bottom"/>
          </w:tcPr>
          <w:p>
            <w:pPr>
              <w:pStyle w:val="Normal"/>
              <w:rPr>
                <w:rFonts w:ascii="Cambria" w:hAnsi="Cambria" w:cs="Calibri"/>
                <w:color w:val="000000"/>
                <w:sz w:val="22"/>
                <w:szCs w:val="22"/>
              </w:rPr>
            </w:pPr>
            <w:r>
              <w:rPr/>
            </w:r>
          </w:p>
        </w:tc>
        <w:tc>
          <w:tcPr>
            <w:tcW w:w="3403" w:type="dxa"/>
            <w:tcBorders/>
            <w:shd w:fill="FFFFFF" w:val="clear"/>
            <w:vAlign w:val="bottom"/>
          </w:tcPr>
          <w:p>
            <w:pPr>
              <w:pStyle w:val="Normal"/>
              <w:rPr>
                <w:rFonts w:ascii="Cambria" w:hAnsi="Cambria" w:cs="Calibri"/>
                <w:color w:val="000000"/>
                <w:sz w:val="22"/>
                <w:szCs w:val="22"/>
              </w:rPr>
            </w:pPr>
            <w:r>
              <w:rPr/>
            </w:r>
          </w:p>
        </w:tc>
        <w:tc>
          <w:tcPr>
            <w:tcW w:w="1417" w:type="dxa"/>
            <w:tcBorders/>
            <w:shd w:fill="FFFFFF" w:val="clear"/>
            <w:vAlign w:val="bottom"/>
          </w:tcPr>
          <w:p>
            <w:pPr>
              <w:pStyle w:val="Normal"/>
              <w:rPr>
                <w:rFonts w:ascii="Cambria" w:hAnsi="Cambria" w:cs="Calibri"/>
                <w:color w:val="000000"/>
                <w:sz w:val="22"/>
                <w:szCs w:val="22"/>
              </w:rPr>
            </w:pPr>
            <w:r>
              <w:rPr/>
            </w:r>
          </w:p>
        </w:tc>
      </w:tr>
    </w:tbl>
    <w:p>
      <w:pPr>
        <w:pStyle w:val="Normal"/>
        <w:jc w:val="center"/>
        <w:rPr>
          <w:sz w:val="22"/>
          <w:szCs w:val="22"/>
          <w:lang w:val="fr-CI"/>
        </w:rPr>
      </w:pPr>
      <w:r>
        <w:rPr>
          <w:sz w:val="22"/>
          <w:szCs w:val="22"/>
          <w:lang w:val="fr-CI"/>
        </w:rPr>
      </w:r>
    </w:p>
    <w:p>
      <w:pPr>
        <w:pStyle w:val="Normal"/>
        <w:jc w:val="both"/>
        <w:rPr>
          <w:iCs/>
          <w:sz w:val="22"/>
          <w:szCs w:val="22"/>
        </w:rPr>
      </w:pPr>
      <w:r>
        <w:rPr>
          <w:iCs/>
          <w:sz w:val="22"/>
          <w:szCs w:val="22"/>
        </w:rPr>
        <w:t xml:space="preserve">Ce bilan de départ montre la situation de démarrage de l’entreprise ainsi que l’allocation des ressources provenant du financement du projet qui est de </w:t>
      </w:r>
      <w:r>
        <w:rPr>
          <w:b/>
          <w:bCs/>
          <w:iCs/>
          <w:sz w:val="22"/>
          <w:szCs w:val="22"/>
          <w:lang w:eastAsia="fr-CA"/>
        </w:rPr>
        <w:t>3 059 000</w:t>
      </w:r>
      <w:r>
        <w:rPr>
          <w:iCs/>
          <w:sz w:val="22"/>
          <w:szCs w:val="22"/>
        </w:rPr>
        <w:t xml:space="preserve"> FCFA.  </w:t>
      </w:r>
    </w:p>
    <w:p>
      <w:pPr>
        <w:pStyle w:val="Normal"/>
        <w:jc w:val="both"/>
        <w:rPr>
          <w:iCs/>
          <w:sz w:val="22"/>
          <w:szCs w:val="22"/>
        </w:rPr>
      </w:pPr>
      <w:r>
        <w:rPr>
          <w:iCs/>
          <w:sz w:val="22"/>
          <w:szCs w:val="22"/>
        </w:rPr>
      </w:r>
    </w:p>
    <w:p>
      <w:pPr>
        <w:pStyle w:val="Heading2"/>
        <w:keepLines/>
        <w:numPr>
          <w:ilvl w:val="1"/>
          <w:numId w:val="3"/>
        </w:numPr>
        <w:spacing w:before="0" w:after="120"/>
        <w:ind w:hanging="491" w:left="851" w:right="0"/>
        <w:jc w:val="both"/>
        <w:rPr>
          <w:rFonts w:ascii="Times New Roman" w:hAnsi="Times New Roman" w:cs="Times New Roman"/>
          <w:i w:val="false"/>
          <w:i w:val="false"/>
          <w:iCs w:val="false"/>
          <w:lang w:val="fr-CI"/>
        </w:rPr>
      </w:pPr>
      <w:bookmarkStart w:id="27" w:name="__RefHeading___Toc234831726"/>
      <w:bookmarkEnd w:id="27"/>
      <w:r>
        <w:rPr>
          <w:rFonts w:cs="Times New Roman" w:ascii="Times New Roman" w:hAnsi="Times New Roman"/>
          <w:i w:val="false"/>
          <w:iCs w:val="false"/>
          <w:lang w:val="fr-CI"/>
        </w:rPr>
        <w:t>Calcul de rentabilité</w:t>
      </w:r>
    </w:p>
    <w:tbl>
      <w:tblPr>
        <w:tblW w:w="9923" w:type="dxa"/>
        <w:jc w:val="left"/>
        <w:tblInd w:w="70" w:type="dxa"/>
        <w:tblLayout w:type="fixed"/>
        <w:tblCellMar>
          <w:top w:w="0" w:type="dxa"/>
          <w:left w:w="70" w:type="dxa"/>
          <w:bottom w:w="0" w:type="dxa"/>
          <w:right w:w="70" w:type="dxa"/>
        </w:tblCellMar>
      </w:tblPr>
      <w:tblGrid>
        <w:gridCol w:w="3544"/>
        <w:gridCol w:w="284"/>
        <w:gridCol w:w="2552"/>
        <w:gridCol w:w="142"/>
        <w:gridCol w:w="1559"/>
        <w:gridCol w:w="142"/>
        <w:gridCol w:w="1419"/>
        <w:gridCol w:w="280"/>
      </w:tblGrid>
      <w:tr>
        <w:trPr>
          <w:trHeight w:val="405" w:hRule="atLeast"/>
        </w:trPr>
        <w:tc>
          <w:tcPr>
            <w:tcW w:w="9642" w:type="dxa"/>
            <w:gridSpan w:val="7"/>
            <w:tcBorders/>
            <w:shd w:fill="166B7F" w:val="clear"/>
            <w:vAlign w:val="bottom"/>
          </w:tcPr>
          <w:p>
            <w:pPr>
              <w:pStyle w:val="Normal"/>
              <w:rPr>
                <w:rFonts w:ascii="Cambria" w:hAnsi="Cambria" w:cs="Calibri"/>
                <w:b/>
                <w:bCs/>
                <w:color w:val="FFFFFF"/>
                <w:sz w:val="32"/>
                <w:szCs w:val="32"/>
              </w:rPr>
            </w:pPr>
            <w:r>
              <w:rPr>
                <w:rFonts w:cs="Calibri" w:ascii="Cambria" w:hAnsi="Cambria"/>
                <w:b/>
                <w:bCs/>
                <w:color w:val="FFFFFF"/>
                <w:sz w:val="32"/>
                <w:szCs w:val="32"/>
              </w:rPr>
              <w:t>G. RATIOS D'ANALYSE ECONOMIQUE ET FINANCIERE (FCFA)</w:t>
            </w:r>
          </w:p>
        </w:tc>
        <w:tc>
          <w:tcPr>
            <w:tcW w:w="280" w:type="dxa"/>
            <w:tcBorders/>
            <w:shd w:fill="166B7F" w:val="clear"/>
            <w:vAlign w:val="bottom"/>
          </w:tcPr>
          <w:p>
            <w:pPr>
              <w:pStyle w:val="Normal"/>
              <w:rPr>
                <w:rFonts w:ascii="Cambria" w:hAnsi="Cambria" w:cs="Calibri"/>
                <w:b/>
                <w:bCs/>
                <w:color w:val="FFFFFF"/>
                <w:sz w:val="22"/>
                <w:szCs w:val="22"/>
              </w:rPr>
            </w:pPr>
            <w:r>
              <w:rPr/>
            </w:r>
          </w:p>
        </w:tc>
      </w:tr>
      <w:tr>
        <w:trPr>
          <w:trHeight w:val="300" w:hRule="atLeast"/>
        </w:trPr>
        <w:tc>
          <w:tcPr>
            <w:tcW w:w="3544" w:type="dxa"/>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3262" w:type="dxa"/>
            <w:gridSpan w:val="4"/>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280" w:type="dxa"/>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1. Le taux de valeur ajoutée</w:t>
            </w:r>
          </w:p>
        </w:tc>
        <w:tc>
          <w:tcPr>
            <w:tcW w:w="2836" w:type="dxa"/>
            <w:gridSpan w:val="2"/>
            <w:tcBorders>
              <w:top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Désignations/Années</w:t>
            </w:r>
          </w:p>
        </w:tc>
        <w:tc>
          <w:tcPr>
            <w:tcW w:w="2836" w:type="dxa"/>
            <w:gridSpan w:val="2"/>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AN1</w:t>
            </w:r>
          </w:p>
        </w:tc>
        <w:tc>
          <w:tcPr>
            <w:tcW w:w="1843" w:type="dxa"/>
            <w:gridSpan w:val="3"/>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AN2</w:t>
            </w:r>
          </w:p>
        </w:tc>
        <w:tc>
          <w:tcPr>
            <w:tcW w:w="1699" w:type="dxa"/>
            <w:gridSpan w:val="2"/>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AN3</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825 000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866 250</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866 250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966 550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416 550</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416 550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251 725</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202 812</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145 547</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Résultats bruts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4 649 225</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5 307 438</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5 468 227</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VA</w:t>
            </w:r>
          </w:p>
        </w:tc>
        <w:tc>
          <w:tcPr>
            <w:tcW w:w="2836" w:type="dxa"/>
            <w:gridSpan w:val="2"/>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6 692 500</w:t>
            </w:r>
          </w:p>
        </w:tc>
        <w:tc>
          <w:tcPr>
            <w:tcW w:w="1843" w:type="dxa"/>
            <w:gridSpan w:val="3"/>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6 793 050</w:t>
            </w:r>
          </w:p>
        </w:tc>
        <w:tc>
          <w:tcPr>
            <w:tcW w:w="1699" w:type="dxa"/>
            <w:gridSpan w:val="2"/>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6 896 574</w:t>
            </w:r>
          </w:p>
        </w:tc>
      </w:tr>
      <w:tr>
        <w:trPr>
          <w:trHeight w:val="300" w:hRule="atLeast"/>
        </w:trPr>
        <w:tc>
          <w:tcPr>
            <w:tcW w:w="3544" w:type="dxa"/>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Chiffre d'affaires</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7 600 000</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7 752 000</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7 907 040</w:t>
            </w:r>
          </w:p>
        </w:tc>
      </w:tr>
      <w:tr>
        <w:trPr>
          <w:trHeight w:val="300" w:hRule="atLeast"/>
        </w:trPr>
        <w:tc>
          <w:tcPr>
            <w:tcW w:w="3544" w:type="dxa"/>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de VA (%)</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88%</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88%</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87%</w:t>
            </w:r>
          </w:p>
        </w:tc>
      </w:tr>
      <w:tr>
        <w:trPr>
          <w:trHeight w:val="30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moyen de la Valeur Ajoutée</w:t>
            </w:r>
          </w:p>
        </w:tc>
        <w:tc>
          <w:tcPr>
            <w:tcW w:w="2836" w:type="dxa"/>
            <w:gridSpan w:val="2"/>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88%</w:t>
            </w:r>
          </w:p>
        </w:tc>
        <w:tc>
          <w:tcPr>
            <w:tcW w:w="1843" w:type="dxa"/>
            <w:gridSpan w:val="3"/>
            <w:tcBorders/>
            <w:shd w:fill="A9D18D" w:val="clear"/>
            <w:vAlign w:val="bottom"/>
          </w:tcPr>
          <w:p>
            <w:pPr>
              <w:pStyle w:val="Normal"/>
              <w:jc w:val="center"/>
              <w:rPr>
                <w:rFonts w:ascii="Cambria" w:hAnsi="Cambria" w:cs="Calibri"/>
                <w:b/>
                <w:bCs/>
                <w:i/>
                <w:i/>
                <w:iCs/>
                <w:sz w:val="22"/>
                <w:szCs w:val="22"/>
              </w:rPr>
            </w:pPr>
            <w:r>
              <w:rPr>
                <w:rFonts w:cs="Cambria" w:ascii="Cambria" w:hAnsi="Cambria"/>
                <w:b/>
                <w:i/>
                <w:sz w:val="22"/>
              </w:rPr>
              <w:t>88%</w:t>
            </w:r>
          </w:p>
        </w:tc>
        <w:tc>
          <w:tcPr>
            <w:tcW w:w="1699" w:type="dxa"/>
            <w:gridSpan w:val="2"/>
            <w:tcBorders/>
            <w:shd w:fill="F4C9C8" w:val="clear"/>
            <w:vAlign w:val="bottom"/>
          </w:tcPr>
          <w:p>
            <w:pPr>
              <w:pStyle w:val="Normal"/>
              <w:jc w:val="center"/>
              <w:rPr>
                <w:rFonts w:ascii="Cambria" w:hAnsi="Cambria" w:cs="Calibri"/>
                <w:b/>
                <w:bCs/>
                <w:i/>
                <w:i/>
                <w:iCs/>
                <w:sz w:val="22"/>
                <w:szCs w:val="22"/>
              </w:rPr>
            </w:pPr>
            <w:r>
              <w:rPr/>
            </w:r>
          </w:p>
        </w:tc>
      </w:tr>
      <w:tr>
        <w:trPr>
          <w:trHeight w:val="30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w:t>
            </w:r>
          </w:p>
        </w:tc>
        <w:tc>
          <w:tcPr>
            <w:tcW w:w="2836" w:type="dxa"/>
            <w:gridSpan w:val="2"/>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w:t>
            </w:r>
          </w:p>
        </w:tc>
        <w:tc>
          <w:tcPr>
            <w:tcW w:w="2836" w:type="dxa"/>
            <w:gridSpan w:val="2"/>
            <w:tcBorders>
              <w:top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Charges fixes</w:t>
            </w:r>
          </w:p>
        </w:tc>
        <w:tc>
          <w:tcPr>
            <w:tcW w:w="1843" w:type="dxa"/>
            <w:gridSpan w:val="3"/>
            <w:tcBorders>
              <w:top w:val="single" w:sz="4"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Charges variables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Achats</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695 466</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866 250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Impôts et taxes</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77 962</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45"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Travaux-Fournitures et Services Extérieurs (TFSE)</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315 000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Autres charges</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 et services de la dette</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145 547</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416 550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w:t>
            </w:r>
          </w:p>
        </w:tc>
        <w:tc>
          <w:tcPr>
            <w:tcW w:w="2836" w:type="dxa"/>
            <w:gridSpan w:val="2"/>
            <w:tcBorders>
              <w:bottom w:val="single" w:sz="4" w:space="0" w:color="000000"/>
            </w:tcBorders>
            <w:shd w:fill="F4C9C8" w:val="clear"/>
            <w:vAlign w:val="bottom"/>
          </w:tcPr>
          <w:p>
            <w:pPr>
              <w:pStyle w:val="Normal"/>
              <w:jc w:val="right"/>
              <w:rPr>
                <w:rFonts w:ascii="Cambria" w:hAnsi="Cambria" w:cs="Calibri"/>
                <w:b/>
                <w:bCs/>
                <w:i/>
                <w:i/>
                <w:iCs/>
                <w:sz w:val="22"/>
                <w:szCs w:val="22"/>
              </w:rPr>
            </w:pPr>
            <w:r>
              <w:rPr>
                <w:rFonts w:cs="Calibri" w:ascii="Cambria" w:hAnsi="Cambria"/>
                <w:b/>
                <w:bCs/>
                <w:i/>
                <w:iCs/>
                <w:sz w:val="22"/>
                <w:szCs w:val="22"/>
              </w:rPr>
              <w:t>1 506 310</w:t>
            </w:r>
          </w:p>
        </w:tc>
        <w:tc>
          <w:tcPr>
            <w:tcW w:w="1843" w:type="dxa"/>
            <w:gridSpan w:val="3"/>
            <w:tcBorders>
              <w:left w:val="single" w:sz="4" w:space="0" w:color="000000"/>
              <w:bottom w:val="single" w:sz="4" w:space="0" w:color="000000"/>
            </w:tcBorders>
            <w:shd w:fill="F4C9C8" w:val="clear"/>
            <w:vAlign w:val="bottom"/>
          </w:tcPr>
          <w:p>
            <w:pPr>
              <w:pStyle w:val="Normal"/>
              <w:jc w:val="center"/>
              <w:rPr>
                <w:rFonts w:ascii="Cambria" w:hAnsi="Cambria" w:cs="Calibri"/>
                <w:b/>
                <w:bCs/>
                <w:i/>
                <w:i/>
                <w:iCs/>
                <w:sz w:val="22"/>
                <w:szCs w:val="22"/>
              </w:rPr>
            </w:pPr>
            <w:r>
              <w:rPr>
                <w:rFonts w:cs="Calibri" w:ascii="Cambria" w:hAnsi="Cambria"/>
                <w:b/>
                <w:bCs/>
                <w:i/>
                <w:iCs/>
                <w:sz w:val="22"/>
                <w:szCs w:val="22"/>
              </w:rPr>
              <w:t>1 010 466</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 (année 3)</w:t>
            </w:r>
          </w:p>
        </w:tc>
        <w:tc>
          <w:tcPr>
            <w:tcW w:w="2836" w:type="dxa"/>
            <w:gridSpan w:val="2"/>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22%</w:t>
            </w:r>
          </w:p>
        </w:tc>
        <w:tc>
          <w:tcPr>
            <w:tcW w:w="1843" w:type="dxa"/>
            <w:gridSpan w:val="3"/>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 xml:space="preserve">    </w:t>
            </w:r>
            <w:r>
              <w:rPr>
                <w:rFonts w:cs="Calibri" w:ascii="Cambria" w:hAnsi="Cambria"/>
                <w:b/>
                <w:bCs/>
                <w:i/>
                <w:iCs/>
                <w:color w:val="FFFFFF"/>
                <w:sz w:val="22"/>
                <w:szCs w:val="22"/>
              </w:rPr>
              <w:t>Seuil de rentabilité (année 1)</w:t>
            </w:r>
          </w:p>
        </w:tc>
        <w:tc>
          <w:tcPr>
            <w:tcW w:w="2836" w:type="dxa"/>
            <w:gridSpan w:val="2"/>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32%</w:t>
            </w:r>
          </w:p>
        </w:tc>
        <w:tc>
          <w:tcPr>
            <w:tcW w:w="1843" w:type="dxa"/>
            <w:gridSpan w:val="3"/>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18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3. Le taux de rentabilité interne (TRI)</w:t>
            </w:r>
          </w:p>
        </w:tc>
        <w:tc>
          <w:tcPr>
            <w:tcW w:w="2836" w:type="dxa"/>
            <w:gridSpan w:val="2"/>
            <w:tcBorders/>
            <w:shd w:fill="21A6C9"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182,2%</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4. La valeur actuelle nette (VAN)</w:t>
            </w:r>
          </w:p>
        </w:tc>
        <w:tc>
          <w:tcPr>
            <w:tcW w:w="2836" w:type="dxa"/>
            <w:gridSpan w:val="2"/>
            <w:tcBorders/>
            <w:shd w:fill="21A6C9" w:val="clear"/>
            <w:vAlign w:val="bottom"/>
          </w:tcPr>
          <w:p>
            <w:pPr>
              <w:pStyle w:val="Normal"/>
              <w:ind w:firstLine="212" w:left="-212" w:right="0"/>
              <w:jc w:val="center"/>
              <w:rPr>
                <w:rFonts w:ascii="Cambria" w:hAnsi="Cambria" w:cs="Cambria"/>
                <w:b/>
                <w:i/>
                <w:i/>
                <w:color w:val="FFFFFF"/>
                <w:sz w:val="22"/>
              </w:rPr>
            </w:pPr>
            <w:r>
              <w:rPr>
                <w:rFonts w:cs="Cambria" w:ascii="Cambria" w:hAnsi="Cambria"/>
                <w:b/>
                <w:i/>
                <w:color w:val="FFFFFF"/>
                <w:sz w:val="22"/>
              </w:rPr>
              <w:t>20 076 466</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F.CFA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135"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6380" w:type="dxa"/>
            <w:gridSpan w:val="3"/>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5.  Délais de récupération (sans actualisation, avec actualisation)</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Sans actualisation</w:t>
            </w:r>
          </w:p>
        </w:tc>
        <w:tc>
          <w:tcPr>
            <w:tcW w:w="2552" w:type="dxa"/>
            <w:tcBorders>
              <w:top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7 mois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Avec actualisation au taux de</w:t>
            </w:r>
          </w:p>
        </w:tc>
        <w:tc>
          <w:tcPr>
            <w:tcW w:w="2552" w:type="dxa"/>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w:t>
            </w:r>
          </w:p>
        </w:tc>
        <w:tc>
          <w:tcPr>
            <w:tcW w:w="1843" w:type="dxa"/>
            <w:gridSpan w:val="3"/>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7 mois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2552" w:type="dxa"/>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585" w:hRule="atLeast"/>
        </w:trPr>
        <w:tc>
          <w:tcPr>
            <w:tcW w:w="3828" w:type="dxa"/>
            <w:gridSpan w:val="2"/>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6. Le taux de marge nette de la troisième année</w:t>
              <w:br/>
            </w:r>
            <w:r>
              <w:rPr>
                <w:rFonts w:cs="Calibri" w:ascii="Cambira;Cambria;Cambria" w:hAnsi="Cambira;Cambria;Cambria"/>
                <w:i/>
                <w:iCs/>
                <w:sz w:val="22"/>
                <w:szCs w:val="22"/>
              </w:rPr>
              <w:t>(résultat net/Chiffres d'affaires)</w:t>
            </w:r>
          </w:p>
        </w:tc>
        <w:tc>
          <w:tcPr>
            <w:tcW w:w="2552" w:type="dxa"/>
            <w:tcBorders/>
            <w:shd w:fill="21A6C9" w:val="clear"/>
            <w:vAlign w:val="center"/>
          </w:tcPr>
          <w:p>
            <w:pPr>
              <w:pStyle w:val="Normal"/>
              <w:jc w:val="center"/>
              <w:rPr>
                <w:rFonts w:ascii="Cambria" w:hAnsi="Cambria" w:cs="Calibri"/>
                <w:b/>
                <w:bCs/>
                <w:i/>
                <w:i/>
                <w:iCs/>
                <w:color w:val="FFFFFF"/>
                <w:sz w:val="22"/>
                <w:szCs w:val="22"/>
              </w:rPr>
            </w:pPr>
            <w:r>
              <w:rPr>
                <w:rFonts w:cs="Cambria" w:ascii="Cambria" w:hAnsi="Cambria"/>
                <w:b/>
                <w:i/>
                <w:color w:val="FFFFFF"/>
                <w:sz w:val="22"/>
              </w:rPr>
              <w:t>68%</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90" w:hRule="atLeast"/>
        </w:trPr>
        <w:tc>
          <w:tcPr>
            <w:tcW w:w="3828" w:type="dxa"/>
            <w:gridSpan w:val="2"/>
            <w:tcBorders/>
            <w:shd w:fill="FFFFFF" w:val="clear"/>
            <w:vAlign w:val="center"/>
          </w:tcPr>
          <w:p>
            <w:pPr>
              <w:pStyle w:val="Normal"/>
              <w:rPr>
                <w:rFonts w:ascii="Cambira;Cambria;Cambria" w:hAnsi="Cambira;Cambria;Cambria" w:cs="Calibri"/>
                <w:b/>
                <w:bCs/>
                <w:color w:val="000080"/>
                <w:sz w:val="22"/>
                <w:szCs w:val="22"/>
              </w:rPr>
            </w:pPr>
            <w:r>
              <w:rPr/>
            </w:r>
          </w:p>
        </w:tc>
        <w:tc>
          <w:tcPr>
            <w:tcW w:w="2694" w:type="dxa"/>
            <w:gridSpan w:val="2"/>
            <w:tcBorders/>
            <w:shd w:fill="FFFFFF" w:val="clear"/>
            <w:vAlign w:val="center"/>
          </w:tcPr>
          <w:p>
            <w:pPr>
              <w:pStyle w:val="Normal"/>
              <w:rPr>
                <w:rFonts w:ascii="Cambira;Cambria;Cambria" w:hAnsi="Cambira;Cambria;Cambria" w:cs="Calibri"/>
                <w:b/>
                <w:bCs/>
                <w:color w:val="000080"/>
                <w:sz w:val="22"/>
                <w:szCs w:val="22"/>
              </w:rPr>
            </w:pPr>
            <w:r>
              <w:rPr/>
            </w:r>
          </w:p>
        </w:tc>
        <w:tc>
          <w:tcPr>
            <w:tcW w:w="1559" w:type="dxa"/>
            <w:tcBorders/>
            <w:shd w:fill="FFFFFF" w:val="clear"/>
            <w:vAlign w:val="bottom"/>
          </w:tcPr>
          <w:p>
            <w:pPr>
              <w:pStyle w:val="Normal"/>
              <w:jc w:val="center"/>
              <w:rPr>
                <w:rFonts w:ascii="Cambira;Cambria;Cambria" w:hAnsi="Cambira;Cambria;Cambria" w:cs="Calibri"/>
                <w:color w:val="000000"/>
                <w:sz w:val="22"/>
                <w:szCs w:val="22"/>
              </w:rPr>
            </w:pPr>
            <w:r>
              <w:rPr/>
            </w:r>
          </w:p>
        </w:tc>
        <w:tc>
          <w:tcPr>
            <w:tcW w:w="1841" w:type="dxa"/>
            <w:gridSpan w:val="3"/>
            <w:tcBorders/>
            <w:shd w:fill="FFFFFF" w:val="clear"/>
            <w:vAlign w:val="bottom"/>
          </w:tcPr>
          <w:p>
            <w:pPr>
              <w:pStyle w:val="Normal"/>
              <w:rPr>
                <w:rFonts w:ascii="Cambira;Cambria;Cambria" w:hAnsi="Cambira;Cambria;Cambria" w:cs="Calibri"/>
                <w:color w:val="000000"/>
                <w:sz w:val="22"/>
                <w:szCs w:val="22"/>
              </w:rPr>
            </w:pPr>
            <w:r>
              <w:rPr/>
            </w:r>
          </w:p>
        </w:tc>
      </w:tr>
    </w:tbl>
    <w:p>
      <w:pPr>
        <w:pStyle w:val="Normal"/>
        <w:rPr/>
      </w:pPr>
      <w:r>
        <w:rPr>
          <w:b/>
          <w:i w:val="false"/>
          <w:sz w:val="22"/>
        </w:rPr>
        <w:t>Analyse de sensibilité</w:t>
      </w:r>
    </w:p>
    <w:p>
      <w:pPr>
        <w:pStyle w:val="Normal"/>
        <w:rPr/>
      </w:pPr>
      <w:r>
        <w:rPr>
          <w:b w:val="false"/>
          <w:i w:val="false"/>
          <w:sz w:val="20"/>
        </w:rPr>
        <w:t>Les indicateurs ont été recalculés dans l’hypothèse d’une baisse de 20 % puis de 30 % des quantités vendues (rendement) ou des prix de vente, toutes les charges étant maintenues.</w:t>
      </w:r>
    </w:p>
    <w:tbl>
      <w:tblPr>
        <w:tblW w:w="9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928"/>
        <w:gridCol w:w="1928"/>
        <w:gridCol w:w="1928"/>
        <w:gridCol w:w="1928"/>
      </w:tblGrid>
      <w:tr>
        <w:trPr/>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Scénario</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Chiffre d’affaires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Résultat net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TRI</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Couverture du principal an 2 (CAF / principal)</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Scénario de base</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7 600 000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4 574 975</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182,2%</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9,23</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−20 %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6 080 000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3 054 975</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131,6%</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6,69</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−30 %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5 320 000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2 294 975</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105,8%</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5,43</w:t>
            </w:r>
          </w:p>
        </w:tc>
      </w:tr>
    </w:tbl>
    <w:p>
      <w:pPr>
        <w:pStyle w:val="Normal"/>
        <w:rPr/>
      </w:pPr>
      <w:r>
        <w:rPr>
          <w:b w:val="false"/>
          <w:i/>
          <w:sz w:val="18"/>
        </w:rPr>
        <w:t>Valeur actuelle nette du scénario de base : 20 076 466 F CFA à 8 % (taux du prêt), 18 886 070 F CFA à 10 % et 17 790 339 F CFA à 12 % (coût d’opportunité du capital). Le coefficient de couverture rapporte la capacité d’autofinancement de l’année 2 au principal remboursé la même année ; il doit rester supérieur à 1,2 pour que le remboursement soit assuré.</w:t>
      </w:r>
    </w:p>
    <w:p>
      <w:pPr>
        <w:pStyle w:val="Normal"/>
        <w:rPr/>
      </w:pPr>
      <w:r>
        <w:rPr/>
      </w:r>
    </w:p>
    <w:p>
      <w:pPr>
        <w:pStyle w:val="Heading1"/>
        <w:keepLines/>
        <w:numPr>
          <w:ilvl w:val="0"/>
          <w:numId w:val="3"/>
        </w:numPr>
        <w:spacing w:before="240" w:after="0"/>
        <w:ind w:hanging="431" w:left="431" w:right="0"/>
        <w:jc w:val="both"/>
        <w:rPr>
          <w:rFonts w:ascii="Times New Roman" w:hAnsi="Times New Roman" w:cs="Times New Roman"/>
          <w:caps/>
          <w:color w:val="166B7F"/>
          <w:kern w:val="0"/>
          <w:sz w:val="24"/>
          <w:szCs w:val="24"/>
          <w:lang w:eastAsia="en-US"/>
        </w:rPr>
      </w:pPr>
      <w:bookmarkStart w:id="28" w:name="__RefHeading___Toc234831727"/>
      <w:bookmarkEnd w:id="28"/>
      <w:r>
        <w:rPr>
          <w:rFonts w:cs="Times New Roman" w:ascii="Times New Roman" w:hAnsi="Times New Roman"/>
          <w:caps/>
          <w:color w:val="166B7F"/>
          <w:kern w:val="0"/>
          <w:sz w:val="24"/>
          <w:szCs w:val="24"/>
          <w:lang w:eastAsia="en-US"/>
        </w:rPr>
        <w:t>ANALYSE DES FORCES, FAIBLESSES, OPPORTUNITÉS ET MENACES</w:t>
      </w:r>
    </w:p>
    <w:p>
      <w:pPr>
        <w:pStyle w:val="Normal"/>
        <w:rPr>
          <w:sz w:val="22"/>
          <w:szCs w:val="22"/>
          <w:lang w:val="fr-CI"/>
        </w:rPr>
      </w:pPr>
      <w:r>
        <w:rPr>
          <w:sz w:val="22"/>
          <w:szCs w:val="22"/>
        </w:rPr>
        <w:t xml:space="preserve">L’analyse FFOM montre que l’entreprise </w:t>
      </w:r>
      <w:r>
        <w:rPr>
          <w:b/>
          <w:bCs/>
          <w:sz w:val="22"/>
          <w:szCs w:val="22"/>
        </w:rPr>
        <w:t>PIMENT DÉLICE</w:t>
      </w:r>
      <w:r>
        <w:rPr>
          <w:sz w:val="22"/>
          <w:szCs w:val="22"/>
        </w:rPr>
        <w:t xml:space="preserve"> dispose d’importantes forces qu’elle doit bien exploiter et mettre en valeur pour mieux se positionner face aux concurrents informels. L’expérience du promoteur Lamine FOFANA, sa Licence en Gestion Intégrée de la Fertilité des Sols (IPR/IFRA de Katibougou), la maîtrise des itinéraires techniques du piment, l’accès à l’eau (forage équipé d’une pompe solaire, système goutte-à-goutte) et la bonne planification de la campagne constituent des atouts majeurs. La double disponibilité du produit — piment frais et piment séché — renforce la capacité de l’entreprise à sécuriser ses revenus et à réduire les pertes post-récolte. La marque </w:t>
      </w:r>
      <w:r>
        <w:rPr>
          <w:b/>
          <w:bCs/>
          <w:sz w:val="22"/>
          <w:szCs w:val="22"/>
        </w:rPr>
        <w:t>PIMENT DÉLICE</w:t>
      </w:r>
      <w:r>
        <w:rPr>
          <w:sz w:val="22"/>
          <w:szCs w:val="22"/>
        </w:rPr>
        <w:t xml:space="preserve"> véhicule une image de fraîcheur, de qualité et de saveur authentique (</w:t>
      </w:r>
      <w:r>
        <w:rPr>
          <w:i/>
          <w:iCs/>
          <w:sz w:val="22"/>
          <w:szCs w:val="22"/>
        </w:rPr>
        <w:t>Du frais au séché, le délice du piment malien</w:t>
      </w:r>
      <w:r>
        <w:rPr>
          <w:sz w:val="22"/>
          <w:szCs w:val="22"/>
        </w:rPr>
        <w:t xml:space="preserve">). Les opportunités doivent être bien analysées et saisies à temps, notamment la forte demande en piment à Bamako et environs, l’existence de marchés de gros, de détaillants et de revendeurs de condiments, l’appui de </w:t>
      </w:r>
      <w:r>
        <w:rPr>
          <w:b/>
          <w:bCs/>
          <w:sz w:val="22"/>
          <w:szCs w:val="22"/>
        </w:rPr>
        <w:t>l’APEJ/OIT</w:t>
      </w:r>
      <w:r>
        <w:rPr>
          <w:sz w:val="22"/>
          <w:szCs w:val="22"/>
        </w:rPr>
        <w:t>, la politique de substitution aux importations et la possibilité d’extension progressive de la superficie exploitée. Les faiblesses identifiées (insuffisance de financement propre, superficie limitée à 0,5 hectare, équipement encore faible, notoriété de la marque à construire) doivent être atténuées à travers des actions efficaces de communication, de recherche de partenariats et d’épargne sur les bénéfices. Les menaces qui sont réelles (concurrence des produits importés et des producteurs locaux, aléas climatiques, ravageurs et maladies, volatilité des prix du piment, pannes d’équipements, cherté des intrants) sont des signaux à suivre et analyser afin de mieux anticiper leurs effets néfastes pour le projet.</w:t>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tbl>
      <w:tblPr>
        <w:tblW w:w="10101" w:type="dxa"/>
        <w:jc w:val="left"/>
        <w:tblInd w:w="0" w:type="dxa"/>
        <w:tblLayout w:type="fixed"/>
        <w:tblCellMar>
          <w:top w:w="0" w:type="dxa"/>
          <w:left w:w="108" w:type="dxa"/>
          <w:bottom w:w="0" w:type="dxa"/>
          <w:right w:w="108" w:type="dxa"/>
        </w:tblCellMar>
      </w:tblPr>
      <w:tblGrid>
        <w:gridCol w:w="6486"/>
        <w:gridCol w:w="3614"/>
      </w:tblGrid>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FORCES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FAIBLESSE</w:t>
            </w:r>
          </w:p>
        </w:tc>
      </w:tr>
      <w:tr>
        <w:trPr>
          <w:trHeight w:val="2325" w:hRule="atLeast"/>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rStyle w:val="Strong"/>
                <w:b w:val="false"/>
                <w:bCs w:val="false"/>
                <w:sz w:val="22"/>
                <w:szCs w:val="22"/>
              </w:rPr>
            </w:pPr>
            <w:r>
              <w:rPr>
                <w:rStyle w:val="Strong"/>
                <w:b w:val="false"/>
                <w:bCs w:val="false"/>
                <w:sz w:val="22"/>
                <w:szCs w:val="22"/>
              </w:rPr>
              <w:t>Licence en Gestion Intégrée de la Fertilité des Sols (IPR/IFRA de Katibougou) du promoteur Lamine FOFANA ;</w:t>
            </w:r>
          </w:p>
          <w:p>
            <w:pPr>
              <w:pStyle w:val="Normal"/>
              <w:numPr>
                <w:ilvl w:val="0"/>
                <w:numId w:val="14"/>
              </w:numPr>
              <w:rPr>
                <w:rStyle w:val="Strong"/>
                <w:b w:val="false"/>
                <w:bCs w:val="false"/>
                <w:sz w:val="22"/>
                <w:szCs w:val="22"/>
              </w:rPr>
            </w:pPr>
            <w:r>
              <w:rPr>
                <w:rStyle w:val="Strong"/>
                <w:b w:val="false"/>
                <w:bCs w:val="false"/>
                <w:sz w:val="22"/>
                <w:szCs w:val="22"/>
              </w:rPr>
              <w:t>Maîtrise du processus de production et des itinéraires techniques du piment ;</w:t>
            </w:r>
          </w:p>
          <w:p>
            <w:pPr>
              <w:pStyle w:val="Normal"/>
              <w:numPr>
                <w:ilvl w:val="0"/>
                <w:numId w:val="14"/>
              </w:numPr>
              <w:rPr>
                <w:rStyle w:val="Strong"/>
                <w:b w:val="false"/>
                <w:bCs w:val="false"/>
                <w:sz w:val="22"/>
                <w:szCs w:val="22"/>
              </w:rPr>
            </w:pPr>
            <w:r>
              <w:rPr>
                <w:rStyle w:val="Strong"/>
                <w:b w:val="false"/>
                <w:bCs w:val="false"/>
                <w:sz w:val="22"/>
                <w:szCs w:val="22"/>
              </w:rPr>
              <w:t>Double débouché : piment frais et piment séché, réduisant les pertes post-récolte et sécurisant les revenus ;</w:t>
            </w:r>
          </w:p>
          <w:p>
            <w:pPr>
              <w:pStyle w:val="Normal"/>
              <w:numPr>
                <w:ilvl w:val="0"/>
                <w:numId w:val="14"/>
              </w:numPr>
              <w:rPr>
                <w:rStyle w:val="Strong"/>
                <w:b w:val="false"/>
                <w:bCs w:val="false"/>
                <w:sz w:val="22"/>
                <w:szCs w:val="22"/>
              </w:rPr>
            </w:pPr>
            <w:r>
              <w:rPr>
                <w:rStyle w:val="Strong"/>
                <w:b w:val="false"/>
                <w:bCs w:val="false"/>
                <w:sz w:val="22"/>
                <w:szCs w:val="22"/>
              </w:rPr>
              <w:t>Accès à l’eau (forage équipé d’une pompe solaire, système goutte-à-goutte) ;</w:t>
            </w:r>
          </w:p>
          <w:p>
            <w:pPr>
              <w:pStyle w:val="Normal"/>
              <w:numPr>
                <w:ilvl w:val="0"/>
                <w:numId w:val="14"/>
              </w:numPr>
              <w:rPr>
                <w:rStyle w:val="Strong"/>
                <w:b w:val="false"/>
                <w:bCs w:val="false"/>
                <w:sz w:val="22"/>
                <w:szCs w:val="22"/>
              </w:rPr>
            </w:pPr>
            <w:r>
              <w:rPr>
                <w:rStyle w:val="Strong"/>
                <w:b w:val="false"/>
                <w:bCs w:val="false"/>
                <w:sz w:val="22"/>
                <w:szCs w:val="22"/>
              </w:rPr>
              <w:t>Bonne planification et anticipation de la campagne de production ;</w:t>
            </w:r>
          </w:p>
          <w:p>
            <w:pPr>
              <w:pStyle w:val="Normal"/>
              <w:numPr>
                <w:ilvl w:val="0"/>
                <w:numId w:val="14"/>
              </w:numPr>
              <w:rPr>
                <w:rStyle w:val="Strong"/>
                <w:b w:val="false"/>
                <w:bCs w:val="false"/>
                <w:sz w:val="22"/>
                <w:szCs w:val="22"/>
              </w:rPr>
            </w:pPr>
            <w:r>
              <w:rPr>
                <w:rStyle w:val="Strong"/>
                <w:b w:val="false"/>
                <w:bCs w:val="false"/>
                <w:sz w:val="22"/>
                <w:szCs w:val="22"/>
              </w:rPr>
              <w:t>Volonté de fidéliser la clientèle et de lui offrir un bon accueil ;</w:t>
            </w:r>
          </w:p>
          <w:p>
            <w:pPr>
              <w:pStyle w:val="Normal"/>
              <w:numPr>
                <w:ilvl w:val="0"/>
                <w:numId w:val="14"/>
              </w:numPr>
              <w:rPr>
                <w:rStyle w:val="Strong"/>
                <w:b w:val="false"/>
                <w:bCs w:val="false"/>
                <w:sz w:val="22"/>
                <w:szCs w:val="22"/>
              </w:rPr>
            </w:pPr>
            <w:r>
              <w:rPr>
                <w:rStyle w:val="Strong"/>
                <w:b w:val="false"/>
                <w:bCs w:val="false"/>
                <w:sz w:val="22"/>
                <w:szCs w:val="22"/>
              </w:rPr>
              <w:t>Bonne connaissance du marché de Bamako et environs ;</w:t>
            </w:r>
          </w:p>
          <w:p>
            <w:pPr>
              <w:pStyle w:val="Normal"/>
              <w:numPr>
                <w:ilvl w:val="0"/>
                <w:numId w:val="14"/>
              </w:numPr>
              <w:rPr>
                <w:rStyle w:val="Strong"/>
                <w:b w:val="false"/>
                <w:bCs w:val="false"/>
                <w:sz w:val="22"/>
                <w:szCs w:val="22"/>
              </w:rPr>
            </w:pPr>
            <w:r>
              <w:rPr>
                <w:rStyle w:val="Strong"/>
                <w:b w:val="false"/>
                <w:bCs w:val="false"/>
                <w:sz w:val="22"/>
                <w:szCs w:val="22"/>
              </w:rPr>
              <w:t>Existence de séchoirs artisanaux pour la transformation du piment ;</w:t>
            </w:r>
          </w:p>
          <w:p>
            <w:pPr>
              <w:pStyle w:val="Normal"/>
              <w:numPr>
                <w:ilvl w:val="0"/>
                <w:numId w:val="14"/>
              </w:numPr>
              <w:rPr>
                <w:rStyle w:val="Strong"/>
                <w:b w:val="false"/>
                <w:bCs w:val="false"/>
                <w:sz w:val="22"/>
                <w:szCs w:val="22"/>
              </w:rPr>
            </w:pPr>
            <w:r>
              <w:rPr>
                <w:rStyle w:val="Strong"/>
                <w:b w:val="false"/>
                <w:bCs w:val="false"/>
                <w:sz w:val="22"/>
                <w:szCs w:val="22"/>
              </w:rPr>
              <w:t>Utilisation de fumure organique et de compost, avec peu d’engrais chimiques ;</w:t>
            </w:r>
          </w:p>
          <w:p>
            <w:pPr>
              <w:pStyle w:val="Normal"/>
              <w:numPr>
                <w:ilvl w:val="0"/>
                <w:numId w:val="14"/>
              </w:numPr>
              <w:rPr>
                <w:rStyle w:val="Strong"/>
                <w:b w:val="false"/>
                <w:bCs w:val="false"/>
                <w:sz w:val="22"/>
                <w:szCs w:val="22"/>
              </w:rPr>
            </w:pPr>
            <w:r>
              <w:rPr>
                <w:rStyle w:val="Strong"/>
                <w:b w:val="false"/>
                <w:bCs w:val="false"/>
                <w:sz w:val="22"/>
                <w:szCs w:val="22"/>
              </w:rPr>
              <w:t>Marque porteuse de sens : PIMENT DÉLICE (</w:t>
            </w:r>
            <w:r>
              <w:rPr>
                <w:rStyle w:val="Strong"/>
                <w:b w:val="false"/>
                <w:bCs w:val="false"/>
                <w:i/>
                <w:iCs/>
                <w:sz w:val="22"/>
                <w:szCs w:val="22"/>
              </w:rPr>
              <w:t>Du frais au séché, le délice du piment malien</w:t>
            </w:r>
            <w:r>
              <w:rPr>
                <w:rStyle w:val="Strong"/>
                <w:b w:val="false"/>
                <w:bCs w:val="false"/>
                <w:sz w:val="22"/>
                <w:szCs w:val="22"/>
              </w:rPr>
              <w:t>).</w:t>
            </w:r>
          </w:p>
          <w:p>
            <w:pPr>
              <w:pStyle w:val="Normal"/>
              <w:ind w:left="567" w:right="0"/>
              <w:rPr>
                <w:rStyle w:val="Strong"/>
                <w:b w:val="false"/>
                <w:bCs/>
                <w:sz w:val="22"/>
                <w:szCs w:val="22"/>
              </w:rPr>
            </w:pPr>
            <w:r>
              <w:rPr>
                <w:b w:val="false"/>
                <w:bCs/>
                <w:sz w:val="22"/>
                <w:szCs w:val="22"/>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rStyle w:val="Strong"/>
                <w:b w:val="false"/>
                <w:bCs w:val="false"/>
                <w:sz w:val="22"/>
                <w:szCs w:val="22"/>
              </w:rPr>
            </w:pPr>
            <w:r>
              <w:rPr>
                <w:rStyle w:val="Strong"/>
                <w:b w:val="false"/>
                <w:bCs w:val="false"/>
                <w:sz w:val="22"/>
                <w:szCs w:val="22"/>
              </w:rPr>
              <w:t>Insuffisance de financement propre (apport limité à 10 %) ;</w:t>
            </w:r>
          </w:p>
          <w:p>
            <w:pPr>
              <w:pStyle w:val="Normal"/>
              <w:numPr>
                <w:ilvl w:val="0"/>
                <w:numId w:val="14"/>
              </w:numPr>
              <w:rPr>
                <w:rStyle w:val="Strong"/>
                <w:b w:val="false"/>
                <w:bCs w:val="false"/>
                <w:sz w:val="22"/>
                <w:szCs w:val="22"/>
              </w:rPr>
            </w:pPr>
            <w:r>
              <w:rPr>
                <w:rStyle w:val="Strong"/>
                <w:b w:val="false"/>
                <w:bCs w:val="false"/>
                <w:sz w:val="22"/>
                <w:szCs w:val="22"/>
              </w:rPr>
              <w:t>Superficie exploitée encore limitée (0,5 hectare) et non possédée en propre ;</w:t>
            </w:r>
          </w:p>
          <w:p>
            <w:pPr>
              <w:pStyle w:val="Normal"/>
              <w:numPr>
                <w:ilvl w:val="0"/>
                <w:numId w:val="14"/>
              </w:numPr>
              <w:rPr>
                <w:rStyle w:val="Strong"/>
                <w:b w:val="false"/>
                <w:bCs w:val="false"/>
                <w:sz w:val="22"/>
                <w:szCs w:val="22"/>
              </w:rPr>
            </w:pPr>
            <w:r>
              <w:rPr>
                <w:rStyle w:val="Strong"/>
                <w:b w:val="false"/>
                <w:bCs w:val="false"/>
                <w:sz w:val="22"/>
                <w:szCs w:val="22"/>
              </w:rPr>
              <w:t>Faible niveau d’équipement de l’exploitation au démarrage ;</w:t>
            </w:r>
          </w:p>
          <w:p>
            <w:pPr>
              <w:pStyle w:val="Normal"/>
              <w:numPr>
                <w:ilvl w:val="0"/>
                <w:numId w:val="14"/>
              </w:numPr>
              <w:rPr>
                <w:rStyle w:val="Strong"/>
                <w:b w:val="false"/>
                <w:bCs w:val="false"/>
                <w:sz w:val="22"/>
                <w:szCs w:val="22"/>
              </w:rPr>
            </w:pPr>
            <w:r>
              <w:rPr>
                <w:rStyle w:val="Strong"/>
                <w:b w:val="false"/>
                <w:bCs w:val="false"/>
                <w:sz w:val="22"/>
                <w:szCs w:val="22"/>
              </w:rPr>
              <w:t>Dépendance à la main-d’œuvre saisonnière pour les pics d’activité ;</w:t>
            </w:r>
          </w:p>
          <w:p>
            <w:pPr>
              <w:pStyle w:val="Normal"/>
              <w:numPr>
                <w:ilvl w:val="0"/>
                <w:numId w:val="14"/>
              </w:numPr>
              <w:rPr>
                <w:rStyle w:val="Strong"/>
                <w:b w:val="false"/>
                <w:bCs w:val="false"/>
                <w:sz w:val="22"/>
                <w:szCs w:val="22"/>
              </w:rPr>
            </w:pPr>
            <w:r>
              <w:rPr>
                <w:rStyle w:val="Strong"/>
                <w:b w:val="false"/>
                <w:bCs w:val="false"/>
                <w:sz w:val="22"/>
                <w:szCs w:val="22"/>
              </w:rPr>
              <w:t>Coût du crédit élevé (TAF de 17 %) ;</w:t>
            </w:r>
          </w:p>
          <w:p>
            <w:pPr>
              <w:pStyle w:val="Normal"/>
              <w:numPr>
                <w:ilvl w:val="0"/>
                <w:numId w:val="14"/>
              </w:numPr>
              <w:rPr>
                <w:rStyle w:val="Strong"/>
                <w:b w:val="false"/>
                <w:bCs w:val="false"/>
                <w:sz w:val="22"/>
                <w:szCs w:val="22"/>
              </w:rPr>
            </w:pPr>
            <w:r>
              <w:rPr>
                <w:rStyle w:val="Strong"/>
                <w:b w:val="false"/>
                <w:bCs w:val="false"/>
                <w:sz w:val="22"/>
                <w:szCs w:val="22"/>
              </w:rPr>
              <w:t>Notoriété de la marque PIMENT DÉLICE encore à construire ;</w:t>
            </w:r>
          </w:p>
          <w:p>
            <w:pPr>
              <w:pStyle w:val="Normal"/>
              <w:numPr>
                <w:ilvl w:val="0"/>
                <w:numId w:val="14"/>
              </w:numPr>
              <w:rPr>
                <w:rStyle w:val="Strong"/>
                <w:b w:val="false"/>
                <w:bCs w:val="false"/>
                <w:sz w:val="22"/>
                <w:szCs w:val="22"/>
              </w:rPr>
            </w:pPr>
            <w:r>
              <w:rPr>
                <w:rStyle w:val="Strong"/>
                <w:b w:val="false"/>
                <w:bCs w:val="false"/>
                <w:sz w:val="22"/>
                <w:szCs w:val="22"/>
              </w:rPr>
              <w:t>Absence de certification formelle (hygiène, traçabilité) ;</w:t>
            </w:r>
          </w:p>
          <w:p>
            <w:pPr>
              <w:pStyle w:val="Normal"/>
              <w:numPr>
                <w:ilvl w:val="0"/>
                <w:numId w:val="14"/>
              </w:numPr>
              <w:rPr>
                <w:rStyle w:val="Strong"/>
                <w:b w:val="false"/>
                <w:bCs w:val="false"/>
                <w:sz w:val="22"/>
                <w:szCs w:val="22"/>
              </w:rPr>
            </w:pPr>
            <w:r>
              <w:rPr>
                <w:rStyle w:val="Strong"/>
                <w:b w:val="false"/>
                <w:bCs w:val="false"/>
                <w:sz w:val="22"/>
                <w:szCs w:val="22"/>
              </w:rPr>
              <w:t>Dépendance aux aléas climatiques ;</w:t>
            </w:r>
          </w:p>
          <w:p>
            <w:pPr>
              <w:pStyle w:val="Normal"/>
              <w:numPr>
                <w:ilvl w:val="0"/>
                <w:numId w:val="14"/>
              </w:numPr>
              <w:rPr>
                <w:rStyle w:val="Strong"/>
                <w:b w:val="false"/>
                <w:bCs w:val="false"/>
                <w:sz w:val="22"/>
                <w:szCs w:val="22"/>
              </w:rPr>
            </w:pPr>
            <w:r>
              <w:rPr>
                <w:rStyle w:val="Strong"/>
                <w:b w:val="false"/>
                <w:bCs w:val="false"/>
                <w:sz w:val="22"/>
                <w:szCs w:val="22"/>
              </w:rPr>
              <w:t>Dépendance du résultat aux rendements (16 t/ha visés) et aux prix du piment</w:t>
            </w:r>
          </w:p>
          <w:p>
            <w:pPr>
              <w:pStyle w:val="Normal"/>
              <w:ind w:left="567" w:right="0"/>
              <w:rPr>
                <w:rStyle w:val="Strong"/>
                <w:b w:val="false"/>
                <w:bCs w:val="false"/>
                <w:sz w:val="22"/>
                <w:szCs w:val="22"/>
              </w:rPr>
            </w:pPr>
            <w:r>
              <w:rPr>
                <w:b w:val="false"/>
                <w:bCs w:val="false"/>
                <w:sz w:val="22"/>
                <w:szCs w:val="22"/>
              </w:rPr>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OPPORTUNITES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MENACES</w:t>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rStyle w:val="Strong"/>
                <w:b w:val="false"/>
                <w:bCs w:val="false"/>
                <w:sz w:val="22"/>
                <w:szCs w:val="22"/>
              </w:rPr>
            </w:pPr>
            <w:r>
              <w:rPr>
                <w:rStyle w:val="Strong"/>
                <w:b w:val="false"/>
                <w:bCs w:val="false"/>
                <w:sz w:val="22"/>
                <w:szCs w:val="22"/>
              </w:rPr>
              <w:t>Forte demande en piment frais et séché à Bamako et environs ;</w:t>
            </w:r>
          </w:p>
          <w:p>
            <w:pPr>
              <w:pStyle w:val="Normal"/>
              <w:numPr>
                <w:ilvl w:val="0"/>
                <w:numId w:val="14"/>
              </w:numPr>
              <w:rPr>
                <w:rStyle w:val="Strong"/>
                <w:b w:val="false"/>
                <w:bCs w:val="false"/>
                <w:sz w:val="22"/>
                <w:szCs w:val="22"/>
              </w:rPr>
            </w:pPr>
            <w:r>
              <w:rPr>
                <w:rStyle w:val="Strong"/>
                <w:b w:val="false"/>
                <w:bCs w:val="false"/>
                <w:sz w:val="22"/>
                <w:szCs w:val="22"/>
              </w:rPr>
              <w:t>Existence de marchés : restaurants, grossistes, détaillants, revendeurs de condiments ;</w:t>
            </w:r>
          </w:p>
          <w:p>
            <w:pPr>
              <w:pStyle w:val="Normal"/>
              <w:numPr>
                <w:ilvl w:val="0"/>
                <w:numId w:val="14"/>
              </w:numPr>
              <w:rPr>
                <w:rStyle w:val="Strong"/>
                <w:b w:val="false"/>
                <w:bCs w:val="false"/>
                <w:sz w:val="22"/>
                <w:szCs w:val="22"/>
              </w:rPr>
            </w:pPr>
            <w:r>
              <w:rPr>
                <w:rStyle w:val="Strong"/>
                <w:b w:val="false"/>
                <w:bCs w:val="false"/>
                <w:sz w:val="22"/>
                <w:szCs w:val="22"/>
              </w:rPr>
              <w:t>Réduction des pertes post-récolte grâce au séchage ;</w:t>
            </w:r>
          </w:p>
          <w:p>
            <w:pPr>
              <w:pStyle w:val="Normal"/>
              <w:numPr>
                <w:ilvl w:val="0"/>
                <w:numId w:val="14"/>
              </w:numPr>
              <w:rPr>
                <w:rFonts w:ascii="Segoe UI" w:hAnsi="Segoe UI" w:cs="Segoe UI"/>
                <w:color w:val="0F1115"/>
              </w:rPr>
            </w:pPr>
            <w:r>
              <w:rPr>
                <w:rStyle w:val="Strong"/>
                <w:b w:val="false"/>
                <w:bCs w:val="false"/>
                <w:sz w:val="22"/>
                <w:szCs w:val="22"/>
              </w:rPr>
              <w:t>Appui de l’APEJ/OIT à travers le projet AN KA</w:t>
            </w:r>
            <w:r>
              <w:rPr>
                <w:rStyle w:val="Strong"/>
                <w:rFonts w:cs="Segoe UI" w:ascii="Segoe UI" w:hAnsi="Segoe UI"/>
                <w:color w:val="0F1115"/>
              </w:rPr>
              <w:t xml:space="preserve"> BAARA</w:t>
            </w:r>
            <w:r>
              <w:rPr>
                <w:rFonts w:cs="Segoe UI" w:ascii="Segoe UI" w:hAnsi="Segoe UI"/>
                <w:color w:val="0F1115"/>
              </w:rPr>
              <w:t xml:space="preserve"> ;</w:t>
            </w:r>
          </w:p>
          <w:p>
            <w:pPr>
              <w:pStyle w:val="Normal"/>
              <w:numPr>
                <w:ilvl w:val="0"/>
                <w:numId w:val="14"/>
              </w:numPr>
              <w:rPr>
                <w:rStyle w:val="Strong"/>
                <w:b w:val="false"/>
                <w:bCs w:val="false"/>
                <w:sz w:val="22"/>
                <w:szCs w:val="22"/>
              </w:rPr>
            </w:pPr>
            <w:r>
              <w:rPr>
                <w:rStyle w:val="Strong"/>
                <w:b w:val="false"/>
                <w:bCs w:val="false"/>
                <w:sz w:val="22"/>
                <w:szCs w:val="22"/>
              </w:rPr>
              <w:t>Politique de substitution aux importations de produits transformés ;</w:t>
            </w:r>
          </w:p>
          <w:p>
            <w:pPr>
              <w:pStyle w:val="Normal"/>
              <w:numPr>
                <w:ilvl w:val="0"/>
                <w:numId w:val="14"/>
              </w:numPr>
              <w:rPr>
                <w:rStyle w:val="Strong"/>
                <w:b w:val="false"/>
                <w:bCs w:val="false"/>
                <w:sz w:val="22"/>
                <w:szCs w:val="22"/>
              </w:rPr>
            </w:pPr>
            <w:r>
              <w:rPr>
                <w:rStyle w:val="Strong"/>
                <w:b w:val="false"/>
                <w:bCs w:val="false"/>
                <w:sz w:val="22"/>
                <w:szCs w:val="22"/>
              </w:rPr>
              <w:t>Possibilité d’extension progressive de la superficie</w:t>
            </w:r>
            <w:r>
              <w:rPr>
                <w:rFonts w:cs="Segoe UI" w:ascii="Segoe UI" w:hAnsi="Segoe UI"/>
                <w:color w:val="0F1115"/>
              </w:rPr>
              <w:t xml:space="preserve"> exploitée (</w:t>
            </w:r>
            <w:r>
              <w:rPr>
                <w:rStyle w:val="Strong"/>
                <w:b w:val="false"/>
                <w:bCs w:val="false"/>
                <w:sz w:val="22"/>
                <w:szCs w:val="22"/>
              </w:rPr>
              <w:t>0,5 ha → 1 ha) ;</w:t>
            </w:r>
          </w:p>
          <w:p>
            <w:pPr>
              <w:pStyle w:val="Normal"/>
              <w:numPr>
                <w:ilvl w:val="0"/>
                <w:numId w:val="14"/>
              </w:numPr>
              <w:rPr>
                <w:rStyle w:val="Strong"/>
                <w:b w:val="false"/>
                <w:bCs w:val="false"/>
                <w:sz w:val="22"/>
                <w:szCs w:val="22"/>
              </w:rPr>
            </w:pPr>
            <w:r>
              <w:rPr>
                <w:rStyle w:val="Strong"/>
                <w:b w:val="false"/>
                <w:bCs w:val="false"/>
                <w:sz w:val="22"/>
                <w:szCs w:val="22"/>
              </w:rPr>
              <w:t>Valorisation du piment séché (prix plus élevé : 3 000 F/kg contre 1 000 F/kg pour le frais) ;</w:t>
            </w:r>
          </w:p>
          <w:p>
            <w:pPr>
              <w:pStyle w:val="Normal"/>
              <w:numPr>
                <w:ilvl w:val="0"/>
                <w:numId w:val="14"/>
              </w:numPr>
              <w:rPr>
                <w:rStyle w:val="Strong"/>
                <w:b w:val="false"/>
                <w:bCs w:val="false"/>
                <w:sz w:val="22"/>
                <w:szCs w:val="22"/>
              </w:rPr>
            </w:pPr>
            <w:r>
              <w:rPr>
                <w:rStyle w:val="Strong"/>
                <w:b w:val="false"/>
                <w:bCs w:val="false"/>
                <w:sz w:val="22"/>
                <w:szCs w:val="22"/>
              </w:rPr>
              <w:t>Développement futur de produits dérivés (poudre de piment, sauces, condiments transformés).</w:t>
            </w:r>
          </w:p>
          <w:p>
            <w:pPr>
              <w:pStyle w:val="Normal"/>
              <w:numPr>
                <w:ilvl w:val="0"/>
                <w:numId w:val="14"/>
              </w:numPr>
              <w:rPr>
                <w:sz w:val="22"/>
                <w:szCs w:val="22"/>
              </w:rPr>
            </w:pPr>
            <w:r>
              <w:rPr>
                <w:rStyle w:val="Strong"/>
                <w:b w:val="false"/>
                <w:bCs w:val="false"/>
              </w:rPr>
              <w:t>;</w:t>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rStyle w:val="Strong"/>
                <w:b w:val="false"/>
                <w:bCs w:val="false"/>
                <w:sz w:val="22"/>
                <w:szCs w:val="22"/>
              </w:rPr>
            </w:pPr>
            <w:r>
              <w:rPr>
                <w:rStyle w:val="Strong"/>
                <w:b w:val="false"/>
                <w:bCs w:val="false"/>
                <w:sz w:val="22"/>
                <w:szCs w:val="22"/>
              </w:rPr>
              <w:t>Attaques de ravageurs et maladies (pucerons, mildiou, flétrissement) ;</w:t>
            </w:r>
          </w:p>
          <w:p>
            <w:pPr>
              <w:pStyle w:val="Normal"/>
              <w:numPr>
                <w:ilvl w:val="0"/>
                <w:numId w:val="14"/>
              </w:numPr>
              <w:rPr>
                <w:rStyle w:val="Strong"/>
                <w:b w:val="false"/>
                <w:bCs w:val="false"/>
                <w:sz w:val="22"/>
                <w:szCs w:val="22"/>
              </w:rPr>
            </w:pPr>
            <w:r>
              <w:rPr>
                <w:rStyle w:val="Strong"/>
                <w:b w:val="false"/>
                <w:bCs w:val="false"/>
                <w:sz w:val="22"/>
                <w:szCs w:val="22"/>
              </w:rPr>
              <w:t>Volatilité des prix du piment en période d’abondance ;</w:t>
            </w:r>
          </w:p>
          <w:p>
            <w:pPr>
              <w:pStyle w:val="Normal"/>
              <w:numPr>
                <w:ilvl w:val="0"/>
                <w:numId w:val="14"/>
              </w:numPr>
              <w:rPr>
                <w:rStyle w:val="Strong"/>
                <w:b w:val="false"/>
                <w:bCs w:val="false"/>
                <w:sz w:val="22"/>
                <w:szCs w:val="22"/>
              </w:rPr>
            </w:pPr>
            <w:r>
              <w:rPr>
                <w:rStyle w:val="Strong"/>
                <w:b w:val="false"/>
                <w:bCs w:val="false"/>
                <w:sz w:val="22"/>
                <w:szCs w:val="22"/>
              </w:rPr>
              <w:t>Aléas climatiques (sécheresse, fortes chaleurs, pluies tardives) ;</w:t>
            </w:r>
          </w:p>
          <w:p>
            <w:pPr>
              <w:pStyle w:val="ds-markdown-paragraph"/>
              <w:numPr>
                <w:ilvl w:val="0"/>
                <w:numId w:val="15"/>
              </w:numPr>
              <w:shd w:val="clear" w:fill="FFFFFF"/>
              <w:spacing w:before="0" w:after="0"/>
              <w:rPr>
                <w:rStyle w:val="Strong"/>
                <w:b w:val="false"/>
                <w:bCs w:val="false"/>
                <w:sz w:val="22"/>
                <w:szCs w:val="22"/>
                <w:lang w:eastAsia="zh-CN"/>
              </w:rPr>
            </w:pPr>
            <w:r>
              <w:rPr>
                <w:rStyle w:val="Strong"/>
                <w:b w:val="false"/>
                <w:bCs w:val="false"/>
                <w:sz w:val="22"/>
                <w:szCs w:val="22"/>
                <w:lang w:eastAsia="zh-CN"/>
              </w:rPr>
              <w:t>Pénurie d’eau ou pannes du système solaire (pompe, goutte-à-goutte) ;</w:t>
            </w:r>
          </w:p>
          <w:p>
            <w:pPr>
              <w:pStyle w:val="ds-markdown-paragraph"/>
              <w:numPr>
                <w:ilvl w:val="0"/>
                <w:numId w:val="15"/>
              </w:numPr>
              <w:shd w:val="clear" w:fill="FFFFFF"/>
              <w:spacing w:before="0" w:after="0"/>
              <w:rPr>
                <w:rStyle w:val="Strong"/>
                <w:b w:val="false"/>
                <w:bCs w:val="false"/>
                <w:sz w:val="22"/>
                <w:szCs w:val="22"/>
                <w:lang w:eastAsia="zh-CN"/>
              </w:rPr>
            </w:pPr>
            <w:r>
              <w:rPr>
                <w:rStyle w:val="Strong"/>
                <w:b w:val="false"/>
                <w:bCs w:val="false"/>
                <w:sz w:val="22"/>
                <w:szCs w:val="22"/>
                <w:lang w:eastAsia="zh-CN"/>
              </w:rPr>
              <w:t>Concurrence des producteurs locaux et des produits importés ;</w:t>
            </w:r>
          </w:p>
          <w:p>
            <w:pPr>
              <w:pStyle w:val="ds-markdown-paragraph"/>
              <w:numPr>
                <w:ilvl w:val="0"/>
                <w:numId w:val="15"/>
              </w:numPr>
              <w:shd w:val="clear" w:fill="FFFFFF"/>
              <w:spacing w:before="0" w:after="0"/>
              <w:rPr>
                <w:rStyle w:val="Strong"/>
                <w:b w:val="false"/>
                <w:bCs w:val="false"/>
                <w:sz w:val="22"/>
                <w:szCs w:val="22"/>
                <w:lang w:eastAsia="zh-CN"/>
              </w:rPr>
            </w:pPr>
            <w:r>
              <w:rPr>
                <w:rStyle w:val="Strong"/>
                <w:b w:val="false"/>
                <w:bCs w:val="false"/>
                <w:sz w:val="22"/>
                <w:szCs w:val="22"/>
                <w:lang w:eastAsia="zh-CN"/>
              </w:rPr>
              <w:t>Cherté des intrants et des équipements ;</w:t>
            </w:r>
          </w:p>
          <w:p>
            <w:pPr>
              <w:pStyle w:val="ds-markdown-paragraph"/>
              <w:numPr>
                <w:ilvl w:val="0"/>
                <w:numId w:val="15"/>
              </w:numPr>
              <w:shd w:val="clear" w:fill="FFFFFF"/>
              <w:spacing w:before="0" w:after="0"/>
              <w:rPr>
                <w:rStyle w:val="Strong"/>
                <w:b w:val="false"/>
                <w:bCs w:val="false"/>
                <w:sz w:val="22"/>
                <w:szCs w:val="22"/>
                <w:lang w:eastAsia="zh-CN"/>
              </w:rPr>
            </w:pPr>
            <w:r>
              <w:rPr>
                <w:rStyle w:val="Strong"/>
                <w:b w:val="false"/>
                <w:bCs w:val="false"/>
                <w:sz w:val="22"/>
                <w:szCs w:val="22"/>
                <w:lang w:eastAsia="zh-CN"/>
              </w:rPr>
              <w:t>Risque de mévente si la qualité ou la conservation n’est pas conforme ;</w:t>
            </w:r>
          </w:p>
          <w:p>
            <w:pPr>
              <w:pStyle w:val="ds-markdown-paragraph"/>
              <w:numPr>
                <w:ilvl w:val="0"/>
                <w:numId w:val="15"/>
              </w:numPr>
              <w:shd w:val="clear" w:fill="FFFFFF"/>
              <w:spacing w:before="0" w:after="0"/>
              <w:rPr>
                <w:rStyle w:val="Strong"/>
                <w:b w:val="false"/>
                <w:bCs w:val="false"/>
                <w:sz w:val="22"/>
                <w:szCs w:val="22"/>
                <w:lang w:eastAsia="zh-CN"/>
              </w:rPr>
            </w:pPr>
            <w:r>
              <w:rPr>
                <w:rStyle w:val="Strong"/>
                <w:b w:val="false"/>
                <w:bCs w:val="false"/>
                <w:sz w:val="22"/>
                <w:szCs w:val="22"/>
                <w:lang w:eastAsia="zh-CN"/>
              </w:rPr>
              <w:t>Risque de remboursement du crédit en cas d’aléa climatique ou sanitaire ;</w:t>
            </w:r>
          </w:p>
          <w:p>
            <w:pPr>
              <w:pStyle w:val="ds-markdown-paragraph"/>
              <w:numPr>
                <w:ilvl w:val="0"/>
                <w:numId w:val="15"/>
              </w:numPr>
              <w:shd w:val="clear" w:fill="FFFFFF"/>
              <w:spacing w:before="0" w:after="0"/>
              <w:rPr>
                <w:rStyle w:val="Strong"/>
                <w:b w:val="false"/>
                <w:bCs w:val="false"/>
                <w:sz w:val="22"/>
                <w:szCs w:val="22"/>
                <w:lang w:eastAsia="zh-CN"/>
              </w:rPr>
            </w:pPr>
            <w:r>
              <w:rPr>
                <w:rStyle w:val="Strong"/>
                <w:b w:val="false"/>
                <w:bCs w:val="false"/>
                <w:sz w:val="22"/>
                <w:szCs w:val="22"/>
                <w:lang w:eastAsia="zh-CN"/>
              </w:rPr>
              <w:t>Normes sanitaires et exigences de qualité pour la commercialisation.</w:t>
            </w:r>
          </w:p>
          <w:p>
            <w:pPr>
              <w:pStyle w:val="Normal"/>
              <w:rPr>
                <w:rStyle w:val="Strong"/>
                <w:b w:val="false"/>
                <w:bCs w:val="false"/>
                <w:sz w:val="22"/>
                <w:szCs w:val="22"/>
                <w:lang w:eastAsia="zh-CN"/>
              </w:rPr>
            </w:pPr>
            <w:r>
              <w:rPr>
                <w:b w:val="false"/>
                <w:bCs w:val="false"/>
                <w:sz w:val="22"/>
                <w:szCs w:val="22"/>
                <w:lang w:eastAsia="zh-CN"/>
              </w:rPr>
            </w:r>
          </w:p>
        </w:tc>
      </w:tr>
    </w:tbl>
    <w:p>
      <w:pPr>
        <w:pStyle w:val="Normal"/>
        <w:jc w:val="center"/>
        <w:rPr>
          <w:rStyle w:val="Strong"/>
          <w:b w:val="false"/>
          <w:bCs w:val="false"/>
          <w:lang w:eastAsia="en-US"/>
        </w:rPr>
      </w:pPr>
      <w:r>
        <w:rPr>
          <w:b w:val="false"/>
          <w:bCs w:val="false"/>
          <w:lang w:eastAsia="en-US"/>
        </w:rPr>
      </w:r>
    </w:p>
    <w:p>
      <w:pPr>
        <w:pStyle w:val="Heading1"/>
        <w:keepLines/>
        <w:numPr>
          <w:ilvl w:val="0"/>
          <w:numId w:val="3"/>
        </w:numPr>
        <w:spacing w:before="0" w:after="0"/>
        <w:ind w:hanging="431" w:left="431" w:right="0"/>
        <w:jc w:val="both"/>
        <w:rPr>
          <w:rFonts w:ascii="Times New Roman" w:hAnsi="Times New Roman" w:cs="Times New Roman"/>
          <w:caps/>
          <w:color w:val="166B7F"/>
          <w:kern w:val="0"/>
          <w:lang w:eastAsia="en-US"/>
        </w:rPr>
      </w:pPr>
      <w:bookmarkStart w:id="29" w:name="__RefHeading___Toc234831728"/>
      <w:bookmarkEnd w:id="29"/>
      <w:r>
        <w:rPr>
          <w:rFonts w:cs="Times New Roman" w:ascii="Times New Roman" w:hAnsi="Times New Roman"/>
          <w:caps/>
          <w:color w:val="166B7F"/>
          <w:kern w:val="0"/>
          <w:lang w:eastAsia="en-US"/>
        </w:rPr>
        <w:t>CONCLUSION</w:t>
      </w:r>
    </w:p>
    <w:p>
      <w:pPr>
        <w:pStyle w:val="Normal"/>
        <w:jc w:val="both"/>
        <w:rPr/>
      </w:pPr>
      <w:r>
        <w:rPr>
          <w:sz w:val="22"/>
          <w:szCs w:val="22"/>
        </w:rPr>
        <w:t>En examinant les ratios de rentabilité économique et financière, le présent projet apparaît rentable, sous réserve de la validation des hypothèses de rendement, de prix et de besoin en fonds de roulement et contribue à la création de deux (2) emplois directs (1 promoteur et 1 ouvrier permanent), ainsi que de la main-d’œuvre saisonnière pour les pics d’activité. Le taux de rentabilité interne (</w:t>
      </w:r>
      <w:r>
        <w:rPr>
          <w:b/>
          <w:bCs/>
          <w:sz w:val="22"/>
          <w:szCs w:val="22"/>
        </w:rPr>
        <w:t>182 %</w:t>
      </w:r>
      <w:r>
        <w:rPr>
          <w:sz w:val="22"/>
          <w:szCs w:val="22"/>
        </w:rPr>
        <w:t>), la valeur actuelle nette (</w:t>
      </w:r>
      <w:r>
        <w:rPr>
          <w:b/>
          <w:bCs/>
          <w:sz w:val="22"/>
          <w:szCs w:val="22"/>
        </w:rPr>
        <w:t>20 076 466 F CFA</w:t>
      </w:r>
      <w:r>
        <w:rPr>
          <w:sz w:val="22"/>
          <w:szCs w:val="22"/>
        </w:rPr>
        <w:t>) ainsi que le délai de récupération des capitaux investis (</w:t>
      </w:r>
      <w:r>
        <w:rPr>
          <w:b/>
          <w:bCs/>
          <w:sz w:val="22"/>
          <w:szCs w:val="22"/>
        </w:rPr>
        <w:t>7 mois</w:t>
      </w:r>
      <w:r>
        <w:rPr>
          <w:sz w:val="22"/>
          <w:szCs w:val="22"/>
        </w:rPr>
        <w:t xml:space="preserve">) corroborent la rentabilité du projet de création de l’entreprise </w:t>
      </w:r>
      <w:r>
        <w:rPr>
          <w:b/>
          <w:bCs/>
          <w:sz w:val="22"/>
          <w:szCs w:val="22"/>
        </w:rPr>
        <w:t>PIMENT DÉLICE</w:t>
      </w:r>
      <w:r>
        <w:rPr>
          <w:sz w:val="22"/>
          <w:szCs w:val="22"/>
        </w:rPr>
        <w:t xml:space="preserve"> dans la production et la commercialisation de piment frais et séché sur une superficie de 0,5 hectare à Safé kore (Bougoula), Région de Koulikor</w:t>
      </w:r>
      <w:r>
        <w:rPr>
          <w:b/>
          <w:bCs/>
          <w:sz w:val="22"/>
          <w:szCs w:val="22"/>
        </w:rPr>
        <w:t>o</w:t>
      </w:r>
      <w:r>
        <w:rPr>
          <w:sz w:val="22"/>
          <w:szCs w:val="22"/>
        </w:rPr>
        <w:t>. L’existence des structures d’accompagnement, notamment l’APEJ et l’OIT à travers le projet AN KA BAARA, permettra au promoteur d’investir dans sa parcelle, de bénéficier d’un accompagnement technique et de rembourser les prêts contractés. Le seuil de rentabilité représente 22 % du chiffre d’affaires en année 3 (32 % en année 1). La mise en œuvre est conditionnée à la production de l’acte de mise à disposition du terrain, des factures pro forma des équipements et d’un échéancier de remboursement adapté au cycle de production.</w:t>
      </w:r>
    </w:p>
    <w:p>
      <w:pPr>
        <w:pStyle w:val="Normal"/>
        <w:rPr/>
      </w:pPr>
      <w:r>
        <w:rPr/>
      </w:r>
    </w:p>
    <w:p>
      <w:pPr>
        <w:pStyle w:val="Normal"/>
        <w:rPr/>
      </w:pPr>
      <w:r>
        <w:rPr>
          <w:b/>
          <w:sz w:val="22"/>
        </w:rPr>
        <w:t>Pièces à joindre au dossier</w:t>
      </w:r>
    </w:p>
    <w:p>
      <w:pPr>
        <w:pStyle w:val="Normal"/>
        <w:rPr/>
      </w:pPr>
      <w:r>
        <w:rPr>
          <w:b w:val="false"/>
          <w:sz w:val="20"/>
        </w:rPr>
        <w:t xml:space="preserve">– </w:t>
      </w:r>
      <w:r>
        <w:rPr>
          <w:b w:val="false"/>
          <w:sz w:val="20"/>
        </w:rPr>
        <w:t>Copie de la pièce d’identité du promoteur (justifiant la date et le lieu de naissance, condition d’éligibilité au dispositif APEJ) ;</w:t>
      </w:r>
    </w:p>
    <w:p>
      <w:pPr>
        <w:pStyle w:val="Normal"/>
        <w:rPr/>
      </w:pPr>
      <w:r>
        <w:rPr>
          <w:b w:val="false"/>
          <w:sz w:val="20"/>
        </w:rPr>
        <w:t xml:space="preserve">– </w:t>
      </w:r>
      <w:r>
        <w:rPr>
          <w:b w:val="false"/>
          <w:sz w:val="20"/>
        </w:rPr>
        <w:t>Attestation(s) de formation du promoteur ;</w:t>
      </w:r>
    </w:p>
    <w:p>
      <w:pPr>
        <w:pStyle w:val="Normal"/>
        <w:rPr/>
      </w:pPr>
      <w:r>
        <w:rPr>
          <w:b w:val="false"/>
          <w:sz w:val="20"/>
        </w:rPr>
        <w:t xml:space="preserve">– </w:t>
      </w:r>
      <w:r>
        <w:rPr>
          <w:b w:val="false"/>
          <w:sz w:val="20"/>
        </w:rPr>
        <w:t>Acte de mise à disposition du terrain ou du local, dûment signé et légalisé (condition préalable au décaissement) ;</w:t>
      </w:r>
    </w:p>
    <w:p>
      <w:pPr>
        <w:pStyle w:val="Normal"/>
        <w:rPr/>
      </w:pPr>
      <w:r>
        <w:rPr>
          <w:b w:val="false"/>
          <w:sz w:val="20"/>
        </w:rPr>
        <w:t xml:space="preserve">– </w:t>
      </w:r>
      <w:r>
        <w:rPr>
          <w:b w:val="false"/>
          <w:sz w:val="20"/>
        </w:rPr>
        <w:t>Factures pro forma d’au moins deux fournisseurs pour les équipements principaux (kit solaire, pompe, système d’irrigation goutte-à-goutte) ;</w:t>
      </w:r>
    </w:p>
    <w:p>
      <w:pPr>
        <w:pStyle w:val="Normal"/>
        <w:rPr/>
      </w:pPr>
      <w:r>
        <w:rPr>
          <w:b w:val="false"/>
          <w:sz w:val="20"/>
        </w:rPr>
        <w:t xml:space="preserve">– </w:t>
      </w:r>
      <w:r>
        <w:rPr>
          <w:b w:val="false"/>
          <w:sz w:val="20"/>
        </w:rPr>
        <w:t>Lettres d’intention ou engagements d’achat de deux ou trois clients (grossistes, détaillants, collectivités) ;</w:t>
      </w:r>
    </w:p>
    <w:p>
      <w:pPr>
        <w:pStyle w:val="Normal"/>
        <w:rPr/>
      </w:pPr>
      <w:r>
        <w:rPr>
          <w:b w:val="false"/>
          <w:sz w:val="20"/>
        </w:rPr>
        <w:t xml:space="preserve">– </w:t>
      </w:r>
      <w:r>
        <w:rPr>
          <w:b w:val="false"/>
          <w:sz w:val="20"/>
        </w:rPr>
        <w:t>Calendrier de production (semis, repiquage et récolte, avec une campagne par an).</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849"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Aptos">
    <w:altName w:val="Arial"/>
    <w:charset w:val="01"/>
    <w:family w:val="roman"/>
    <w:pitch w:val="variable"/>
  </w:font>
  <w:font w:name="Aptos Display">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Trebuchet MS">
    <w:charset w:val="01"/>
    <w:family w:val="roman"/>
    <w:pitch w:val="variable"/>
  </w:font>
  <w:font w:name="Garamond">
    <w:charset w:val="01"/>
    <w:family w:val="roman"/>
    <w:pitch w:val="variable"/>
  </w:font>
  <w:font w:name="Segoe UI">
    <w:charset w:val="01"/>
    <w:family w:val="roman"/>
    <w:pitch w:val="variable"/>
  </w:font>
  <w:font w:name="Cambira">
    <w:altName w:val="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708"/>
      </w:tabs>
      <w:jc w:val="center"/>
      <w:rPr>
        <w:rFonts w:ascii="Cambria" w:hAnsi="Cambria" w:cs="Cambria"/>
        <w:sz w:val="20"/>
      </w:rPr>
    </w:pPr>
    <w:r>
      <w:rPr>
        <w:rFonts w:cs="Cambria" w:ascii="Cambria" w:hAnsi="Cambria"/>
      </w:rPr>
      <w:tab/>
      <w:t xml:space="preserve">Page </w:t>
    </w:r>
    <w:r>
      <w:rPr/>
      <w:fldChar w:fldCharType="begin"/>
    </w:r>
    <w:r>
      <w:rPr/>
      <w:instrText xml:space="preserve"> PAGE </w:instrText>
    </w:r>
    <w:r>
      <w:rPr/>
      <w:fldChar w:fldCharType="separate"/>
    </w:r>
    <w:r>
      <w:rPr/>
      <w:t>20</w:t>
    </w:r>
    <w:r>
      <w:rPr/>
      <w:fldChar w:fldCharType="end"/>
    </w:r>
  </w:p>
  <w:p>
    <w:pPr>
      <w:pStyle w:val="Footer"/>
      <w:rPr>
        <w:rFonts w:ascii="Cambria" w:hAnsi="Cambria" w:cs="Cambria"/>
        <w:sz w:val="20"/>
      </w:rPr>
    </w:pPr>
    <w:r>
      <w:rPr>
        <w:rFonts w:cs="Cambria" w:ascii="Cambria" w:hAnsi="Cambria"/>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numPr>
        <w:ilvl w:val="0"/>
        <w:numId w:val="0"/>
      </w:numPr>
      <w:ind w:hanging="0" w:left="0"/>
      <w:outlineLvl w:val="3"/>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8"/>
        <w:tab w:val="left" w:pos="3075" w:leader="none"/>
      </w:tabs>
      <w:rPr>
        <w:b/>
        <w:bCs/>
        <w:sz w:val="22"/>
        <w:szCs w:val="32"/>
      </w:rPr>
    </w:pPr>
    <w:r>
      <w:drawing>
        <wp:anchor behindDoc="1" distT="0" distB="0" distL="114935" distR="114935" simplePos="0" locked="0" layoutInCell="0" allowOverlap="1" relativeHeight="12">
          <wp:simplePos x="0" y="0"/>
          <wp:positionH relativeFrom="column">
            <wp:posOffset>2243455</wp:posOffset>
          </wp:positionH>
          <wp:positionV relativeFrom="paragraph">
            <wp:posOffset>64770</wp:posOffset>
          </wp:positionV>
          <wp:extent cx="1066800" cy="815340"/>
          <wp:effectExtent l="0" t="0" r="0" b="0"/>
          <wp:wrapSquare wrapText="bothSides"/>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
                  <a:srcRect l="-70" t="-53" r="-70" b="-53"/>
                  <a:stretch>
                    <a:fillRect/>
                  </a:stretch>
                </pic:blipFill>
                <pic:spPr bwMode="auto">
                  <a:xfrm>
                    <a:off x="0" y="0"/>
                    <a:ext cx="1066800" cy="815340"/>
                  </a:xfrm>
                  <a:prstGeom prst="rect">
                    <a:avLst/>
                  </a:prstGeom>
                </pic:spPr>
              </pic:pic>
            </a:graphicData>
          </a:graphic>
        </wp:anchor>
      </w:drawing>
    </w:r>
    <w:r>
      <w:rPr/>
      <w:drawing>
        <wp:inline distT="0" distB="0" distL="0" distR="0">
          <wp:extent cx="925830" cy="845820"/>
          <wp:effectExtent l="0" t="0" r="0" b="0"/>
          <wp:docPr id="1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 descr=""/>
                  <pic:cNvPicPr>
                    <a:picLocks noChangeAspect="1" noChangeArrowheads="1"/>
                  </pic:cNvPicPr>
                </pic:nvPicPr>
                <pic:blipFill>
                  <a:blip r:embed="rId2"/>
                  <a:srcRect l="-76" t="-76" r="-76" b="-76"/>
                  <a:stretch>
                    <a:fillRect/>
                  </a:stretch>
                </pic:blipFill>
                <pic:spPr bwMode="auto">
                  <a:xfrm>
                    <a:off x="0" y="0"/>
                    <a:ext cx="925830" cy="845820"/>
                  </a:xfrm>
                  <a:prstGeom prst="rect">
                    <a:avLst/>
                  </a:prstGeom>
                </pic:spPr>
              </pic:pic>
            </a:graphicData>
          </a:graphic>
        </wp:inline>
      </w:drawing>
    </w:r>
    <w:r>
      <w:rPr/>
      <w:tab/>
      <w:tab/>
      <w:tab/>
      <w:t xml:space="preserve">            </w:t>
    </w:r>
    <w:r>
      <w:rPr/>
      <w:drawing>
        <wp:inline distT="0" distB="0" distL="0" distR="0">
          <wp:extent cx="1003300" cy="773430"/>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3"/>
                  <a:srcRect l="-270" t="-270" r="-270" b="-270"/>
                  <a:stretch>
                    <a:fillRect/>
                  </a:stretch>
                </pic:blipFill>
                <pic:spPr bwMode="auto">
                  <a:xfrm>
                    <a:off x="0" y="0"/>
                    <a:ext cx="1003300" cy="773430"/>
                  </a:xfrm>
                  <a:prstGeom prst="rect">
                    <a:avLst/>
                  </a:prstGeom>
                </pic:spPr>
              </pic:pic>
            </a:graphicData>
          </a:graphic>
        </wp:inline>
      </w:drawing>
    </w:r>
  </w:p>
  <w:p>
    <w:pPr>
      <w:pStyle w:val="Header"/>
      <w:rPr>
        <w:b/>
        <w:bCs/>
        <w:sz w:val="22"/>
        <w:szCs w:val="32"/>
      </w:rPr>
    </w:pPr>
    <w:r>
      <w:rPr>
        <w:b/>
        <w:bCs/>
        <w:sz w:val="2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4"/>
      <w:numFmt w:val="upperRoman"/>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4">
    <w:lvl w:ilvl="0">
      <w:start w:val="1"/>
      <w:numFmt w:val="upperRoman"/>
      <w:lvlText w:val="%1."/>
      <w:lvlJc w:val="left"/>
      <w:pPr>
        <w:tabs>
          <w:tab w:val="num" w:pos="0"/>
        </w:tabs>
        <w:ind w:left="1080" w:hanging="72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160" w:hanging="180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9">
    <w:lvl w:ilvl="0">
      <w:start w:val="2"/>
      <w:numFmt w:val="decimal"/>
      <w:lvlText w:val="%1"/>
      <w:lvlJc w:val="left"/>
      <w:pPr>
        <w:tabs>
          <w:tab w:val="num" w:pos="0"/>
        </w:tabs>
        <w:ind w:left="360" w:hanging="360"/>
      </w:pPr>
      <w:rPr/>
    </w:lvl>
    <w:lvl w:ilvl="1">
      <w:start w:val="1"/>
      <w:numFmt w:val="decimal"/>
      <w:lvlText w:val="%1.%2"/>
      <w:lvlJc w:val="left"/>
      <w:pPr>
        <w:tabs>
          <w:tab w:val="num" w:pos="0"/>
        </w:tabs>
        <w:ind w:left="1211" w:hanging="360"/>
      </w:pPr>
      <w:rPr/>
    </w:lvl>
    <w:lvl w:ilvl="2">
      <w:start w:val="1"/>
      <w:numFmt w:val="decimal"/>
      <w:lvlText w:val="%1.%2.%3"/>
      <w:lvlJc w:val="left"/>
      <w:pPr>
        <w:tabs>
          <w:tab w:val="num" w:pos="0"/>
        </w:tabs>
        <w:ind w:left="2422" w:hanging="720"/>
      </w:pPr>
      <w:rPr/>
    </w:lvl>
    <w:lvl w:ilvl="3">
      <w:start w:val="1"/>
      <w:numFmt w:val="decimal"/>
      <w:lvlText w:val="%1.%2.%3.%4"/>
      <w:lvlJc w:val="left"/>
      <w:pPr>
        <w:tabs>
          <w:tab w:val="num" w:pos="0"/>
        </w:tabs>
        <w:ind w:left="3633" w:hanging="1080"/>
      </w:pPr>
      <w:rPr/>
    </w:lvl>
    <w:lvl w:ilvl="4">
      <w:start w:val="1"/>
      <w:numFmt w:val="decimal"/>
      <w:lvlText w:val="%1.%2.%3.%4.%5"/>
      <w:lvlJc w:val="left"/>
      <w:pPr>
        <w:tabs>
          <w:tab w:val="num" w:pos="0"/>
        </w:tabs>
        <w:ind w:left="4484" w:hanging="1080"/>
      </w:pPr>
      <w:rPr/>
    </w:lvl>
    <w:lvl w:ilvl="5">
      <w:start w:val="1"/>
      <w:numFmt w:val="decimal"/>
      <w:lvlText w:val="%1.%2.%3.%4.%5.%6"/>
      <w:lvlJc w:val="left"/>
      <w:pPr>
        <w:tabs>
          <w:tab w:val="num" w:pos="0"/>
        </w:tabs>
        <w:ind w:left="5695" w:hanging="1440"/>
      </w:pPr>
      <w:rPr/>
    </w:lvl>
    <w:lvl w:ilvl="6">
      <w:start w:val="1"/>
      <w:numFmt w:val="decimal"/>
      <w:lvlText w:val="%1.%2.%3.%4.%5.%6.%7"/>
      <w:lvlJc w:val="left"/>
      <w:pPr>
        <w:tabs>
          <w:tab w:val="num" w:pos="0"/>
        </w:tabs>
        <w:ind w:left="6546" w:hanging="1440"/>
      </w:pPr>
      <w:rPr/>
    </w:lvl>
    <w:lvl w:ilvl="7">
      <w:start w:val="1"/>
      <w:numFmt w:val="decimal"/>
      <w:lvlText w:val="%1.%2.%3.%4.%5.%6.%7.%8"/>
      <w:lvlJc w:val="left"/>
      <w:pPr>
        <w:tabs>
          <w:tab w:val="num" w:pos="0"/>
        </w:tabs>
        <w:ind w:left="7757" w:hanging="1800"/>
      </w:pPr>
      <w:rPr/>
    </w:lvl>
    <w:lvl w:ilvl="8">
      <w:start w:val="1"/>
      <w:numFmt w:val="decimal"/>
      <w:lvlText w:val="%1.%2.%3.%4.%5.%6.%7.%8.%9"/>
      <w:lvlJc w:val="left"/>
      <w:pPr>
        <w:tabs>
          <w:tab w:val="num" w:pos="0"/>
        </w:tabs>
        <w:ind w:left="8608" w:hanging="1800"/>
      </w:pPr>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2">
    <w:lvl w:ilvl="0">
      <w:start w:val="1"/>
      <w:numFmt w:val="decimal"/>
      <w:lvlText w:val="%1."/>
      <w:lvlJc w:val="left"/>
      <w:pPr>
        <w:tabs>
          <w:tab w:val="num" w:pos="0"/>
        </w:tabs>
        <w:ind w:left="720" w:hanging="360"/>
      </w:pPr>
      <w:rPr>
        <w:b/>
        <w:bCs w:val="false"/>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567"/>
        </w:tabs>
        <w:ind w:left="567" w:hanging="283"/>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tabs>
        <w:tab w:val="clear" w:pos="708"/>
        <w:tab w:val="left" w:pos="0" w:leader="none"/>
      </w:tabs>
      <w:spacing w:before="240" w:after="60"/>
      <w:ind w:hanging="432" w:left="432" w:right="0"/>
      <w:outlineLvl w:val="1"/>
    </w:pPr>
    <w:rPr>
      <w:rFonts w:ascii="Cambria" w:hAnsi="Cambria" w:cs="Cambria"/>
      <w:b/>
      <w:bCs/>
      <w:i/>
      <w:iCs/>
      <w:sz w:val="28"/>
      <w:szCs w:val="28"/>
    </w:rPr>
  </w:style>
  <w:style w:type="paragraph" w:styleId="Heading3">
    <w:name w:val="Heading 3"/>
    <w:basedOn w:val="Normal"/>
    <w:next w:val="Normal"/>
    <w:qFormat/>
    <w:pPr>
      <w:keepNext w:val="true"/>
      <w:tabs>
        <w:tab w:val="clear" w:pos="708"/>
        <w:tab w:val="left" w:pos="0" w:leader="none"/>
      </w:tabs>
      <w:spacing w:before="240" w:after="60"/>
      <w:ind w:hanging="432" w:left="432" w:right="0"/>
      <w:outlineLvl w:val="2"/>
    </w:pPr>
    <w:rPr>
      <w:rFonts w:ascii="Cambria" w:hAnsi="Cambria" w:cs="Cambria"/>
      <w:b/>
      <w:bCs/>
      <w:sz w:val="26"/>
      <w:szCs w:val="26"/>
    </w:rPr>
  </w:style>
  <w:style w:type="paragraph" w:styleId="Heading4">
    <w:name w:val="Heading 4"/>
    <w:basedOn w:val="Normal"/>
    <w:next w:val="Normal"/>
    <w:qFormat/>
    <w:pPr>
      <w:keepNext w:val="true"/>
      <w:tabs>
        <w:tab w:val="clear" w:pos="708"/>
        <w:tab w:val="left" w:pos="0" w:leader="none"/>
      </w:tabs>
      <w:spacing w:before="240" w:after="60"/>
      <w:ind w:hanging="432" w:left="432" w:right="0"/>
      <w:outlineLvl w:val="3"/>
    </w:pPr>
    <w:rPr>
      <w:rFonts w:ascii="Aptos;Arial;Calibri" w:hAnsi="Aptos;Arial;Calibri" w:cs="Aptos;Arial;Calibri"/>
      <w:b/>
      <w:bCs/>
      <w:sz w:val="28"/>
      <w:szCs w:val="28"/>
    </w:rPr>
  </w:style>
  <w:style w:type="paragraph" w:styleId="Heading5">
    <w:name w:val="Heading 5"/>
    <w:basedOn w:val="Normal"/>
    <w:next w:val="Normal"/>
    <w:qFormat/>
    <w:pPr>
      <w:tabs>
        <w:tab w:val="clear" w:pos="708"/>
        <w:tab w:val="left" w:pos="0" w:leader="none"/>
      </w:tabs>
      <w:spacing w:before="240" w:after="60"/>
      <w:ind w:hanging="432" w:left="432" w:right="0"/>
      <w:outlineLvl w:val="4"/>
    </w:pPr>
    <w:rPr>
      <w:rFonts w:ascii="Aptos;Arial;Calibri" w:hAnsi="Aptos;Arial;Calibri" w:cs="Aptos;Arial;Calibri"/>
      <w:b/>
      <w:bCs/>
      <w:i/>
      <w:iCs/>
      <w:sz w:val="26"/>
      <w:szCs w:val="26"/>
    </w:rPr>
  </w:style>
  <w:style w:type="paragraph" w:styleId="Heading6">
    <w:name w:val="Heading 6"/>
    <w:basedOn w:val="Normal"/>
    <w:next w:val="Normal"/>
    <w:qFormat/>
    <w:pPr>
      <w:tabs>
        <w:tab w:val="clear" w:pos="708"/>
        <w:tab w:val="left" w:pos="0" w:leader="none"/>
      </w:tabs>
      <w:spacing w:before="240" w:after="60"/>
      <w:ind w:hanging="432" w:left="432" w:right="0"/>
      <w:outlineLvl w:val="5"/>
    </w:pPr>
    <w:rPr>
      <w:rFonts w:ascii="Aptos;Arial;Calibri" w:hAnsi="Aptos;Arial;Calibri" w:cs="Aptos;Arial;Calibri"/>
      <w:b/>
      <w:bCs/>
      <w:sz w:val="22"/>
      <w:szCs w:val="22"/>
    </w:rPr>
  </w:style>
  <w:style w:type="paragraph" w:styleId="Heading7">
    <w:name w:val="Heading 7"/>
    <w:basedOn w:val="Normal"/>
    <w:next w:val="Normal"/>
    <w:qFormat/>
    <w:pPr>
      <w:tabs>
        <w:tab w:val="clear" w:pos="708"/>
        <w:tab w:val="left" w:pos="0" w:leader="none"/>
      </w:tabs>
      <w:spacing w:before="240" w:after="60"/>
      <w:ind w:hanging="432" w:left="432" w:right="0"/>
      <w:outlineLvl w:val="6"/>
    </w:pPr>
    <w:rPr>
      <w:rFonts w:ascii="Aptos;Arial;Calibri" w:hAnsi="Aptos;Arial;Calibri" w:cs="Aptos;Arial;Calibri"/>
    </w:rPr>
  </w:style>
  <w:style w:type="paragraph" w:styleId="Heading8">
    <w:name w:val="Heading 8"/>
    <w:basedOn w:val="Normal"/>
    <w:next w:val="Normal"/>
    <w:qFormat/>
    <w:pPr>
      <w:tabs>
        <w:tab w:val="clear" w:pos="708"/>
        <w:tab w:val="left" w:pos="0" w:leader="none"/>
      </w:tabs>
      <w:spacing w:before="240" w:after="60"/>
      <w:ind w:hanging="432" w:left="432" w:right="0"/>
      <w:outlineLvl w:val="7"/>
    </w:pPr>
    <w:rPr>
      <w:rFonts w:ascii="Aptos;Arial;Calibri" w:hAnsi="Aptos;Arial;Calibri" w:cs="Aptos;Arial;Calibri"/>
      <w:i/>
      <w:iCs/>
    </w:rPr>
  </w:style>
  <w:style w:type="paragraph" w:styleId="Heading9">
    <w:name w:val="Heading 9"/>
    <w:basedOn w:val="Normal"/>
    <w:next w:val="Normal"/>
    <w:qFormat/>
    <w:pPr>
      <w:tabs>
        <w:tab w:val="clear" w:pos="708"/>
        <w:tab w:val="left" w:pos="0" w:leader="none"/>
      </w:tabs>
      <w:spacing w:before="240" w:after="60"/>
      <w:ind w:hanging="432" w:left="432" w:right="0"/>
      <w:outlineLvl w:val="8"/>
    </w:pPr>
    <w:rPr>
      <w:rFonts w:ascii="Aptos Display" w:hAnsi="Aptos Display" w:cs="Aptos Display"/>
      <w:sz w:val="22"/>
      <w:szCs w:val="2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rPr>
  </w:style>
  <w:style w:type="character" w:styleId="WW8Num18z0">
    <w:name w:val="WW8Num18z0"/>
    <w:qFormat/>
    <w:rPr>
      <w:rFonts w:ascii="Symbol" w:hAnsi="Symbol" w:cs="Symbol"/>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3z0">
    <w:name w:val="WW8Num23z0"/>
    <w:qFormat/>
    <w:rPr>
      <w:b/>
      <w:bCs w:val="false"/>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Policepardfaut">
    <w:name w:val="Police par défaut"/>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7z0">
    <w:name w:val="WW8Num17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CorpsdetexteCar">
    <w:name w:val="Corps de texte Car"/>
    <w:qFormat/>
    <w:rPr>
      <w:sz w:val="24"/>
    </w:rPr>
  </w:style>
  <w:style w:type="character" w:styleId="Corpsdetexte3Car">
    <w:name w:val="Corps de texte 3 Car"/>
    <w:qFormat/>
    <w:rPr>
      <w:sz w:val="16"/>
      <w:szCs w:val="16"/>
    </w:rPr>
  </w:style>
  <w:style w:type="character" w:styleId="TextedebullesCar">
    <w:name w:val="Texte de bulles Car"/>
    <w:qFormat/>
    <w:rPr>
      <w:rFonts w:ascii="Tahoma" w:hAnsi="Tahoma" w:cs="Tahoma"/>
      <w:sz w:val="16"/>
      <w:szCs w:val="16"/>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2Car">
    <w:name w:val="Titre 2 Car"/>
    <w:qFormat/>
    <w:rPr>
      <w:rFonts w:ascii="Cambria" w:hAnsi="Cambria" w:cs="Cambria"/>
      <w:b/>
      <w:bCs/>
      <w:i/>
      <w:iCs/>
      <w:sz w:val="28"/>
      <w:szCs w:val="28"/>
      <w:lang w:val="fr-FR"/>
    </w:rPr>
  </w:style>
  <w:style w:type="character" w:styleId="En-tteCar">
    <w:name w:val="En-tête Car"/>
    <w:qFormat/>
    <w:rPr>
      <w:sz w:val="24"/>
      <w:szCs w:val="24"/>
    </w:rPr>
  </w:style>
  <w:style w:type="character" w:styleId="PieddepageCar">
    <w:name w:val="Pied de page Car"/>
    <w:qFormat/>
    <w:rPr>
      <w:rFonts w:ascii="Arial" w:hAnsi="Arial" w:cs="Arial"/>
      <w:sz w:val="24"/>
      <w:szCs w:val="24"/>
    </w:rPr>
  </w:style>
  <w:style w:type="character" w:styleId="Titre3Car">
    <w:name w:val="Titre 3 Car"/>
    <w:qFormat/>
    <w:rPr>
      <w:rFonts w:ascii="Cambria" w:hAnsi="Cambria" w:cs="Cambria"/>
      <w:b/>
      <w:bCs/>
      <w:sz w:val="26"/>
      <w:szCs w:val="26"/>
      <w:lang w:val="fr-FR"/>
    </w:rPr>
  </w:style>
  <w:style w:type="character" w:styleId="Hyperlink">
    <w:name w:val="Hyperlink"/>
    <w:rPr>
      <w:color w:val="0000FF"/>
      <w:u w:val="single"/>
    </w:rPr>
  </w:style>
  <w:style w:type="character" w:styleId="SansinterligneCar">
    <w:name w:val="Sans interligne Car"/>
    <w:qFormat/>
    <w:rPr>
      <w:rFonts w:ascii="Aptos;Arial;Calibri" w:hAnsi="Aptos;Arial;Calibri" w:cs="Aptos;Arial;Calibri"/>
      <w:sz w:val="22"/>
      <w:szCs w:val="22"/>
      <w:lang w:bidi="ar-SA"/>
    </w:rPr>
  </w:style>
  <w:style w:type="character" w:styleId="Titre1Car">
    <w:name w:val="Titre 1 Car"/>
    <w:qFormat/>
    <w:rPr>
      <w:rFonts w:ascii="Arial" w:hAnsi="Arial" w:cs="Arial"/>
      <w:b/>
      <w:bCs/>
      <w:kern w:val="2"/>
      <w:sz w:val="32"/>
      <w:szCs w:val="32"/>
      <w:lang w:val="fr-FR"/>
    </w:rPr>
  </w:style>
  <w:style w:type="character" w:styleId="Titre5Car">
    <w:name w:val="Titre 5 Car"/>
    <w:qFormat/>
    <w:rPr>
      <w:rFonts w:ascii="Aptos;Arial;Calibri" w:hAnsi="Aptos;Arial;Calibri" w:cs="Aptos;Arial;Calibri"/>
      <w:b/>
      <w:bCs/>
      <w:i/>
      <w:iCs/>
      <w:sz w:val="26"/>
      <w:szCs w:val="26"/>
      <w:lang w:val="fr-FR"/>
    </w:rPr>
  </w:style>
  <w:style w:type="character" w:styleId="Titre4Car">
    <w:name w:val="Titre 4 Car"/>
    <w:qFormat/>
    <w:rPr>
      <w:rFonts w:ascii="Aptos;Arial;Calibri" w:hAnsi="Aptos;Arial;Calibri" w:cs="Aptos;Arial;Calibri"/>
      <w:b/>
      <w:bCs/>
      <w:sz w:val="28"/>
      <w:szCs w:val="28"/>
      <w:lang w:val="fr-FR"/>
    </w:rPr>
  </w:style>
  <w:style w:type="character" w:styleId="Titre6Car">
    <w:name w:val="Titre 6 Car"/>
    <w:qFormat/>
    <w:rPr>
      <w:rFonts w:ascii="Aptos;Arial;Calibri" w:hAnsi="Aptos;Arial;Calibri" w:cs="Aptos;Arial;Calibri"/>
      <w:b/>
      <w:bCs/>
      <w:sz w:val="22"/>
      <w:szCs w:val="22"/>
      <w:lang w:val="fr-FR"/>
    </w:rPr>
  </w:style>
  <w:style w:type="character" w:styleId="Titre7Car">
    <w:name w:val="Titre 7 Car"/>
    <w:qFormat/>
    <w:rPr>
      <w:rFonts w:ascii="Aptos;Arial;Calibri" w:hAnsi="Aptos;Arial;Calibri" w:cs="Aptos;Arial;Calibri"/>
      <w:sz w:val="24"/>
      <w:szCs w:val="24"/>
      <w:lang w:val="fr-FR"/>
    </w:rPr>
  </w:style>
  <w:style w:type="character" w:styleId="Titre8Car">
    <w:name w:val="Titre 8 Car"/>
    <w:qFormat/>
    <w:rPr>
      <w:rFonts w:ascii="Aptos;Arial;Calibri" w:hAnsi="Aptos;Arial;Calibri" w:cs="Aptos;Arial;Calibri"/>
      <w:i/>
      <w:iCs/>
      <w:sz w:val="24"/>
      <w:szCs w:val="24"/>
      <w:lang w:val="fr-FR"/>
    </w:rPr>
  </w:style>
  <w:style w:type="character" w:styleId="Titre9Car">
    <w:name w:val="Titre 9 Car"/>
    <w:qFormat/>
    <w:rPr>
      <w:rFonts w:ascii="Aptos Display" w:hAnsi="Aptos Display" w:cs="Aptos Display"/>
      <w:sz w:val="22"/>
      <w:szCs w:val="22"/>
      <w:lang w:val="fr-FR"/>
    </w:rPr>
  </w:style>
  <w:style w:type="character" w:styleId="whitespace-nowrap">
    <w:name w:val="whitespace-nowrap"/>
    <w:qFormat/>
    <w:rPr/>
  </w:style>
  <w:style w:type="character" w:styleId="relative">
    <w:name w:val="relative"/>
    <w:qFormat/>
    <w:rPr/>
  </w:style>
  <w:style w:type="character" w:styleId="Strong">
    <w:name w:val="Strong"/>
    <w:qFormat/>
    <w:rPr>
      <w:b/>
      <w:bCs/>
    </w:rPr>
  </w:style>
  <w:style w:type="character" w:styleId="hoverbg-super">
    <w:name w:val="hover:bg-super"/>
    <w:qFormat/>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Noto Sans CJK SC" w:cs="DejaVu Sans;Times New Roman"/>
      <w:sz w:val="28"/>
      <w:szCs w:val="28"/>
    </w:rPr>
  </w:style>
  <w:style w:type="paragraph" w:styleId="BodyText">
    <w:name w:val="Body Text"/>
    <w:basedOn w:val="Normal"/>
    <w:pPr>
      <w:jc w:val="both"/>
    </w:pPr>
    <w:rPr>
      <w:szCs w:val="20"/>
      <w:lang w:val="en-US"/>
    </w:rPr>
  </w:style>
  <w:style w:type="paragraph" w:styleId="List">
    <w:name w:val="List"/>
    <w:basedOn w:val="BodyText"/>
    <w:pPr/>
    <w:rPr>
      <w:rFonts w:cs="DejaVu Sans;Times New Roman"/>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DejaVu Sans;Times New Roman"/>
    </w:rPr>
  </w:style>
  <w:style w:type="paragraph" w:styleId="Lgende">
    <w:name w:val="Légende"/>
    <w:basedOn w:val="Normal"/>
    <w:next w:val="Normal"/>
    <w:qFormat/>
    <w:pPr/>
    <w:rPr>
      <w:rFonts w:ascii="Arial" w:hAnsi="Arial" w:cs="Arial"/>
      <w:b/>
      <w:bCs/>
      <w:sz w:val="20"/>
      <w:szCs w:val="20"/>
    </w:rPr>
  </w:style>
  <w:style w:type="paragraph" w:styleId="HeaderandFooter">
    <w:name w:val="Header and Footer"/>
    <w:basedOn w:val="Normal"/>
    <w:qFormat/>
    <w:pPr>
      <w:suppressLineNumbers/>
    </w:pPr>
    <w:rPr/>
  </w:style>
  <w:style w:type="paragraph" w:styleId="Footer">
    <w:name w:val="Footer"/>
    <w:basedOn w:val="Normal"/>
    <w:pPr/>
    <w:rPr>
      <w:rFonts w:ascii="Arial" w:hAnsi="Arial" w:cs="Arial"/>
      <w:lang w:val="en-US"/>
    </w:rPr>
  </w:style>
  <w:style w:type="paragraph" w:styleId="Header">
    <w:name w:val="Header"/>
    <w:basedOn w:val="Normal"/>
    <w:pPr/>
    <w:rPr>
      <w:lang w:val="en-US"/>
    </w:rPr>
  </w:style>
  <w:style w:type="paragraph" w:styleId="spip">
    <w:name w:val="spip"/>
    <w:basedOn w:val="Normal"/>
    <w:qFormat/>
    <w:pPr>
      <w:spacing w:before="280" w:after="280"/>
    </w:pPr>
    <w:rPr/>
  </w:style>
  <w:style w:type="paragraph" w:styleId="Paragraphedeliste">
    <w:name w:val="Paragraphe de liste"/>
    <w:basedOn w:val="Normal"/>
    <w:qFormat/>
    <w:pPr>
      <w:spacing w:lineRule="auto" w:line="276" w:before="0" w:after="200"/>
      <w:ind w:hanging="0" w:left="720" w:right="0"/>
      <w:contextualSpacing/>
    </w:pPr>
    <w:rPr>
      <w:rFonts w:ascii="Calibri" w:hAnsi="Calibri" w:eastAsia="Calibri" w:cs="Calibri"/>
      <w:sz w:val="22"/>
      <w:szCs w:val="22"/>
    </w:rPr>
  </w:style>
  <w:style w:type="paragraph" w:styleId="Corpsdetexte3">
    <w:name w:val="Corps de texte 3"/>
    <w:basedOn w:val="Normal"/>
    <w:qFormat/>
    <w:pPr>
      <w:spacing w:before="0" w:after="120"/>
    </w:pPr>
    <w:rPr>
      <w:sz w:val="16"/>
      <w:szCs w:val="16"/>
      <w:lang w:val="en-US"/>
    </w:rPr>
  </w:style>
  <w:style w:type="paragraph" w:styleId="NormalWeb">
    <w:name w:val="Normal (Web)"/>
    <w:basedOn w:val="Normal"/>
    <w:qFormat/>
    <w:pPr>
      <w:spacing w:before="280" w:after="280"/>
    </w:pPr>
    <w:rPr/>
  </w:style>
  <w:style w:type="paragraph" w:styleId="xl24">
    <w:name w:val="xl24"/>
    <w:basedOn w:val="Normal"/>
    <w:qFormat/>
    <w:pPr>
      <w:spacing w:before="100" w:after="100"/>
    </w:pPr>
    <w:rPr>
      <w:rFonts w:ascii="Arial" w:hAnsi="Arial" w:cs="Arial"/>
      <w:sz w:val="16"/>
      <w:szCs w:val="20"/>
      <w:lang w:val="en-US"/>
    </w:rPr>
  </w:style>
  <w:style w:type="paragraph" w:styleId="Textedebulles">
    <w:name w:val="Texte de bulles"/>
    <w:basedOn w:val="Normal"/>
    <w:qFormat/>
    <w:pPr/>
    <w:rPr>
      <w:rFonts w:ascii="Tahoma" w:hAnsi="Tahoma" w:cs="Tahoma"/>
      <w:sz w:val="16"/>
      <w:szCs w:val="16"/>
      <w:lang w:val="en-US"/>
    </w:rPr>
  </w:style>
  <w:style w:type="paragraph" w:styleId="Rvision">
    <w:name w:val="Révision"/>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FootnoteText">
    <w:name w:val="Footnote Text"/>
    <w:basedOn w:val="Normal"/>
    <w:pPr/>
    <w:rPr>
      <w:sz w:val="20"/>
      <w:szCs w:val="20"/>
    </w:rPr>
  </w:style>
  <w:style w:type="paragraph" w:styleId="5F6AEA512CC74B80B78940AC4F74C285">
    <w:name w:val="5F6AEA512CC74B80B78940AC4F74C285"/>
    <w:qFormat/>
    <w:pPr>
      <w:widowControl/>
      <w:suppressAutoHyphens w:val="true"/>
      <w:bidi w:val="0"/>
      <w:spacing w:lineRule="auto" w:line="276" w:before="0" w:after="200"/>
      <w:jc w:val="left"/>
    </w:pPr>
    <w:rPr>
      <w:rFonts w:ascii="Calibri" w:hAnsi="Calibri" w:eastAsia="Times New Roman" w:cs="Calibri"/>
      <w:color w:val="auto"/>
      <w:kern w:val="0"/>
      <w:sz w:val="22"/>
      <w:szCs w:val="22"/>
      <w:lang w:val="en-US" w:eastAsia="zh-CN" w:bidi="ar-SA"/>
    </w:rPr>
  </w:style>
  <w:style w:type="paragraph" w:styleId="En-ttedetabledesmatires">
    <w:name w:val="En-tête de table des matières"/>
    <w:basedOn w:val="Heading1"/>
    <w:next w:val="Normal"/>
    <w:qFormat/>
    <w:pPr>
      <w:keepLines/>
      <w:numPr>
        <w:ilvl w:val="0"/>
        <w:numId w:val="11"/>
      </w:numPr>
      <w:spacing w:lineRule="auto" w:line="276" w:before="480" w:after="0"/>
      <w:outlineLvl w:val="9"/>
    </w:pPr>
    <w:rPr>
      <w:rFonts w:ascii="Cambria" w:hAnsi="Cambria" w:eastAsia="Times New Roman" w:cs="Times New Roman"/>
      <w:color w:val="365F91"/>
      <w:kern w:val="0"/>
      <w:sz w:val="28"/>
      <w:szCs w:val="28"/>
    </w:rPr>
  </w:style>
  <w:style w:type="paragraph" w:styleId="TOC1">
    <w:name w:val="TOC 1"/>
    <w:basedOn w:val="Normal"/>
    <w:next w:val="Normal"/>
    <w:pPr>
      <w:spacing w:before="120" w:after="120"/>
    </w:pPr>
    <w:rPr>
      <w:rFonts w:ascii="Cambria" w:hAnsi="Cambria" w:eastAsia="Times New Roman" w:cs="Times New Roman"/>
      <w:b/>
      <w:bCs/>
      <w:caps/>
      <w:lang w:val="en-US"/>
    </w:rPr>
  </w:style>
  <w:style w:type="paragraph" w:styleId="TOC2">
    <w:name w:val="TOC 2"/>
    <w:basedOn w:val="Normal"/>
    <w:next w:val="Normal"/>
    <w:pPr>
      <w:ind w:hanging="0" w:left="240" w:right="0"/>
    </w:pPr>
    <w:rPr>
      <w:rFonts w:ascii="Trebuchet MS" w:hAnsi="Trebuchet MS" w:cs="Trebuchet MS"/>
      <w:lang w:val="en-US"/>
    </w:rPr>
  </w:style>
  <w:style w:type="paragraph" w:styleId="TOC3">
    <w:name w:val="TOC 3"/>
    <w:basedOn w:val="Normal"/>
    <w:next w:val="Normal"/>
    <w:pPr>
      <w:ind w:hanging="0" w:left="480" w:right="0"/>
    </w:pPr>
    <w:rPr>
      <w:rFonts w:ascii="Trebuchet MS" w:hAnsi="Trebuchet MS" w:cs="Trebuchet MS"/>
      <w:lang w:val="en-US"/>
    </w:rPr>
  </w:style>
  <w:style w:type="paragraph" w:styleId="Sansinterligne">
    <w:name w:val="Sans interligne"/>
    <w:qFormat/>
    <w:pPr>
      <w:widowControl/>
      <w:suppressAutoHyphens w:val="true"/>
      <w:bidi w:val="0"/>
      <w:spacing w:before="0" w:after="0"/>
      <w:jc w:val="left"/>
    </w:pPr>
    <w:rPr>
      <w:rFonts w:ascii="Aptos;Arial;Calibri" w:hAnsi="Aptos;Arial;Calibri" w:eastAsia="Times New Roman" w:cs="Aptos;Arial;Calibri"/>
      <w:color w:val="auto"/>
      <w:kern w:val="0"/>
      <w:sz w:val="22"/>
      <w:szCs w:val="22"/>
      <w:lang w:val="en-US" w:eastAsia="zh-CN" w:bidi="ar-SA"/>
    </w:rPr>
  </w:style>
  <w:style w:type="paragraph" w:styleId="Informationsdecontact">
    <w:name w:val="Informations de contact"/>
    <w:basedOn w:val="Sansinterligne"/>
    <w:qFormat/>
    <w:pPr/>
    <w:rPr>
      <w:rFonts w:ascii="Garamond" w:hAnsi="Garamond" w:eastAsia="Times New Roman" w:cs="Times New Roman"/>
      <w:color w:val="FFFFFF"/>
      <w:lang w:eastAsia="ja-JP"/>
    </w:rPr>
  </w:style>
  <w:style w:type="paragraph" w:styleId="Espacedutableau">
    <w:name w:val="Espace du tableau"/>
    <w:basedOn w:val="Sansinterligne"/>
    <w:qFormat/>
    <w:pPr>
      <w:spacing w:lineRule="exact" w:line="14"/>
    </w:pPr>
    <w:rPr>
      <w:rFonts w:ascii="Garamond" w:hAnsi="Garamond" w:eastAsia="Times New Roman" w:cs="Times New Roman"/>
      <w:color w:val="44546A"/>
      <w:sz w:val="20"/>
      <w:szCs w:val="20"/>
      <w:lang w:eastAsia="ja-JP"/>
    </w:rPr>
  </w:style>
  <w:style w:type="paragraph" w:styleId="my-0">
    <w:name w:val="my-0"/>
    <w:basedOn w:val="Normal"/>
    <w:qFormat/>
    <w:pPr>
      <w:spacing w:before="280" w:after="280"/>
    </w:pPr>
    <w:rPr>
      <w:lang w:val="fr-C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s-markdown-paragraph">
    <w:name w:val="ds-markdown-paragraph"/>
    <w:basedOn w:val="Normal"/>
    <w:qFormat/>
    <w:pPr>
      <w:suppressAutoHyphens w:val="false"/>
      <w:spacing w:before="280" w:after="28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20</Pages>
  <Words>7146</Words>
  <Characters>32936</Characters>
  <CharactersWithSpaces>38295</CharactersWithSpaces>
  <Paragraphs>1762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2026-10-09T17:30:00Z</dcterms:created>
  <dc:creator>STEP</dc:creator>
  <dc:description/>
  <dc:language>en-US</dc:language>
  <cp:lastModifiedBy/>
  <cp:lastPrinted>2025-07-23T09:16:00Z</cp:lastPrinted>
  <dcterms:modified xsi:type="dcterms:W3CDTF">2026-10-12T11:18:41Z</dcterms:modified>
  <cp:revision>3</cp:revision>
  <dc:subject/>
  <dc:title>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deb7872d-a8b8-4298-b807-425d0acd600d</vt:lpwstr>
  </property>
  <property fmtid="{D5CDD505-2E9C-101B-9397-08002B2CF9AE}" pid="3" name="TaxCatchAll">
    <vt:lpwstr/>
  </property>
  <property fmtid="{D5CDD505-2E9C-101B-9397-08002B2CF9AE}" pid="4" name="lcf76f155ced4ddcb4097134ff3c332f">
    <vt:lpwstr/>
  </property>
</Properties>
</file>