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w:t>PLAN D’AFFAIRES</w:t>
      </w:r>
      <w:r>
        <mc:AlternateContent>
          <mc:Choice Requires="wps">
            <w:drawing>
              <wp:anchor behindDoc="0" distT="0" distB="0" distL="182880" distR="182880" simplePos="0" locked="0" layoutInCell="0" allowOverlap="1" relativeHeight="8">
                <wp:simplePos x="0" y="0"/>
                <wp:positionH relativeFrom="margin">
                  <wp:posOffset>125730</wp:posOffset>
                </wp:positionH>
                <wp:positionV relativeFrom="page">
                  <wp:posOffset>3539490</wp:posOffset>
                </wp:positionV>
                <wp:extent cx="5803900" cy="835660"/>
                <wp:effectExtent l="0" t="0" r="76200" b="76200"/>
                <wp:wrapSquare wrapText="bothSides"/>
                <wp:docPr id="1" name="Frame1"/>
                <a:graphic xmlns:a="http://schemas.openxmlformats.org/drawingml/2006/main">
                  <a:graphicData uri="http://schemas.microsoft.com/office/word/2010/wordprocessingShape">
                    <wps:wsp>
                      <wps:cNvSpPr txBox="1"/>
                      <wps:spPr>
                        <a:xfrm>
                          <a:off x="0" y="0"/>
                          <a:ext cx="5880100" cy="911860"/>
                        </a:xfrm>
                        <a:prstGeom prst="rect"/>
                        <a:gradFill rotWithShape="0">
                          <a:gsLst>
                            <a:gs pos="0">
                              <a:srgbClr val="ffffff"/>
                            </a:gs>
                            <a:gs pos="100000">
                              <a:srgbClr val="95dcf7"/>
                            </a:gs>
                          </a:gsLst>
                          <a:lin ang="5400000"/>
                        </a:gradFill>
                        <a:ln w="12700">
                          <a:solidFill>
                            <a:srgbClr val="60CAF3"/>
                          </a:solidFill>
                        </a:ln>
                        <a:effectLst>
                          <a:outerShdw dist="107315" dir="2700000">
                            <a:srgbClr val="074E69"/>
                          </a:outerShdw>
                        </a:effectLst>
                      </wps:spPr>
                      <wps:txbx>
                        <w:txbxContent>
                          <w:p>
                            <w:pPr>
                              <w:pStyle w:val="Sansinterligne"/>
                              <w:spacing w:lineRule="auto" w:line="216" w:before="40" w:after="560"/>
                              <w:jc w:val="center"/>
                              <w:rPr>
                                <w:rFonts w:ascii="Times New Roman" w:hAnsi="Times New Roman" w:cs="Times New Roman"/>
                                <w:b/>
                                <w:bCs/>
                                <w:i/>
                                <w:i/>
                                <w:iCs/>
                                <w:sz w:val="36"/>
                                <w:szCs w:val="36"/>
                                <w:lang w:val="fr-FR"/>
                              </w:rPr>
                            </w:pPr>
                            <w:r>
                              <w:rPr>
                                <w:rFonts w:cs="Times New Roman" w:ascii="Times New Roman" w:hAnsi="Times New Roman"/>
                                <w:b/>
                                <w:bCs/>
                                <w:i/>
                                <w:iCs/>
                                <w:sz w:val="36"/>
                                <w:szCs w:val="36"/>
                                <w:lang w:val="fr-FR"/>
                              </w:rPr>
                              <w:t>FERME NAGRO</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wps:txbx>
                      <wps:bodyPr anchor="t" lIns="0" tIns="0" rIns="0" bIns="0">
                        <a:noAutofit/>
                      </wps:bodyPr>
                    </wps:wsp>
                  </a:graphicData>
                </a:graphic>
              </wp:anchor>
            </w:drawing>
          </mc:Choice>
          <mc:Fallback>
            <w:pict>
              <v:rect strokecolor="#60CAF3" strokeweight="1pt" fillcolor="#FFFFFF" style="position:absolute;rotation:-0;width:463pt;height:71.8pt;mso-wrap-distance-left:14.4pt;mso-wrap-distance-right:14.4pt;mso-wrap-distance-top:0pt;mso-wrap-distance-bottom:0pt;margin-top:278.7pt;mso-position-vertical-relative:page;margin-left:9.9pt;mso-position-horizontal-relative:margin">
                <v:shadow on="t" color="#074E69" offset="6pt,6pt"/>
                <v:fill type="gradient" angle="-180" color2="#95DCF7"/>
                <v:textbox inset="0in,0in,0in,0in">
                  <w:txbxContent>
                    <w:p>
                      <w:pPr>
                        <w:pStyle w:val="Sansinterligne"/>
                        <w:spacing w:lineRule="auto" w:line="216" w:before="40" w:after="560"/>
                        <w:jc w:val="center"/>
                        <w:rPr>
                          <w:rFonts w:ascii="Times New Roman" w:hAnsi="Times New Roman" w:cs="Times New Roman"/>
                          <w:b/>
                          <w:bCs/>
                          <w:i/>
                          <w:i/>
                          <w:iCs/>
                          <w:sz w:val="36"/>
                          <w:szCs w:val="36"/>
                          <w:lang w:val="fr-FR"/>
                        </w:rPr>
                      </w:pPr>
                      <w:r>
                        <w:rPr>
                          <w:rFonts w:cs="Times New Roman" w:ascii="Times New Roman" w:hAnsi="Times New Roman"/>
                          <w:b/>
                          <w:bCs/>
                          <w:i/>
                          <w:iCs/>
                          <w:sz w:val="36"/>
                          <w:szCs w:val="36"/>
                          <w:lang w:val="fr-FR"/>
                        </w:rPr>
                        <w:t>FERME NAGRO</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v:textbox>
                <w10:wrap type="square"/>
              </v:rect>
            </w:pict>
          </mc:Fallback>
        </mc:AlternateContent>
      </w:r>
    </w:p>
    <w:tbl>
      <w:tblPr>
        <w:tblW w:w="9889" w:type="dxa"/>
        <w:jc w:val="start"/>
        <w:tblInd w:w="0" w:type="dxa"/>
        <w:tblLayout w:type="fixed"/>
        <w:tblCellMar>
          <w:top w:w="0" w:type="dxa"/>
          <w:start w:w="108" w:type="dxa"/>
          <w:bottom w:w="0" w:type="dxa"/>
          <w:end w:w="108" w:type="dxa"/>
        </w:tblCellMar>
      </w:tblPr>
      <w:tblGrid>
        <w:gridCol w:w="5056"/>
        <w:gridCol w:w="1661"/>
        <w:gridCol w:w="3172"/>
      </w:tblGrid>
      <w:tr>
        <w:trPr>
          <w:trHeight w:val="402" w:hRule="atLeast"/>
        </w:trPr>
        <w:tc>
          <w:tcPr>
            <w:tcW w:w="5056" w:type="dxa"/>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start w:val="dotted" w:sz="4" w:space="0" w:color="000000"/>
              <w:bottom w:val="dotted" w:sz="4" w:space="0" w:color="000000"/>
              <w:end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Lamine Fofana</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lang w:val="en-CA"/>
              </w:rPr>
            </w:pPr>
            <w:r>
              <w:rPr>
                <w:lang w:val="en-CA"/>
              </w:rPr>
              <w:t xml:space="preserve">Cell: </w:t>
            </w:r>
            <w:r>
              <w:rPr/>
              <w:t>64 95 94 74 / 78 06 76 56</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Fiah-Kouliloro</w:t>
            </w:r>
          </w:p>
        </w:tc>
      </w:tr>
      <w:tr>
        <w:trPr>
          <w:trHeight w:val="349"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Agriculture – Horticulture et céréales</w:t>
            </w:r>
          </w:p>
        </w:tc>
      </w:tr>
      <w:tr>
        <w:trPr>
          <w:trHeight w:val="170" w:hRule="atLeast"/>
        </w:trPr>
        <w:tc>
          <w:tcPr>
            <w:tcW w:w="5056" w:type="dxa"/>
            <w:vMerge w:val="restart"/>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1"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rPr/>
            </w:pPr>
            <w:r>
              <w:rPr/>
              <w:t>En création</w:t>
            </w:r>
          </w:p>
        </w:tc>
        <w:tc>
          <w:tcPr>
            <w:tcW w:w="317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360"/>
              <w:jc w:val="center"/>
              <w:rPr>
                <w:b/>
                <w:bCs/>
              </w:rPr>
            </w:pPr>
            <w:r>
              <w:rPr>
                <w:b/>
                <w:bCs/>
              </w:rPr>
            </w:r>
          </w:p>
        </w:tc>
      </w:tr>
      <w:tr>
        <w:trPr>
          <w:trHeight w:val="170" w:hRule="atLeast"/>
        </w:trPr>
        <w:tc>
          <w:tcPr>
            <w:tcW w:w="5056" w:type="dxa"/>
            <w:vMerge w:val="continue"/>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pacing w:lineRule="auto" w:line="360"/>
              <w:rPr/>
            </w:pPr>
            <w:r>
              <w:rPr/>
              <w:t>En croissance</w:t>
            </w:r>
          </w:p>
        </w:tc>
        <w:tc>
          <w:tcPr>
            <w:tcW w:w="3172"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t>X</w:t>
            </w:r>
          </w:p>
        </w:tc>
      </w:tr>
    </w:tbl>
    <w:p>
      <w:pPr>
        <w:pStyle w:val="Normal"/>
        <w:rPr>
          <w:lang w:val="en-US" w:eastAsia="en-US"/>
        </w:rPr>
      </w:pPr>
      <w:r>
        <w:br w:type="page"/>
      </w:r>
      <w:r>
        <w:rPr>
          <w:lang w:val="en-US" w:eastAsia="en-US"/>
        </w:rPr>
      </w:r>
      <w:r>
        <mc:AlternateContent>
          <mc:Choice Requires="wps">
            <w:drawing>
              <wp:anchor behindDoc="0" distT="0" distB="0" distL="114935" distR="114935" simplePos="0" locked="0" layoutInCell="0" allowOverlap="1" relativeHeight="7">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txBox="1"/>
                      <wps:spPr>
                        <a:xfrm>
                          <a:off x="0" y="0"/>
                          <a:ext cx="1353185" cy="266700"/>
                        </a:xfrm>
                        <a:prstGeom prst="rect"/>
                        <a:solidFill>
                          <a:srgbClr val="156082"/>
                        </a:solidFill>
                      </wps:spPr>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anchor="t" lIns="46990" tIns="46990" rIns="46990" bIns="46990">
                        <a:noAutofit/>
                      </wps:bodyPr>
                    </wps:wsp>
                  </a:graphicData>
                </a:graphic>
              </wp:anchor>
            </w:drawing>
          </mc:Choice>
          <mc:Fallback>
            <w:pict>
              <v:rect fillcolor="#156082" style="position:absolute;rotation:-0;width:106.55pt;height:21pt;mso-wrap-distance-left:9.05pt;mso-wrap-distance-right:9.05pt;mso-wrap-distance-top:0pt;mso-wrap-distance-bottom:0pt;margin-top:749.2pt;mso-position-vertical-relative:page;margin-left:386.1pt;mso-position-horizontal-relative:margin">
                <v:textbox inset="0.0513888888888889in,0.0513888888888889in,0.0513888888888889in,0.0513888888888889in">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Tables de matières</w:t>
      </w:r>
    </w:p>
    <w:sdt>
      <w:sdtPr>
        <w:docPartObj>
          <w:docPartGallery w:val="Table of Contents"/>
          <w:docPartUnique w:val="true"/>
        </w:docPartObj>
      </w:sdtPr>
      <w:sdtContent>
        <w:p>
          <w:pPr>
            <w:pStyle w:val="TOC1"/>
            <w:rPr>
              <w:rFonts w:ascii="Calibri" w:hAnsi="Calibri" w:cs="Calibri"/>
              <w:b w:val="false"/>
              <w:bCs w:val="false"/>
              <w:caps w:val="false"/>
              <w:smallCaps w:val="false"/>
              <w:sz w:val="22"/>
              <w:szCs w:val="22"/>
              <w:lang w:val="fr-FR" w:eastAsia="en-US"/>
            </w:rPr>
          </w:pPr>
          <w:r>
            <w:fldChar w:fldCharType="begin"/>
          </w:r>
          <w:r>
            <w:rPr>
              <w:rStyle w:val="IndexLink"/>
              <w:b w:val="false"/>
              <w:rFonts w:cs="Times New Roman" w:ascii="Times New Roman" w:hAnsi="Times New Roman"/>
              <w:lang w:val="en-US" w:eastAsia="en-US"/>
            </w:rPr>
            <w:instrText xml:space="preserve"> TOC \o "1-3" \h \z \u </w:instrText>
          </w:r>
          <w:r>
            <w:rPr>
              <w:rStyle w:val="IndexLink"/>
              <w:b w:val="false"/>
              <w:rFonts w:cs="Times New Roman" w:ascii="Times New Roman" w:hAnsi="Times New Roman"/>
              <w:lang w:val="en-US" w:eastAsia="en-US"/>
            </w:rPr>
            <w:fldChar w:fldCharType="separate"/>
          </w:r>
          <w:hyperlink w:anchor="__RefHeading___Toc234831690">
            <w:r>
              <w:rPr>
                <w:rStyle w:val="IndexLink"/>
                <w:rFonts w:cs="Times New Roman" w:ascii="Times New Roman" w:hAnsi="Times New Roman"/>
                <w:b w:val="false"/>
                <w:lang w:val="en-US" w:eastAsia="en-US"/>
              </w:rPr>
              <w:t>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b w:val="false"/>
                <w:lang w:val="en-US" w:eastAsia="en-US"/>
              </w:rPr>
              <w:t>FICHE SIGNALETIQUE</w:t>
            </w:r>
            <w:r>
              <w:rPr>
                <w:rStyle w:val="IndexLink"/>
                <w:b w:val="false"/>
                <w:lang w:val="en-US" w:eastAsia="en-US"/>
              </w:rPr>
              <w:tab/>
              <w:t>3</w:t>
            </w:r>
          </w:hyperlink>
        </w:p>
        <w:p>
          <w:pPr>
            <w:pStyle w:val="TOC1"/>
            <w:rPr>
              <w:rFonts w:ascii="Calibri" w:hAnsi="Calibri" w:cs="Calibri"/>
              <w:b w:val="false"/>
              <w:bCs w:val="false"/>
              <w:caps w:val="false"/>
              <w:smallCaps w:val="false"/>
              <w:sz w:val="22"/>
              <w:szCs w:val="22"/>
              <w:lang w:val="fr-FR" w:eastAsia="en-US"/>
            </w:rPr>
          </w:pPr>
          <w:hyperlink w:anchor="__RefHeading___Toc234831691">
            <w:r>
              <w:rPr>
                <w:rStyle w:val="IndexLink"/>
                <w:rFonts w:cs="Times New Roman" w:ascii="Times New Roman" w:hAnsi="Times New Roman"/>
                <w:lang w:val="en-US" w:eastAsia="en-US"/>
              </w:rPr>
              <w:t>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APERÇU GENERAL</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2">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Présentation du Promoteur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3">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Description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4">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Objectifs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5">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Localisation du projet</w:t>
            </w:r>
            <w:r>
              <w:rPr>
                <w:rStyle w:val="IndexLink"/>
                <w:lang w:val="en-US" w:eastAsia="en-US"/>
              </w:rPr>
              <w:tab/>
              <w:t>4</w:t>
            </w:r>
          </w:hyperlink>
        </w:p>
        <w:p>
          <w:pPr>
            <w:pStyle w:val="TOC1"/>
            <w:rPr>
              <w:rFonts w:ascii="Calibri" w:hAnsi="Calibri" w:cs="Calibri"/>
              <w:b w:val="false"/>
              <w:bCs w:val="false"/>
              <w:caps w:val="false"/>
              <w:smallCaps w:val="false"/>
              <w:sz w:val="22"/>
              <w:szCs w:val="22"/>
              <w:lang w:val="fr-FR" w:eastAsia="en-US"/>
            </w:rPr>
          </w:pPr>
          <w:hyperlink w:anchor="__RefHeading___Toc234831696">
            <w:r>
              <w:rPr>
                <w:rStyle w:val="IndexLink"/>
                <w:rFonts w:cs="Times New Roman" w:ascii="Times New Roman" w:hAnsi="Times New Roman"/>
                <w:lang w:val="en-US" w:eastAsia="en-US"/>
              </w:rPr>
              <w:t>III.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DE MARCHE</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7">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Les produits</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8">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marché cible / secteur d’activité</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699">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Analyse de l’offre :</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0">
            <w:r>
              <w:rPr>
                <w:rStyle w:val="IndexLink"/>
                <w:rFonts w:cs="Times New Roman" w:ascii="Times New Roman" w:hAnsi="Times New Roman"/>
                <w:lang w:val="en-US" w:eastAsia="en-US"/>
              </w:rPr>
              <w:t>L'offre en oignon au Mali est abondante, estimée à plus de 585 000 tonnes par an. Elle est dominée par la production locale (souvent associée à l'échalote) lors de la saison sèche. Toutefois, le marché fait face à une forte saisonnalité et dépend des importations étrangères le reste de l'année.</w:t>
            </w:r>
            <w:r>
              <w:rPr>
                <w:rStyle w:val="IndexLink"/>
                <w:lang w:val="en-US" w:eastAsia="en-US"/>
              </w:rPr>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1">
            <w:r>
              <w:rPr>
                <w:rStyle w:val="IndexLink"/>
                <w:rFonts w:cs="Times New Roman" w:ascii="Times New Roman" w:hAnsi="Times New Roman"/>
                <w:lang w:val="en-US" w:eastAsia="en-US"/>
              </w:rPr>
              <w:t>a.</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L’approvisionnement en matières premières :</w:t>
            </w:r>
            <w:r>
              <w:rPr>
                <w:rStyle w:val="IndexLink"/>
                <w:lang w:val="en-US" w:eastAsia="en-US"/>
              </w:rPr>
              <w:tab/>
              <w:t>5</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02">
            <w:r>
              <w:rPr>
                <w:rStyle w:val="IndexLink"/>
                <w:lang w:val="en-US" w:eastAsia="en-US"/>
              </w:rPr>
              <w:t>b.</w:t>
            </w:r>
            <w:r>
              <w:rPr>
                <w:rStyle w:val="IndexLink"/>
                <w:rFonts w:cs="Times New Roman" w:ascii="Calibri" w:hAnsi="Calibri"/>
                <w:sz w:val="22"/>
                <w:szCs w:val="22"/>
                <w:lang w:val="fr-FR" w:eastAsia="en-US"/>
              </w:rPr>
              <w:tab/>
            </w:r>
            <w:r>
              <w:rPr>
                <w:rStyle w:val="IndexLink"/>
                <w:lang w:val="en-US" w:eastAsia="en-US"/>
              </w:rPr>
              <w:t>La politique de distribution :</w:t>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3">
            <w:r>
              <w:rPr>
                <w:rStyle w:val="IndexLink"/>
                <w:rFonts w:cs="Times New Roman" w:ascii="Times New Roman" w:hAnsi="Times New Roman"/>
                <w:lang w:val="en-US" w:eastAsia="en-US"/>
              </w:rPr>
              <w:t>c.</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 politique tarifaire</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4">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L’analyse de la concurrence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5">
            <w:r>
              <w:rPr>
                <w:rStyle w:val="IndexLink"/>
                <w:rFonts w:cs="Times New Roman" w:ascii="Times New Roman" w:hAnsi="Times New Roman"/>
                <w:lang w:val="fr-CI" w:eastAsia="en-US"/>
              </w:rPr>
              <w:t>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 demande (clientèle cible)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6">
            <w:r>
              <w:rPr>
                <w:rStyle w:val="IndexLink"/>
                <w:rFonts w:cs="Times New Roman" w:ascii="Times New Roman" w:hAnsi="Times New Roman"/>
                <w:lang w:val="fr-CI" w:eastAsia="en-US"/>
              </w:rPr>
              <w:t>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Stratégies marketing :</w:t>
            </w:r>
            <w:r>
              <w:rPr>
                <w:rStyle w:val="IndexLink"/>
                <w:lang w:val="en-US" w:eastAsia="en-US"/>
              </w:rPr>
              <w:tab/>
              <w:t>6</w:t>
            </w:r>
          </w:hyperlink>
        </w:p>
        <w:p>
          <w:pPr>
            <w:pStyle w:val="TOC1"/>
            <w:rPr>
              <w:rFonts w:ascii="Calibri" w:hAnsi="Calibri" w:cs="Calibri"/>
              <w:b w:val="false"/>
              <w:bCs w:val="false"/>
              <w:caps w:val="false"/>
              <w:smallCaps w:val="false"/>
              <w:sz w:val="22"/>
              <w:szCs w:val="22"/>
              <w:lang w:val="fr-FR" w:eastAsia="en-US"/>
            </w:rPr>
          </w:pPr>
          <w:hyperlink w:anchor="__RefHeading___Toc234831707">
            <w:r>
              <w:rPr>
                <w:rStyle w:val="IndexLink"/>
                <w:rFonts w:cs="Times New Roman" w:ascii="Times New Roman" w:hAnsi="Times New Roman"/>
                <w:lang w:val="en-US" w:eastAsia="en-US"/>
              </w:rPr>
              <w:t>7</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TECHNIQUE</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8">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Site d’implantation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9">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Locaux, aménagements / installations et équipements</w:t>
            </w:r>
            <w:r>
              <w:rPr>
                <w:rStyle w:val="IndexLink"/>
                <w:lang w:val="en-US" w:eastAsia="en-US"/>
              </w:rPr>
              <w:tab/>
              <w:t>7</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10">
            <w:r>
              <w:rPr>
                <w:rStyle w:val="IndexLink"/>
                <w:rFonts w:cs="Times New Roman" w:ascii="Times New Roman" w:hAnsi="Times New Roman"/>
                <w:lang w:val="en-US" w:eastAsia="en-US"/>
              </w:rPr>
              <w:t>2.1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Equipements de production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11">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processus de production : (définir le process et la capacité de production de l’entreprise)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2">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personnel : (profil et compétences)</w:t>
            </w:r>
            <w:r>
              <w:rPr>
                <w:rStyle w:val="IndexLink"/>
                <w:lang w:val="en-US" w:eastAsia="en-US"/>
              </w:rPr>
              <w:tab/>
              <w:t>8</w:t>
            </w:r>
          </w:hyperlink>
        </w:p>
        <w:p>
          <w:pPr>
            <w:pStyle w:val="TOC1"/>
            <w:rPr>
              <w:rFonts w:ascii="Calibri" w:hAnsi="Calibri" w:cs="Calibri"/>
              <w:b w:val="false"/>
              <w:bCs w:val="false"/>
              <w:caps w:val="false"/>
              <w:smallCaps w:val="false"/>
              <w:sz w:val="22"/>
              <w:szCs w:val="22"/>
              <w:lang w:val="fr-FR" w:eastAsia="en-US"/>
            </w:rPr>
          </w:pPr>
          <w:hyperlink w:anchor="__RefHeading___Toc234831713">
            <w:r>
              <w:rPr>
                <w:rStyle w:val="IndexLink"/>
                <w:rFonts w:cs="Times New Roman" w:ascii="Times New Roman" w:hAnsi="Times New Roman"/>
                <w:lang w:val="en-US" w:eastAsia="en-US"/>
              </w:rPr>
              <w:t>8</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ECONOMIQUE ET FINANCIERE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4">
            <w:r>
              <w:rPr>
                <w:rStyle w:val="IndexLink"/>
                <w:rFonts w:cs="Times New Roman" w:ascii="Times New Roman" w:hAnsi="Times New Roman"/>
                <w:lang w:val="fr-CI" w:eastAsia="en-US"/>
              </w:rPr>
              <w:t>8.1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Hypothèses de base</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5">
            <w:r>
              <w:rPr>
                <w:rStyle w:val="IndexLink"/>
                <w:rFonts w:cs="Times New Roman" w:ascii="Times New Roman" w:hAnsi="Times New Roman"/>
                <w:lang w:val="en-US" w:eastAsia="en-US"/>
              </w:rPr>
              <w:t>8.1.1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Recettes prévisionnelles annuelles</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6">
            <w:r>
              <w:rPr>
                <w:rStyle w:val="IndexLink"/>
                <w:rFonts w:cs="Times New Roman" w:ascii="Times New Roman" w:hAnsi="Times New Roman"/>
                <w:lang w:val="en-US" w:eastAsia="en-US"/>
              </w:rPr>
              <w:t>8.1.2</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prévisionnelles sur les achats</w:t>
            </w:r>
            <w:r>
              <w:rPr>
                <w:rStyle w:val="IndexLink"/>
                <w:lang w:val="en-US" w:eastAsia="en-US"/>
              </w:rPr>
              <w:tab/>
              <w:t>9</w:t>
            </w:r>
          </w:hyperlink>
        </w:p>
        <w:p>
          <w:pPr>
            <w:pStyle w:val="TOC3"/>
            <w:rPr>
              <w:rFonts w:ascii="Calibri" w:hAnsi="Calibri" w:cs="Times New Roman"/>
              <w:sz w:val="22"/>
              <w:szCs w:val="22"/>
              <w:lang w:val="fr-FR" w:eastAsia="en-US"/>
            </w:rPr>
          </w:pPr>
          <w:hyperlink w:anchor="__RefHeading___Toc234831717">
            <w:r>
              <w:rPr>
                <w:rStyle w:val="IndexLink"/>
                <w:rFonts w:cs="Times New Roman" w:ascii="Times New Roman" w:hAnsi="Times New Roman"/>
                <w:lang w:val="en-US" w:eastAsia="en-US"/>
              </w:rPr>
              <w:t>Achats de matières premières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8">
            <w:r>
              <w:rPr>
                <w:rStyle w:val="IndexLink"/>
                <w:rFonts w:cs="Times New Roman" w:ascii="Times New Roman" w:hAnsi="Times New Roman"/>
                <w:lang w:val="en-US" w:eastAsia="en-US"/>
              </w:rPr>
              <w:t>8.1.3</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Frais Généraux</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9">
            <w:r>
              <w:rPr>
                <w:rStyle w:val="IndexLink"/>
                <w:rFonts w:cs="Times New Roman" w:ascii="Times New Roman" w:hAnsi="Times New Roman"/>
                <w:lang w:val="en-US" w:eastAsia="en-US"/>
              </w:rPr>
              <w:t>8.1.4</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aux amortissements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20">
            <w:r>
              <w:rPr>
                <w:rStyle w:val="IndexLink"/>
                <w:rFonts w:cs="Times New Roman" w:ascii="Times New Roman" w:hAnsi="Times New Roman"/>
                <w:iCs/>
                <w:lang w:val="en-US" w:eastAsia="en-US"/>
              </w:rPr>
              <w:t>8.1.5</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Echéancier de remboursement</w:t>
            </w:r>
            <w:r>
              <w:rPr>
                <w:rStyle w:val="IndexLink"/>
                <w:lang w:val="en-US" w:eastAsia="en-US"/>
              </w:rPr>
              <w:tab/>
              <w:t>10</w:t>
            </w:r>
          </w:hyperlink>
        </w:p>
        <w:p>
          <w:pPr>
            <w:pStyle w:val="TOC2"/>
            <w:rPr>
              <w:rFonts w:ascii="Calibri" w:hAnsi="Calibri" w:cs="Times New Roman"/>
              <w:sz w:val="22"/>
              <w:szCs w:val="22"/>
              <w:lang w:val="fr-FR" w:eastAsia="en-US"/>
            </w:rPr>
          </w:pPr>
          <w:hyperlink w:anchor="__RefHeading___Toc234831721">
            <w:r>
              <w:rPr>
                <w:rStyle w:val="IndexLink"/>
                <w:rFonts w:cs="Times New Roman" w:ascii="Times New Roman" w:hAnsi="Times New Roman"/>
                <w:lang w:val="fr-CI" w:eastAsia="en-US"/>
              </w:rPr>
              <w:t>8.2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Coût total du projet</w:t>
            </w:r>
            <w:r>
              <w:rPr>
                <w:rStyle w:val="IndexLink"/>
                <w:lang w:val="en-US" w:eastAsia="en-US"/>
              </w:rPr>
              <w:tab/>
              <w:t>11</w:t>
            </w:r>
          </w:hyperlink>
        </w:p>
        <w:p>
          <w:pPr>
            <w:pStyle w:val="TOC2"/>
            <w:rPr>
              <w:rFonts w:ascii="Calibri" w:hAnsi="Calibri" w:cs="Times New Roman"/>
              <w:sz w:val="22"/>
              <w:szCs w:val="22"/>
              <w:lang w:val="fr-FR" w:eastAsia="en-US"/>
            </w:rPr>
          </w:pPr>
          <w:hyperlink w:anchor="__RefHeading___Toc234831722">
            <w:r>
              <w:rPr>
                <w:rStyle w:val="IndexLink"/>
                <w:rFonts w:cs="Times New Roman" w:ascii="Times New Roman" w:hAnsi="Times New Roman"/>
                <w:lang w:val="fr-CI" w:eastAsia="en-US"/>
              </w:rPr>
              <w:t>8.3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financement</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3">
            <w:r>
              <w:rPr>
                <w:rStyle w:val="IndexLink"/>
                <w:rFonts w:cs="Times New Roman" w:ascii="Times New Roman" w:hAnsi="Times New Roman"/>
                <w:lang w:val="fr-CI" w:eastAsia="en-US"/>
              </w:rPr>
              <w:t>8.4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Compte d'exploitation prévisionnel</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4">
            <w:r>
              <w:rPr>
                <w:rStyle w:val="IndexLink"/>
                <w:rFonts w:cs="Times New Roman" w:ascii="Times New Roman" w:hAnsi="Times New Roman"/>
                <w:lang w:val="fr-CI" w:eastAsia="en-US"/>
              </w:rPr>
              <w:t>8.5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trésorerie</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5">
            <w:r>
              <w:rPr>
                <w:rStyle w:val="IndexLink"/>
                <w:rFonts w:cs="Times New Roman" w:ascii="Times New Roman" w:hAnsi="Times New Roman"/>
                <w:lang w:val="fr-CI" w:eastAsia="en-US"/>
              </w:rPr>
              <w:t>8.6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Bilan de départ</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6">
            <w:r>
              <w:rPr>
                <w:rStyle w:val="IndexLink"/>
                <w:rFonts w:cs="Times New Roman" w:ascii="Times New Roman" w:hAnsi="Times New Roman"/>
                <w:lang w:val="fr-CI" w:eastAsia="en-US"/>
              </w:rPr>
              <w:t>8.7</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Calcul de rentabilité</w:t>
            </w:r>
            <w:r>
              <w:rPr>
                <w:rStyle w:val="IndexLink"/>
                <w:lang w:val="en-US" w:eastAsia="en-US"/>
              </w:rPr>
              <w:tab/>
              <w:t>14</w:t>
            </w:r>
          </w:hyperlink>
        </w:p>
        <w:p>
          <w:pPr>
            <w:pStyle w:val="TOC1"/>
            <w:rPr>
              <w:rFonts w:ascii="Calibri" w:hAnsi="Calibri" w:cs="Calibri"/>
              <w:b w:val="false"/>
              <w:bCs w:val="false"/>
              <w:caps w:val="false"/>
              <w:smallCaps w:val="false"/>
              <w:sz w:val="22"/>
              <w:szCs w:val="22"/>
              <w:lang w:val="fr-FR" w:eastAsia="en-US"/>
            </w:rPr>
          </w:pPr>
          <w:hyperlink w:anchor="__RefHeading___Toc234831727">
            <w:r>
              <w:rPr>
                <w:rStyle w:val="IndexLink"/>
                <w:rFonts w:cs="Times New Roman" w:ascii="Times New Roman" w:hAnsi="Times New Roman"/>
                <w:lang w:val="en-US" w:eastAsia="en-US"/>
              </w:rPr>
              <w:t>9</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ANALYSE DE FORCE ET FAIBLESSE</w:t>
            </w:r>
            <w:r>
              <w:rPr>
                <w:rStyle w:val="IndexLink"/>
                <w:lang w:val="en-US" w:eastAsia="en-US"/>
              </w:rPr>
              <w:tab/>
              <w:t>15</w:t>
            </w:r>
          </w:hyperlink>
        </w:p>
        <w:p>
          <w:pPr>
            <w:pStyle w:val="TOC1"/>
            <w:rPr>
              <w:rFonts w:ascii="Calibri" w:hAnsi="Calibri" w:cs="Calibri"/>
              <w:b w:val="false"/>
              <w:bCs w:val="false"/>
              <w:caps w:val="false"/>
              <w:smallCaps w:val="false"/>
              <w:sz w:val="22"/>
              <w:szCs w:val="22"/>
              <w:lang w:val="fr-FR" w:eastAsia="en-US"/>
            </w:rPr>
          </w:pPr>
          <w:hyperlink w:anchor="__RefHeading___Toc234831728">
            <w:r>
              <w:rPr>
                <w:rStyle w:val="IndexLink"/>
                <w:rFonts w:cs="Times New Roman" w:ascii="Times New Roman" w:hAnsi="Times New Roman"/>
                <w:lang w:val="en-US" w:eastAsia="en-US"/>
              </w:rPr>
              <w:t>10</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CONCLUSION :</w:t>
            </w:r>
            <w:r>
              <w:rPr>
                <w:rStyle w:val="IndexLink"/>
                <w:lang w:val="en-US" w:eastAsia="en-US"/>
              </w:rPr>
              <w:tab/>
              <w:t>16</w:t>
            </w:r>
          </w:hyperlink>
          <w:r>
            <w:rPr>
              <w:rStyle w:val="IndexLink"/>
              <w:lang w:val="en-US" w:eastAsia="en-US"/>
            </w:rPr>
            <w:fldChar w:fldCharType="end"/>
          </w:r>
        </w:p>
      </w:sdtContent>
    </w:sdt>
    <w:p>
      <w:pPr>
        <w:pStyle w:val="TOC1"/>
        <w:rPr>
          <w:rStyle w:val="IndexLink"/>
          <w:rFonts w:ascii="Calibri" w:hAnsi="Calibri" w:cs="Calibri"/>
          <w:b/>
          <w:bCs/>
          <w:caps/>
          <w:sz w:val="22"/>
          <w:szCs w:val="22"/>
        </w:rPr>
      </w:pPr>
      <w:r>
        <w:rPr>
          <w:rFonts w:cs="Calibri" w:ascii="Calibri" w:hAnsi="Calibri"/>
          <w:b w:val="false"/>
          <w:bCs w:val="false"/>
          <w:caps w:val="false"/>
          <w:smallCaps w:val="false"/>
          <w:sz w:val="22"/>
          <w:szCs w:val="22"/>
          <w:lang w:val="fr-FR" w:eastAsia="en-US"/>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9"/>
        </w:numPr>
        <w:spacing w:before="240" w:after="120"/>
        <w:ind w:hanging="431" w:start="431" w:end="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SIGNALETIQUE</w:t>
      </w:r>
    </w:p>
    <w:tbl>
      <w:tblPr>
        <w:tblW w:w="9781" w:type="dxa"/>
        <w:jc w:val="start"/>
        <w:tblInd w:w="70" w:type="dxa"/>
        <w:tblLayout w:type="fixed"/>
        <w:tblCellMar>
          <w:top w:w="0" w:type="dxa"/>
          <w:start w:w="70" w:type="dxa"/>
          <w:bottom w:w="0" w:type="dxa"/>
          <w:end w:w="70" w:type="dxa"/>
        </w:tblCellMar>
      </w:tblPr>
      <w:tblGrid>
        <w:gridCol w:w="3544"/>
        <w:gridCol w:w="2694"/>
        <w:gridCol w:w="283"/>
        <w:gridCol w:w="992"/>
        <w:gridCol w:w="851"/>
        <w:gridCol w:w="899"/>
        <w:gridCol w:w="195"/>
        <w:gridCol w:w="323"/>
      </w:tblGrid>
      <w:tr>
        <w:trPr>
          <w:trHeight w:val="405" w:hRule="atLeast"/>
        </w:trPr>
        <w:tc>
          <w:tcPr>
            <w:tcW w:w="9781"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Augustin Banou</w:t>
            </w:r>
          </w:p>
        </w:tc>
        <w:tc>
          <w:tcPr>
            <w:tcW w:w="195" w:type="dxa"/>
            <w:tcBorders>
              <w:start w:val="single" w:sz="4" w:space="0" w:color="000000"/>
            </w:tcBorders>
            <w:vAlign w:val="bottom"/>
          </w:tcPr>
          <w:p>
            <w:pPr>
              <w:pStyle w:val="Normal"/>
              <w:rPr>
                <w:color w:val="000000"/>
                <w:sz w:val="22"/>
                <w:szCs w:val="22"/>
              </w:rPr>
            </w:pPr>
            <w:r>
              <w:rPr>
                <w:color w:val="000000"/>
                <w:sz w:val="22"/>
                <w:szCs w:val="22"/>
              </w:rPr>
              <w:t> </w:t>
            </w:r>
          </w:p>
        </w:tc>
        <w:tc>
          <w:tcPr>
            <w:tcW w:w="323" w:type="dxa"/>
            <w:tcBorders/>
            <w:vAlign w:val="bottom"/>
          </w:tcPr>
          <w:p>
            <w:pPr>
              <w:pStyle w:val="Normal"/>
              <w:rPr>
                <w:color w:val="000000"/>
                <w:sz w:val="22"/>
                <w:szCs w:val="22"/>
              </w:rPr>
            </w:pPr>
            <w:r>
              <w:rPr>
                <w:color w:val="000000"/>
                <w:sz w:val="22"/>
                <w:szCs w:val="22"/>
              </w:rPr>
              <w:t> </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(date et lieu de naissance à renseigner)</w:t>
            </w:r>
          </w:p>
        </w:tc>
        <w:tc>
          <w:tcPr>
            <w:tcW w:w="195" w:type="dxa"/>
            <w:tcBorders>
              <w:start w:val="single" w:sz="4" w:space="0" w:color="000000"/>
            </w:tcBorders>
            <w:vAlign w:val="bottom"/>
          </w:tcPr>
          <w:p>
            <w:pPr>
              <w:pStyle w:val="Normal"/>
              <w:snapToGrid w:val="false"/>
              <w:rPr>
                <w:color w:val="000000"/>
                <w:sz w:val="22"/>
                <w:szCs w:val="22"/>
              </w:rPr>
            </w:pPr>
            <w:r>
              <w:rPr>
                <w:color w:val="000000"/>
                <w:sz w:val="22"/>
                <w:szCs w:val="22"/>
              </w:rPr>
            </w:r>
          </w:p>
        </w:tc>
        <w:tc>
          <w:tcPr>
            <w:tcW w:w="323"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4" w:type="dxa"/>
            <w:tcBorders>
              <w:top w:val="single" w:sz="8" w:space="0" w:color="000000"/>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top w:val="single" w:sz="8" w:space="0" w:color="000000"/>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FFFFFF" w:val="clear"/>
            <w:vAlign w:val="center"/>
          </w:tcPr>
          <w:p>
            <w:pPr>
              <w:pStyle w:val="Normal"/>
              <w:rPr>
                <w:b/>
                <w:bCs/>
                <w:color w:val="000000"/>
                <w:sz w:val="22"/>
                <w:szCs w:val="22"/>
              </w:rPr>
            </w:pPr>
            <w:r>
              <w:rPr>
                <w:b/>
                <w:bCs/>
                <w:color w:val="000000"/>
                <w:sz w:val="22"/>
                <w:szCs w:val="22"/>
              </w:rPr>
              <w:t xml:space="preserve">Coût Total du projet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19 200 000</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Montant de l’apport personnel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1 920 000</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Montant de la subvention « Projet Vert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20%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3 840 000</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Montant du crédit de financement sollicité (…. %)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Crédit Moyen Terme</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70%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13 440 000</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Crédit Court Terme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4" w:type="dxa"/>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275"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454"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Durée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60</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Taux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Moyen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Court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end w:val="single" w:sz="4" w:space="0" w:color="000000"/>
            </w:tcBorders>
            <w:shd w:fill="A9D18D" w:val="clear"/>
            <w:vAlign w:val="center"/>
          </w:tcPr>
          <w:p>
            <w:pPr>
              <w:pStyle w:val="Normal"/>
              <w:jc w:val="center"/>
              <w:rPr>
                <w:color w:val="000000"/>
                <w:sz w:val="22"/>
                <w:szCs w:val="22"/>
              </w:rPr>
            </w:pPr>
            <w:r>
              <w:rPr>
                <w:color w:val="000000"/>
                <w:sz w:val="22"/>
                <w:szCs w:val="22"/>
              </w:rPr>
              <w:t> </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19 999 750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20 399 745</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20 807 740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2 587 386</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2 737 490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2 750 877</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6 587 386</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6 537 490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6 550 877</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40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56</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21</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2 ans et 11 mois</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3 ans et 6 mois</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vMerge w:val="restart"/>
            <w:tcBorders>
              <w:start w:val="single" w:sz="8" w:space="0" w:color="000000"/>
              <w:bottom w:val="single" w:sz="8" w:space="0" w:color="000000"/>
              <w:end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end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10</w:t>
            </w:r>
          </w:p>
        </w:tc>
        <w:tc>
          <w:tcPr>
            <w:tcW w:w="1417" w:type="dxa"/>
            <w:gridSpan w:val="3"/>
            <w:tcBorders>
              <w:bottom w:val="single" w:sz="8"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4" w:type="dxa"/>
            <w:tcBorders/>
            <w:shd w:fill="E2EFD9" w:val="clear"/>
            <w:vAlign w:val="bottom"/>
          </w:tcPr>
          <w:p>
            <w:pPr>
              <w:pStyle w:val="Normal"/>
              <w:rPr>
                <w:color w:val="000000"/>
                <w:sz w:val="22"/>
                <w:szCs w:val="22"/>
              </w:rPr>
            </w:pPr>
            <w:r>
              <w:rPr>
                <w:color w:val="000000"/>
                <w:sz w:val="22"/>
                <w:szCs w:val="22"/>
              </w:rPr>
              <w:t> </w:t>
            </w:r>
          </w:p>
        </w:tc>
        <w:tc>
          <w:tcPr>
            <w:tcW w:w="2977" w:type="dxa"/>
            <w:gridSpan w:val="2"/>
            <w:tcBorders/>
            <w:shd w:fill="E2EFD9" w:val="clear"/>
            <w:vAlign w:val="bottom"/>
          </w:tcPr>
          <w:p>
            <w:pPr>
              <w:pStyle w:val="Normal"/>
              <w:rPr>
                <w:color w:val="000000"/>
                <w:sz w:val="22"/>
                <w:szCs w:val="22"/>
              </w:rPr>
            </w:pPr>
            <w:r>
              <w:rPr>
                <w:color w:val="000000"/>
                <w:sz w:val="22"/>
                <w:szCs w:val="22"/>
              </w:rPr>
              <w:t> </w:t>
            </w:r>
          </w:p>
        </w:tc>
        <w:tc>
          <w:tcPr>
            <w:tcW w:w="1843" w:type="dxa"/>
            <w:gridSpan w:val="2"/>
            <w:tcBorders/>
            <w:shd w:fill="E2EFD9" w:val="clear"/>
            <w:vAlign w:val="bottom"/>
          </w:tcPr>
          <w:p>
            <w:pPr>
              <w:pStyle w:val="Normal"/>
              <w:jc w:val="center"/>
              <w:rPr>
                <w:color w:val="000000"/>
                <w:sz w:val="22"/>
                <w:szCs w:val="22"/>
              </w:rPr>
            </w:pPr>
            <w:r>
              <w:rPr>
                <w:color w:val="000000"/>
                <w:sz w:val="22"/>
                <w:szCs w:val="22"/>
              </w:rPr>
              <w:t> </w:t>
            </w:r>
          </w:p>
        </w:tc>
        <w:tc>
          <w:tcPr>
            <w:tcW w:w="1417" w:type="dxa"/>
            <w:gridSpan w:val="3"/>
            <w:tcBorders/>
            <w:shd w:fill="E2EFD9" w:val="clear"/>
            <w:vAlign w:val="bottom"/>
          </w:tcPr>
          <w:p>
            <w:pPr>
              <w:pStyle w:val="Normal"/>
              <w:jc w:val="center"/>
              <w:rPr>
                <w:rFonts w:ascii="Calibri" w:hAnsi="Calibri" w:cs="Calibri"/>
                <w:color w:val="000000"/>
                <w:sz w:val="22"/>
                <w:szCs w:val="22"/>
              </w:rPr>
            </w:pPr>
            <w:r>
              <w:rPr>
                <w:rFonts w:cs="Calibri" w:ascii="Calibri" w:hAnsi="Calibri"/>
                <w:color w:val="000000"/>
                <w:sz w:val="22"/>
                <w:szCs w:val="22"/>
              </w:rPr>
              <w:t> </w:t>
            </w:r>
          </w:p>
        </w:tc>
      </w:tr>
    </w:tbl>
    <w:p>
      <w:pPr>
        <w:pStyle w:val="Heading1"/>
        <w:keepLines/>
        <w:numPr>
          <w:ilvl w:val="0"/>
          <w:numId w:val="9"/>
        </w:numPr>
        <w:spacing w:before="240" w:after="120"/>
        <w:ind w:hanging="431" w:start="431" w:end="0"/>
        <w:rPr>
          <w:rFonts w:ascii="Times New Roman" w:hAnsi="Times New Roman" w:cs="Times New Roman"/>
          <w:caps/>
          <w:color w:val="166B7F"/>
          <w:kern w:val="0"/>
          <w:lang w:eastAsia="en-US"/>
        </w:rPr>
      </w:pPr>
      <w:r>
        <w:br w:type="page"/>
      </w:r>
      <w:bookmarkStart w:id="1" w:name="__RefHeading___Toc234831691"/>
      <w:r>
        <w:rPr>
          <w:rFonts w:cs="Times New Roman" w:ascii="Times New Roman" w:hAnsi="Times New Roman"/>
          <w:caps/>
          <w:color w:val="166B7F"/>
          <w:kern w:val="0"/>
          <w:lang w:eastAsia="en-US"/>
        </w:rPr>
        <w:t>APERÇU GENERAL</w:t>
      </w:r>
      <w:bookmarkEnd w:id="1"/>
      <w:r>
        <w:rPr>
          <w:rFonts w:cs="Times New Roman" w:ascii="Times New Roman" w:hAnsi="Times New Roman"/>
          <w:caps/>
          <w:color w:val="166B7F"/>
          <w:kern w:val="0"/>
          <w:lang w:eastAsia="en-US"/>
        </w:rPr>
        <w:t xml:space="preserve"> </w:t>
      </w:r>
    </w:p>
    <w:p>
      <w:pPr>
        <w:pStyle w:val="Heading2"/>
        <w:keepLines/>
        <w:numPr>
          <w:ilvl w:val="0"/>
          <w:numId w:val="12"/>
        </w:numPr>
        <w:spacing w:before="120" w:after="120"/>
        <w:ind w:hanging="0" w:start="0" w:end="0"/>
        <w:jc w:val="both"/>
        <w:rPr>
          <w:rFonts w:ascii="Times New Roman" w:hAnsi="Times New Roman" w:cs="Times New Roman"/>
          <w:i w:val="false"/>
          <w:i w:val="false"/>
          <w:iCs w:val="false"/>
          <w:sz w:val="24"/>
          <w:szCs w:val="24"/>
          <w:lang w:val="fr-CI"/>
        </w:rPr>
      </w:pPr>
      <w:bookmarkStart w:id="2" w:name="__RefHeading___Toc234831692"/>
      <w:bookmarkEnd w:id="2"/>
      <w:r>
        <w:rPr>
          <w:rFonts w:cs="Times New Roman" w:ascii="Times New Roman" w:hAnsi="Times New Roman"/>
          <w:i w:val="false"/>
          <w:iCs w:val="false"/>
          <w:sz w:val="24"/>
          <w:szCs w:val="24"/>
          <w:lang w:val="fr-CI"/>
        </w:rPr>
        <w:t>Présentation du Promoteur :</w:t>
      </w:r>
    </w:p>
    <w:p>
      <w:pPr>
        <w:pStyle w:val="Normal"/>
        <w:jc w:val="both"/>
        <w:rPr>
          <w:sz w:val="22"/>
        </w:rPr>
      </w:pPr>
      <w:r>
        <w:rPr>
          <w:sz w:val="22"/>
        </w:rPr>
        <w:t xml:space="preserve">Le promoteur de l’entreprise </w:t>
      </w:r>
      <w:r>
        <w:rPr>
          <w:b/>
          <w:bCs/>
          <w:sz w:val="22"/>
        </w:rPr>
        <w:t>FERME NAGRO</w:t>
      </w:r>
      <w:r>
        <w:rPr>
          <w:sz w:val="22"/>
        </w:rPr>
        <w:t xml:space="preserve"> est Monsieur BANOU. Je réside à </w:t>
      </w:r>
      <w:r>
        <w:rPr>
          <w:b/>
          <w:bCs/>
          <w:sz w:val="22"/>
        </w:rPr>
        <w:t>Fiah</w:t>
      </w:r>
      <w:r>
        <w:rPr>
          <w:sz w:val="22"/>
        </w:rPr>
        <w:t>. Je m’appuie sur mon expérience pratique dans la production maraîchère et céréalière.</w:t>
      </w:r>
    </w:p>
    <w:p>
      <w:pPr>
        <w:pStyle w:val="Normal"/>
        <w:jc w:val="both"/>
        <w:rPr>
          <w:sz w:val="22"/>
        </w:rPr>
      </w:pPr>
      <w:r>
        <w:rPr>
          <w:sz w:val="22"/>
        </w:rPr>
        <w:t xml:space="preserve">À travers mon projet de production et de commercialisation de produits maraîchers (oignon, gombo, concombre, carotte, aubergine, pastèque) et céréaliers (petit mil, maïs), sous la marque </w:t>
      </w:r>
      <w:r>
        <w:rPr>
          <w:b/>
          <w:bCs/>
          <w:sz w:val="22"/>
        </w:rPr>
        <w:t>FERME NAGRO</w:t>
      </w:r>
      <w:r>
        <w:rPr>
          <w:sz w:val="22"/>
        </w:rPr>
        <w:t xml:space="preserve">, je souhaite développer une activité agricole rentable et contribuer à l’approvisionnement du marché en produits de qualité. Ces compétences techniques me permettent aujourd’hui d’exploiter </w:t>
      </w:r>
      <w:r>
        <w:rPr>
          <w:b/>
          <w:bCs/>
          <w:sz w:val="22"/>
        </w:rPr>
        <w:t>5 hectares</w:t>
      </w:r>
      <w:r>
        <w:rPr>
          <w:sz w:val="22"/>
        </w:rPr>
        <w:t xml:space="preserve">, destinés principalement aux marchés de </w:t>
      </w:r>
      <w:r>
        <w:rPr>
          <w:b/>
          <w:bCs/>
          <w:sz w:val="22"/>
        </w:rPr>
        <w:t>Fiah</w:t>
      </w:r>
      <w:r>
        <w:rPr>
          <w:sz w:val="22"/>
        </w:rPr>
        <w:t>, des communes environnantes et de Bamako.</w:t>
      </w:r>
    </w:p>
    <w:p>
      <w:pPr>
        <w:pStyle w:val="Normal"/>
        <w:jc w:val="both"/>
        <w:rPr>
          <w:sz w:val="22"/>
        </w:rPr>
      </w:pPr>
      <w:r>
        <w:rPr>
          <w:sz w:val="22"/>
        </w:rPr>
        <w:t>Mes principaux défis sont la maîtrise des maladies et la disponibilité d’une main-d’œuvre qualifiée.</w:t>
      </w:r>
    </w:p>
    <w:p>
      <w:pPr>
        <w:pStyle w:val="Normal"/>
        <w:jc w:val="both"/>
        <w:rPr>
          <w:sz w:val="22"/>
          <w:szCs w:val="22"/>
        </w:rPr>
      </w:pPr>
      <w:r>
        <w:rPr>
          <w:sz w:val="22"/>
          <w:szCs w:val="22"/>
        </w:rPr>
        <w:t xml:space="preserve">. </w:t>
      </w:r>
    </w:p>
    <w:p>
      <w:pPr>
        <w:pStyle w:val="Heading2"/>
        <w:keepLines/>
        <w:numPr>
          <w:ilvl w:val="0"/>
          <w:numId w:val="12"/>
        </w:numPr>
        <w:spacing w:before="120" w:after="120"/>
        <w:ind w:hanging="0" w:start="0" w:end="0"/>
        <w:jc w:val="both"/>
        <w:rPr>
          <w:rFonts w:ascii="Times New Roman" w:hAnsi="Times New Roman" w:cs="Times New Roman"/>
          <w:i w:val="false"/>
          <w:i w:val="false"/>
          <w:iCs w:val="false"/>
          <w:sz w:val="24"/>
          <w:szCs w:val="24"/>
          <w:lang w:val="fr-CI"/>
        </w:rPr>
      </w:pPr>
      <w:bookmarkStart w:id="3" w:name="__RefHeading___Toc234831693"/>
      <w:bookmarkEnd w:id="3"/>
      <w:r>
        <w:rPr>
          <w:rFonts w:cs="Times New Roman" w:ascii="Times New Roman" w:hAnsi="Times New Roman"/>
          <w:i w:val="false"/>
          <w:iCs w:val="false"/>
          <w:sz w:val="24"/>
          <w:szCs w:val="24"/>
          <w:lang w:val="fr-CI"/>
        </w:rPr>
        <w:t>Description du projet :</w:t>
      </w:r>
    </w:p>
    <w:p>
      <w:pPr>
        <w:pStyle w:val="Normal"/>
        <w:jc w:val="both"/>
        <w:rPr>
          <w:sz w:val="22"/>
        </w:rPr>
      </w:pPr>
      <w:bookmarkStart w:id="4" w:name="__RefHeading___Toc234831694"/>
      <w:r>
        <w:rPr>
          <w:sz w:val="22"/>
        </w:rPr>
        <w:t>Le projet est basé sur la création d’une entreprise de production et de commercialisation de produits maraîchers et céréaliers, sous la marque FERME NAGRO. Il s’agit d’aménager une parcelle de 5 hectares à Fiah, pour produire des cultures maraîchères diversifiées (oignon, gombo, concombre, carotte, aubergine, pastèque) en saison sèche et des céréales (petit mil, maïs) en saison des pluies. L’entreprise prévoit l’installation d’équipements de production : système d’irrigation goutte-à-goutte, pompe solaire, panneaux solaires, bassin de rétention, tuyaux, vannes, pulvérisateurs et petit matériel pour optimiser la production.</w:t>
      </w:r>
    </w:p>
    <w:p>
      <w:pPr>
        <w:pStyle w:val="Normal"/>
        <w:jc w:val="both"/>
        <w:rPr>
          <w:sz w:val="22"/>
        </w:rPr>
      </w:pPr>
      <w:r>
        <w:rPr>
          <w:sz w:val="22"/>
        </w:rPr>
        <w:t>Pour cette première campagne, l’entreprise a besoin de s’approvisionner en semences maraîchères et céréalières de variétés adaptées aux conditions locales. La production sera orientée vers plusieurs spéculations : l’oignon, le gombo, le concombre, la carotte, l’aubergine, la pastèque, ainsi que le petit mil et le maïs. Le cycle de production varie selon les cultures (3 mois pour le maraîchage, 4 à 5 mois pour les céréales) et permet une commercialisation régulière tout au long de l’année. Ce projet contribuera à l’approvisionnement des marchés de Fiah, des communes environnantes et de Bamako en produits frais et de qualité, tout en créant des emplois pour les jeunes de la localité. Il vise un chiffre d’affaires annuel de 20 000 000 F CFA et s’inscrit dans une dynamique de sécurité alimentaire et de valorisation des ressources locales.</w:t>
      </w:r>
    </w:p>
    <w:p>
      <w:pPr>
        <w:pStyle w:val="Normal"/>
        <w:jc w:val="both"/>
        <w:rPr>
          <w:sz w:val="22"/>
        </w:rPr>
      </w:pPr>
      <w:r>
        <w:rPr>
          <w:sz w:val="22"/>
        </w:rPr>
        <w:t>Pour garantir la réussite de cette production, le choix des variétés est un élément déterminant. Les cultures maraîchères et céréalières exigent des températures élevées et un ensoleillement important, conditions parfaitement réunies à Fiah. Le tableau ci-dessous présente les variétés recommandées pour la zone, sélectionnées pour leur rendement, leur qualité gustative, leur bonne capacité de conservation et leur adaptation aux climats chauds et secs du Sahel.</w:t>
      </w:r>
    </w:p>
    <w:tbl>
      <w:tblPr>
        <w:tblW w:w="10052" w:type="dxa"/>
        <w:jc w:val="start"/>
        <w:tblInd w:w="-5" w:type="dxa"/>
        <w:tblLayout w:type="fixed"/>
        <w:tblCellMar>
          <w:top w:w="150" w:type="dxa"/>
          <w:start w:w="0" w:type="dxa"/>
          <w:bottom w:w="150" w:type="dxa"/>
          <w:end w:w="240" w:type="dxa"/>
        </w:tblCellMar>
      </w:tblPr>
      <w:tblGrid>
        <w:gridCol w:w="1267"/>
        <w:gridCol w:w="3470"/>
        <w:gridCol w:w="5315"/>
      </w:tblGrid>
      <w:tr>
        <w:trPr>
          <w:tblHeader w:val="true"/>
          <w:trHeight w:val="271" w:hRule="atLeast"/>
        </w:trPr>
        <w:tc>
          <w:tcPr>
            <w:tcW w:w="1267" w:type="dxa"/>
            <w:tcBorders>
              <w:top w:val="single" w:sz="4" w:space="0" w:color="000000"/>
              <w:start w:val="single" w:sz="4" w:space="0" w:color="000000"/>
              <w:bottom w:val="single" w:sz="4" w:space="0" w:color="000000"/>
              <w:end w:val="single" w:sz="4" w:space="0" w:color="000000"/>
            </w:tcBorders>
            <w:vAlign w:val="center"/>
          </w:tcPr>
          <w:p>
            <w:pPr>
              <w:pStyle w:val="Normal"/>
              <w:jc w:val="both"/>
              <w:rPr>
                <w:b/>
                <w:bCs/>
                <w:sz w:val="22"/>
              </w:rPr>
            </w:pPr>
            <w:r>
              <w:rPr>
                <w:b/>
                <w:bCs/>
                <w:sz w:val="22"/>
              </w:rPr>
              <w:t>Culture</w:t>
            </w:r>
          </w:p>
        </w:tc>
        <w:tc>
          <w:tcPr>
            <w:tcW w:w="347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rPr>
            </w:pPr>
            <w:r>
              <w:rPr>
                <w:b/>
                <w:bCs/>
                <w:sz w:val="22"/>
              </w:rPr>
              <w:t>Variété recommandée</w:t>
            </w:r>
          </w:p>
        </w:tc>
        <w:tc>
          <w:tcPr>
            <w:tcW w:w="531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rPr>
            </w:pPr>
            <w:r>
              <w:rPr>
                <w:b/>
                <w:bCs/>
                <w:sz w:val="22"/>
              </w:rPr>
              <w:t>Atouts pour la production</w:t>
            </w:r>
          </w:p>
        </w:tc>
      </w:tr>
      <w:tr>
        <w:trPr>
          <w:trHeight w:val="271" w:hRule="atLeast"/>
        </w:trPr>
        <w:tc>
          <w:tcPr>
            <w:tcW w:w="1267"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rPr>
            </w:pPr>
            <w:r>
              <w:rPr>
                <w:sz w:val="22"/>
              </w:rPr>
              <w:t>Oignon</w:t>
            </w:r>
          </w:p>
        </w:tc>
        <w:tc>
          <w:tcPr>
            <w:tcW w:w="347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rPr>
            </w:pPr>
            <w:r>
              <w:rPr>
                <w:sz w:val="22"/>
              </w:rPr>
              <w:t>Violet de Galmi</w:t>
            </w:r>
          </w:p>
        </w:tc>
        <w:tc>
          <w:tcPr>
            <w:tcW w:w="531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rPr>
            </w:pPr>
            <w:r>
              <w:rPr>
                <w:sz w:val="22"/>
              </w:rPr>
              <w:t>Bon rendement, bonne conservation, adapté au Sahel</w:t>
            </w:r>
          </w:p>
        </w:tc>
      </w:tr>
      <w:tr>
        <w:trPr>
          <w:trHeight w:val="241" w:hRule="atLeast"/>
        </w:trPr>
        <w:tc>
          <w:tcPr>
            <w:tcW w:w="1267"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rPr>
            </w:pPr>
            <w:r>
              <w:rPr>
                <w:sz w:val="22"/>
              </w:rPr>
              <w:t>Gombo</w:t>
            </w:r>
          </w:p>
        </w:tc>
        <w:tc>
          <w:tcPr>
            <w:tcW w:w="347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rPr>
            </w:pPr>
            <w:r>
              <w:rPr>
                <w:sz w:val="22"/>
              </w:rPr>
              <w:t>Variété locale améliorée</w:t>
            </w:r>
          </w:p>
        </w:tc>
        <w:tc>
          <w:tcPr>
            <w:tcW w:w="531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rPr>
            </w:pPr>
            <w:r>
              <w:rPr>
                <w:sz w:val="22"/>
              </w:rPr>
              <w:t>Résistant aux maladies, productif, apprécié des consommateurs</w:t>
            </w:r>
          </w:p>
        </w:tc>
      </w:tr>
      <w:tr>
        <w:trPr>
          <w:trHeight w:val="271" w:hRule="atLeast"/>
        </w:trPr>
        <w:tc>
          <w:tcPr>
            <w:tcW w:w="1267"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rPr>
            </w:pPr>
            <w:r>
              <w:rPr>
                <w:sz w:val="22"/>
              </w:rPr>
              <w:t>Concombre</w:t>
            </w:r>
          </w:p>
        </w:tc>
        <w:tc>
          <w:tcPr>
            <w:tcW w:w="347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rPr>
            </w:pPr>
            <w:r>
              <w:rPr>
                <w:sz w:val="22"/>
              </w:rPr>
              <w:t>Variété hybride</w:t>
            </w:r>
          </w:p>
        </w:tc>
        <w:tc>
          <w:tcPr>
            <w:tcW w:w="531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rPr>
            </w:pPr>
            <w:r>
              <w:rPr>
                <w:sz w:val="22"/>
              </w:rPr>
              <w:t>Bon rendement, fruits de qualité</w:t>
            </w:r>
          </w:p>
        </w:tc>
      </w:tr>
      <w:tr>
        <w:trPr>
          <w:trHeight w:val="271" w:hRule="atLeast"/>
        </w:trPr>
        <w:tc>
          <w:tcPr>
            <w:tcW w:w="1267"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rPr>
            </w:pPr>
            <w:r>
              <w:rPr>
                <w:sz w:val="22"/>
              </w:rPr>
              <w:t>Carotte</w:t>
            </w:r>
          </w:p>
        </w:tc>
        <w:tc>
          <w:tcPr>
            <w:tcW w:w="347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rPr>
            </w:pPr>
            <w:r>
              <w:rPr>
                <w:sz w:val="22"/>
              </w:rPr>
              <w:t>Variété Nantaise</w:t>
            </w:r>
          </w:p>
        </w:tc>
        <w:tc>
          <w:tcPr>
            <w:tcW w:w="531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rPr>
            </w:pPr>
            <w:r>
              <w:rPr>
                <w:sz w:val="22"/>
              </w:rPr>
              <w:t>Chair sucrée, bonne conservation</w:t>
            </w:r>
          </w:p>
        </w:tc>
      </w:tr>
      <w:tr>
        <w:trPr>
          <w:trHeight w:val="271" w:hRule="atLeast"/>
        </w:trPr>
        <w:tc>
          <w:tcPr>
            <w:tcW w:w="1267"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rPr>
            </w:pPr>
            <w:r>
              <w:rPr>
                <w:sz w:val="22"/>
              </w:rPr>
              <w:t>Aubergine</w:t>
            </w:r>
          </w:p>
        </w:tc>
        <w:tc>
          <w:tcPr>
            <w:tcW w:w="347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rPr>
            </w:pPr>
            <w:r>
              <w:rPr>
                <w:sz w:val="22"/>
              </w:rPr>
              <w:t>Variété locale (Djamba)</w:t>
            </w:r>
          </w:p>
        </w:tc>
        <w:tc>
          <w:tcPr>
            <w:tcW w:w="531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rPr>
            </w:pPr>
            <w:r>
              <w:rPr>
                <w:sz w:val="22"/>
              </w:rPr>
              <w:t>Rustique, adaptée aux conditions sahéliennes</w:t>
            </w:r>
          </w:p>
        </w:tc>
      </w:tr>
      <w:tr>
        <w:trPr>
          <w:trHeight w:val="241" w:hRule="atLeast"/>
        </w:trPr>
        <w:tc>
          <w:tcPr>
            <w:tcW w:w="1267"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rPr>
            </w:pPr>
            <w:r>
              <w:rPr>
                <w:sz w:val="22"/>
              </w:rPr>
              <w:t>Pastèque</w:t>
            </w:r>
          </w:p>
        </w:tc>
        <w:tc>
          <w:tcPr>
            <w:tcW w:w="347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rPr>
            </w:pPr>
            <w:r>
              <w:rPr>
                <w:sz w:val="22"/>
              </w:rPr>
              <w:t>Koloss, Sugar Baby, Crimson Sweet</w:t>
            </w:r>
          </w:p>
        </w:tc>
        <w:tc>
          <w:tcPr>
            <w:tcW w:w="531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rPr>
            </w:pPr>
            <w:r>
              <w:rPr>
                <w:sz w:val="22"/>
              </w:rPr>
              <w:t>Taux de sucre élevé, bonne conservation</w:t>
            </w:r>
          </w:p>
        </w:tc>
      </w:tr>
      <w:tr>
        <w:trPr>
          <w:trHeight w:val="271" w:hRule="atLeast"/>
        </w:trPr>
        <w:tc>
          <w:tcPr>
            <w:tcW w:w="1267"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rPr>
            </w:pPr>
            <w:r>
              <w:rPr>
                <w:sz w:val="22"/>
              </w:rPr>
              <w:t>Petit mil</w:t>
            </w:r>
          </w:p>
        </w:tc>
        <w:tc>
          <w:tcPr>
            <w:tcW w:w="347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rPr>
            </w:pPr>
            <w:r>
              <w:rPr>
                <w:sz w:val="22"/>
              </w:rPr>
              <w:t>Variété locale améliorée</w:t>
            </w:r>
          </w:p>
        </w:tc>
        <w:tc>
          <w:tcPr>
            <w:tcW w:w="531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rPr>
            </w:pPr>
            <w:r>
              <w:rPr>
                <w:sz w:val="22"/>
              </w:rPr>
              <w:t>Rustique, adaptée à la saison des pluies</w:t>
            </w:r>
          </w:p>
        </w:tc>
      </w:tr>
      <w:tr>
        <w:trPr>
          <w:trHeight w:val="271" w:hRule="atLeast"/>
        </w:trPr>
        <w:tc>
          <w:tcPr>
            <w:tcW w:w="1267"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rPr>
            </w:pPr>
            <w:r>
              <w:rPr>
                <w:sz w:val="22"/>
              </w:rPr>
              <w:t>Maïs</w:t>
            </w:r>
          </w:p>
        </w:tc>
        <w:tc>
          <w:tcPr>
            <w:tcW w:w="347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rPr>
            </w:pPr>
            <w:r>
              <w:rPr>
                <w:sz w:val="22"/>
              </w:rPr>
              <w:t>Variété hybride</w:t>
            </w:r>
          </w:p>
        </w:tc>
        <w:tc>
          <w:tcPr>
            <w:tcW w:w="531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rPr>
            </w:pPr>
            <w:r>
              <w:rPr>
                <w:sz w:val="22"/>
              </w:rPr>
              <w:t>Bon rendement, adapté à la zone</w:t>
            </w:r>
          </w:p>
        </w:tc>
      </w:tr>
    </w:tbl>
    <w:p>
      <w:pPr>
        <w:pStyle w:val="Normal"/>
        <w:jc w:val="both"/>
        <w:rPr>
          <w:sz w:val="22"/>
        </w:rPr>
      </w:pPr>
      <w:r>
        <w:rPr>
          <w:sz w:val="22"/>
        </w:rPr>
        <w:t>Ces variétés sont soit des variétés locales (landraces) sélectionnées par les agriculteurs maliens pour leur robustesse, soit des variétés hybrides éprouvées dans les conditions sahéliennes. Leur culture sur 5 hectares à Fiah, avec un système d’irrigation solaire maîtrisé et une gestion rigoureuse des maladies, permettra d’obtenir des produits de qualité supérieure, très appréciés des consommateurs de Fiah, Bamako et environs.</w:t>
      </w:r>
    </w:p>
    <w:p>
      <w:pPr>
        <w:pStyle w:val="Heading2"/>
        <w:keepLines/>
        <w:numPr>
          <w:ilvl w:val="0"/>
          <w:numId w:val="12"/>
        </w:numPr>
        <w:spacing w:before="120" w:after="120"/>
        <w:ind w:hanging="0" w:start="0" w:end="0"/>
        <w:jc w:val="both"/>
        <w:rPr>
          <w:rFonts w:ascii="Times New Roman" w:hAnsi="Times New Roman" w:cs="Times New Roman"/>
          <w:i w:val="false"/>
          <w:i w:val="false"/>
          <w:iCs w:val="false"/>
          <w:sz w:val="24"/>
          <w:szCs w:val="24"/>
          <w:lang w:val="fr-CI"/>
        </w:rPr>
      </w:pPr>
      <w:bookmarkStart w:id="5" w:name="__RefHeading___Toc234831694"/>
      <w:r>
        <w:rPr>
          <w:rFonts w:cs="Times New Roman" w:ascii="Times New Roman" w:hAnsi="Times New Roman"/>
          <w:i w:val="false"/>
          <w:iCs w:val="false"/>
          <w:sz w:val="24"/>
          <w:szCs w:val="24"/>
          <w:lang w:val="fr-CI"/>
        </w:rPr>
        <w:t>Objectifs du projet :</w:t>
      </w:r>
      <w:bookmarkEnd w:id="5"/>
      <w:r>
        <w:rPr>
          <w:rFonts w:cs="Times New Roman" w:ascii="Times New Roman" w:hAnsi="Times New Roman"/>
          <w:i w:val="false"/>
          <w:iCs w:val="false"/>
          <w:sz w:val="24"/>
          <w:szCs w:val="24"/>
          <w:lang w:val="fr-CI"/>
        </w:rPr>
        <w:t xml:space="preserve"> </w:t>
      </w:r>
    </w:p>
    <w:p>
      <w:pPr>
        <w:pStyle w:val="Normal"/>
        <w:rPr>
          <w:lang w:val="fr-CI"/>
        </w:rPr>
      </w:pPr>
      <w:r>
        <w:rPr/>
        <w:t xml:space="preserve">Aménager et exploiter une parcelle de 5 hectares à Fiah, pour la production et la commercialisation de produits maraîchers diversifiés (oignon, gombo, concombre, carotte, aubergine, pastèque) en saison sèche et de </w:t>
      </w:r>
      <w:r>
        <w:rPr>
          <w:b/>
          <w:bCs/>
        </w:rPr>
        <w:t>céréales</w:t>
      </w:r>
      <w:r>
        <w:rPr/>
        <w:t xml:space="preserve"> (petit mil, maïs) en saison des pluies, sous la marque </w:t>
      </w:r>
      <w:r>
        <w:rPr>
          <w:b/>
          <w:bCs/>
        </w:rPr>
        <w:t>FERME NAGRO</w:t>
      </w:r>
      <w:r>
        <w:rPr/>
        <w:t xml:space="preserve">, avec comme slogan : </w:t>
      </w:r>
      <w:r>
        <w:rPr>
          <w:i/>
          <w:iCs/>
        </w:rPr>
        <w:t>Cultiver la diversité, nourrir durablement.</w:t>
      </w:r>
    </w:p>
    <w:p>
      <w:pPr>
        <w:pStyle w:val="Normal"/>
        <w:rPr>
          <w:b/>
          <w:sz w:val="22"/>
          <w:szCs w:val="22"/>
          <w:lang w:val="fr-CI"/>
        </w:rPr>
      </w:pPr>
      <w:r>
        <w:rPr>
          <w:b/>
          <w:sz w:val="22"/>
          <w:szCs w:val="22"/>
          <w:lang w:val="fr-CI"/>
        </w:rPr>
        <w:t>L’objectif global du projet est :</w:t>
      </w:r>
    </w:p>
    <w:p>
      <w:pPr>
        <w:pStyle w:val="Normal"/>
        <w:numPr>
          <w:ilvl w:val="0"/>
          <w:numId w:val="6"/>
        </w:numPr>
        <w:rPr>
          <w:bCs/>
          <w:sz w:val="22"/>
          <w:szCs w:val="22"/>
        </w:rPr>
      </w:pPr>
      <w:r>
        <w:rPr>
          <w:bCs/>
          <w:sz w:val="22"/>
          <w:szCs w:val="22"/>
        </w:rPr>
      </w:r>
      <w:bookmarkStart w:id="6" w:name="__RefHeading___Toc234831695"/>
      <w:r>
        <w:rPr>
          <w:bCs/>
          <w:sz w:val="22"/>
          <w:szCs w:val="22"/>
        </w:rPr>
        <w:t xml:space="preserve">Réaliser un chiffre d’affaires de </w:t>
      </w:r>
      <w:r>
        <w:rPr>
          <w:b/>
          <w:bCs/>
          <w:sz w:val="22"/>
          <w:szCs w:val="22"/>
        </w:rPr>
        <w:t>20 000 000 FCFA</w:t>
      </w:r>
      <w:r>
        <w:rPr>
          <w:bCs/>
          <w:sz w:val="22"/>
          <w:szCs w:val="22"/>
        </w:rPr>
        <w:t xml:space="preserve"> la première année d’exploitation du périmètre de </w:t>
      </w:r>
      <w:r>
        <w:rPr>
          <w:sz w:val="22"/>
          <w:szCs w:val="22"/>
        </w:rPr>
        <w:t>5 hectares</w:t>
      </w:r>
      <w:r>
        <w:rPr>
          <w:bCs/>
          <w:sz w:val="22"/>
          <w:szCs w:val="22"/>
        </w:rPr>
        <w:t xml:space="preserve"> ;</w:t>
      </w:r>
    </w:p>
    <w:p>
      <w:pPr>
        <w:pStyle w:val="Normal"/>
        <w:numPr>
          <w:ilvl w:val="0"/>
          <w:numId w:val="6"/>
        </w:numPr>
        <w:rPr>
          <w:bCs/>
          <w:sz w:val="22"/>
          <w:szCs w:val="22"/>
        </w:rPr>
      </w:pPr>
      <w:r>
        <w:rPr>
          <w:bCs/>
          <w:sz w:val="22"/>
          <w:szCs w:val="22"/>
        </w:rPr>
        <w:t xml:space="preserve">Offrir sur les marchés de </w:t>
      </w:r>
      <w:r>
        <w:rPr>
          <w:b/>
          <w:bCs/>
          <w:sz w:val="22"/>
          <w:szCs w:val="22"/>
        </w:rPr>
        <w:t>Fiah</w:t>
      </w:r>
      <w:r>
        <w:rPr>
          <w:bCs/>
          <w:sz w:val="22"/>
          <w:szCs w:val="22"/>
        </w:rPr>
        <w:t xml:space="preserve">, des communes environnantes et de </w:t>
      </w:r>
      <w:r>
        <w:rPr>
          <w:b/>
          <w:bCs/>
          <w:sz w:val="22"/>
          <w:szCs w:val="22"/>
        </w:rPr>
        <w:t>Bamako</w:t>
      </w:r>
      <w:r>
        <w:rPr>
          <w:bCs/>
          <w:sz w:val="22"/>
          <w:szCs w:val="22"/>
        </w:rPr>
        <w:t xml:space="preserve">, ainsi qu’aux commerçants grossistes, des </w:t>
      </w:r>
      <w:r>
        <w:rPr>
          <w:sz w:val="22"/>
          <w:szCs w:val="22"/>
        </w:rPr>
        <w:t>produits maraîchers frais et de qualité</w:t>
      </w:r>
      <w:r>
        <w:rPr>
          <w:bCs/>
          <w:sz w:val="22"/>
          <w:szCs w:val="22"/>
        </w:rPr>
        <w:t xml:space="preserve"> (oignon, gombo, concombre, carotte, aubergine, pastèque) et des </w:t>
      </w:r>
      <w:r>
        <w:rPr>
          <w:sz w:val="22"/>
          <w:szCs w:val="22"/>
        </w:rPr>
        <w:t xml:space="preserve">céréales </w:t>
      </w:r>
      <w:r>
        <w:rPr>
          <w:bCs/>
          <w:sz w:val="22"/>
          <w:szCs w:val="22"/>
        </w:rPr>
        <w:t>(petit mil, maïs) de bonne conservation ;</w:t>
      </w:r>
    </w:p>
    <w:p>
      <w:pPr>
        <w:pStyle w:val="Normal"/>
        <w:numPr>
          <w:ilvl w:val="0"/>
          <w:numId w:val="6"/>
        </w:numPr>
        <w:rPr>
          <w:bCs/>
          <w:sz w:val="22"/>
          <w:szCs w:val="22"/>
        </w:rPr>
      </w:pPr>
      <w:r>
        <w:rPr>
          <w:bCs/>
          <w:sz w:val="22"/>
          <w:szCs w:val="22"/>
        </w:rPr>
        <w:t xml:space="preserve">Assurer la promotion d’une </w:t>
      </w:r>
      <w:r>
        <w:rPr>
          <w:sz w:val="22"/>
          <w:szCs w:val="22"/>
        </w:rPr>
        <w:t>agriculture durable</w:t>
      </w:r>
      <w:r>
        <w:rPr>
          <w:bCs/>
          <w:sz w:val="22"/>
          <w:szCs w:val="22"/>
        </w:rPr>
        <w:t xml:space="preserve"> à travers une production maraîchère utilisant prioritairement la </w:t>
      </w:r>
      <w:r>
        <w:rPr>
          <w:sz w:val="22"/>
          <w:szCs w:val="22"/>
        </w:rPr>
        <w:t>fumure organique, le</w:t>
      </w:r>
      <w:r>
        <w:rPr>
          <w:bCs/>
          <w:sz w:val="22"/>
          <w:szCs w:val="22"/>
        </w:rPr>
        <w:t xml:space="preserve"> </w:t>
      </w:r>
      <w:r>
        <w:rPr>
          <w:sz w:val="22"/>
          <w:szCs w:val="22"/>
        </w:rPr>
        <w:t>compost</w:t>
      </w:r>
      <w:r>
        <w:rPr>
          <w:bCs/>
          <w:sz w:val="22"/>
          <w:szCs w:val="22"/>
        </w:rPr>
        <w:t xml:space="preserve"> et peu d’engrais chimiques ;</w:t>
      </w:r>
    </w:p>
    <w:p>
      <w:pPr>
        <w:pStyle w:val="Normal"/>
        <w:numPr>
          <w:ilvl w:val="0"/>
          <w:numId w:val="6"/>
        </w:numPr>
        <w:rPr>
          <w:bCs/>
          <w:sz w:val="22"/>
          <w:szCs w:val="22"/>
        </w:rPr>
      </w:pPr>
      <w:r>
        <w:rPr>
          <w:bCs/>
          <w:sz w:val="22"/>
          <w:szCs w:val="22"/>
        </w:rPr>
        <w:t xml:space="preserve">Produire dès la première année </w:t>
      </w:r>
      <w:r>
        <w:rPr>
          <w:sz w:val="22"/>
          <w:szCs w:val="22"/>
        </w:rPr>
        <w:t>57 tonnes de produits maraîchers et 6 tonnes de céréales</w:t>
      </w:r>
      <w:r>
        <w:rPr>
          <w:bCs/>
          <w:sz w:val="22"/>
          <w:szCs w:val="22"/>
        </w:rPr>
        <w:t>, soit une production diversifiée sur les 5 hectares ;</w:t>
      </w:r>
    </w:p>
    <w:p>
      <w:pPr>
        <w:pStyle w:val="Normal"/>
        <w:numPr>
          <w:ilvl w:val="0"/>
          <w:numId w:val="6"/>
        </w:numPr>
        <w:rPr>
          <w:bCs/>
          <w:sz w:val="22"/>
          <w:szCs w:val="22"/>
        </w:rPr>
      </w:pPr>
      <w:r>
        <w:rPr>
          <w:bCs/>
          <w:sz w:val="22"/>
          <w:szCs w:val="22"/>
        </w:rPr>
        <w:t xml:space="preserve">Créer </w:t>
      </w:r>
      <w:r>
        <w:rPr>
          <w:sz w:val="22"/>
          <w:szCs w:val="22"/>
        </w:rPr>
        <w:t>cinq (5) emplois permanents (1</w:t>
      </w:r>
      <w:r>
        <w:rPr>
          <w:bCs/>
          <w:sz w:val="22"/>
          <w:szCs w:val="22"/>
        </w:rPr>
        <w:t xml:space="preserve"> promoteur, 1 agronome, 3 ouvriers) et mobiliser </w:t>
      </w:r>
      <w:r>
        <w:rPr>
          <w:sz w:val="22"/>
          <w:szCs w:val="22"/>
        </w:rPr>
        <w:t>10 à 15 saisonniers</w:t>
      </w:r>
      <w:r>
        <w:rPr>
          <w:bCs/>
          <w:sz w:val="22"/>
          <w:szCs w:val="22"/>
        </w:rPr>
        <w:t xml:space="preserve"> pour les pics d’activité ;</w:t>
      </w:r>
    </w:p>
    <w:p>
      <w:pPr>
        <w:pStyle w:val="Normal"/>
        <w:numPr>
          <w:ilvl w:val="0"/>
          <w:numId w:val="6"/>
        </w:numPr>
        <w:rPr>
          <w:bCs/>
          <w:sz w:val="22"/>
          <w:szCs w:val="22"/>
        </w:rPr>
      </w:pPr>
      <w:r>
        <w:rPr>
          <w:bCs/>
          <w:sz w:val="22"/>
          <w:szCs w:val="22"/>
        </w:rPr>
        <w:t xml:space="preserve">Positionner la marque </w:t>
      </w:r>
      <w:r>
        <w:rPr>
          <w:b/>
          <w:bCs/>
          <w:sz w:val="22"/>
          <w:szCs w:val="22"/>
        </w:rPr>
        <w:t>FERME NAGRO</w:t>
      </w:r>
      <w:r>
        <w:rPr>
          <w:bCs/>
          <w:sz w:val="22"/>
          <w:szCs w:val="22"/>
        </w:rPr>
        <w:t xml:space="preserve"> comme une référence de qualité sur le marché malien des produits maraîchers et céréaliers, avec le slogan : </w:t>
      </w:r>
      <w:r>
        <w:rPr>
          <w:bCs/>
          <w:i/>
          <w:iCs/>
          <w:sz w:val="22"/>
          <w:szCs w:val="22"/>
        </w:rPr>
        <w:t>Cultiver la diversité, nourrir durablement.</w:t>
      </w:r>
    </w:p>
    <w:p>
      <w:pPr>
        <w:pStyle w:val="Normal"/>
        <w:rPr>
          <w:b/>
          <w:sz w:val="22"/>
          <w:szCs w:val="22"/>
          <w:lang w:val="fr-CI"/>
        </w:rPr>
      </w:pPr>
      <w:r>
        <w:rPr>
          <w:b/>
          <w:sz w:val="22"/>
          <w:szCs w:val="22"/>
          <w:lang w:val="fr-CI"/>
        </w:rPr>
        <w:t>Localisation du projet</w:t>
      </w:r>
      <w:bookmarkEnd w:id="6"/>
    </w:p>
    <w:p>
      <w:pPr>
        <w:pStyle w:val="Normal"/>
        <w:jc w:val="both"/>
        <w:rPr>
          <w:sz w:val="22"/>
          <w:szCs w:val="22"/>
        </w:rPr>
      </w:pPr>
      <w:r>
        <w:rPr>
          <w:sz w:val="22"/>
          <w:szCs w:val="22"/>
        </w:rPr>
        <w:t xml:space="preserve">Le projet est réalisé à </w:t>
      </w:r>
      <w:r>
        <w:rPr>
          <w:b/>
          <w:bCs/>
          <w:sz w:val="22"/>
          <w:szCs w:val="22"/>
        </w:rPr>
        <w:t>Fiah</w:t>
      </w:r>
      <w:r>
        <w:rPr>
          <w:sz w:val="22"/>
          <w:szCs w:val="22"/>
        </w:rPr>
        <w:t>, dans la Région de Koulikoro.</w:t>
      </w:r>
    </w:p>
    <w:p>
      <w:pPr>
        <w:pStyle w:val="Normal"/>
        <w:jc w:val="both"/>
        <w:rPr>
          <w:sz w:val="22"/>
          <w:szCs w:val="22"/>
        </w:rPr>
      </w:pPr>
      <w:r>
        <w:rPr>
          <w:sz w:val="22"/>
          <w:szCs w:val="22"/>
        </w:rPr>
      </w:r>
    </w:p>
    <w:p>
      <w:pPr>
        <w:pStyle w:val="Heading1"/>
        <w:keepLines/>
        <w:numPr>
          <w:ilvl w:val="0"/>
          <w:numId w:val="9"/>
        </w:numPr>
        <w:spacing w:before="240" w:after="0"/>
        <w:ind w:hanging="431" w:start="431" w:end="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ETUDE DE MARCHE</w:t>
      </w:r>
    </w:p>
    <w:p>
      <w:pPr>
        <w:pStyle w:val="Heading2"/>
        <w:keepLines/>
        <w:numPr>
          <w:ilvl w:val="0"/>
          <w:numId w:val="8"/>
        </w:numPr>
        <w:spacing w:before="120" w:after="120"/>
        <w:ind w:hanging="426" w:start="426" w:end="0"/>
        <w:jc w:val="both"/>
        <w:rPr>
          <w:rFonts w:ascii="Times New Roman" w:hAnsi="Times New Roman" w:cs="Times New Roman"/>
          <w:i w:val="false"/>
          <w:i w:val="false"/>
          <w:iCs w:val="false"/>
          <w:sz w:val="24"/>
          <w:szCs w:val="24"/>
          <w:lang w:val="fr-CI"/>
        </w:rPr>
      </w:pPr>
      <w:bookmarkStart w:id="8" w:name="__RefHeading___Toc234831697"/>
      <w:bookmarkEnd w:id="8"/>
      <w:r>
        <w:rPr>
          <w:rFonts w:cs="Times New Roman" w:ascii="Times New Roman" w:hAnsi="Times New Roman"/>
          <w:i w:val="false"/>
          <w:iCs w:val="false"/>
          <w:sz w:val="24"/>
          <w:szCs w:val="24"/>
          <w:lang w:val="fr-CI"/>
        </w:rPr>
        <w:t>Les produits</w:t>
      </w:r>
    </w:p>
    <w:p>
      <w:pPr>
        <w:pStyle w:val="Normal"/>
        <w:jc w:val="both"/>
        <w:rPr/>
      </w:pPr>
      <w:r>
        <w:rPr/>
        <w:t xml:space="preserve">Les produits que l’entreprise </w:t>
      </w:r>
      <w:r>
        <w:rPr>
          <w:b/>
          <w:bCs/>
        </w:rPr>
        <w:t>FERME NAGRO</w:t>
      </w:r>
      <w:r>
        <w:rPr/>
        <w:t xml:space="preserve"> offre aux clients sont : les produits maraîchers (oignon, gombo, concombre, carotte, aubergine, pastèque) et les </w:t>
      </w:r>
      <w:r>
        <w:rPr>
          <w:b/>
          <w:bCs/>
        </w:rPr>
        <w:t>céréales</w:t>
      </w:r>
      <w:r>
        <w:rPr/>
        <w:t xml:space="preserve"> (petit mil, maïs). Il faut noter que la caractéristique fondamentale des produits de l’entreprise est leur qualité gustative supérieure, leur fraîcheur et leur bonne durée de conservation.</w:t>
      </w:r>
    </w:p>
    <w:p>
      <w:pPr>
        <w:pStyle w:val="Normal"/>
        <w:jc w:val="both"/>
        <w:rPr/>
      </w:pPr>
      <w:r>
        <w:rPr/>
        <w:t>Les caractéristiques des produits qui seront mis sur le marché sont :</w:t>
      </w:r>
    </w:p>
    <w:p>
      <w:pPr>
        <w:pStyle w:val="Normal"/>
        <w:jc w:val="both"/>
        <w:rPr>
          <w:b/>
          <w:bCs/>
        </w:rPr>
      </w:pPr>
      <w:r>
        <w:rPr>
          <w:b/>
          <w:bCs/>
        </w:rPr>
        <w:t>Oignon (Violet de Galmi) :</w:t>
      </w:r>
    </w:p>
    <w:p>
      <w:pPr>
        <w:pStyle w:val="Normal"/>
        <w:numPr>
          <w:ilvl w:val="0"/>
          <w:numId w:val="4"/>
        </w:numPr>
        <w:jc w:val="both"/>
        <w:rPr/>
      </w:pPr>
      <w:r>
        <w:rPr/>
        <w:t>Qualité gustative supérieure ;</w:t>
      </w:r>
    </w:p>
    <w:p>
      <w:pPr>
        <w:pStyle w:val="Normal"/>
        <w:numPr>
          <w:ilvl w:val="0"/>
          <w:numId w:val="4"/>
        </w:numPr>
        <w:jc w:val="both"/>
        <w:rPr/>
      </w:pPr>
      <w:r>
        <w:rPr/>
        <w:t>Bonne conservation ;</w:t>
      </w:r>
    </w:p>
    <w:p>
      <w:pPr>
        <w:pStyle w:val="Normal"/>
        <w:numPr>
          <w:ilvl w:val="0"/>
          <w:numId w:val="4"/>
        </w:numPr>
        <w:jc w:val="both"/>
        <w:rPr/>
      </w:pPr>
      <w:r>
        <w:rPr/>
        <w:t>Calibres adaptés (gros, moyen, petit) ;</w:t>
      </w:r>
    </w:p>
    <w:p>
      <w:pPr>
        <w:pStyle w:val="Normal"/>
        <w:numPr>
          <w:ilvl w:val="0"/>
          <w:numId w:val="4"/>
        </w:numPr>
        <w:jc w:val="both"/>
        <w:rPr/>
      </w:pPr>
      <w:r>
        <w:rPr/>
        <w:t>Valeur nutritive élevée ;</w:t>
      </w:r>
    </w:p>
    <w:p>
      <w:pPr>
        <w:pStyle w:val="Normal"/>
        <w:numPr>
          <w:ilvl w:val="0"/>
          <w:numId w:val="4"/>
        </w:numPr>
        <w:jc w:val="both"/>
        <w:rPr/>
      </w:pPr>
      <w:r>
        <w:rPr/>
        <w:t>Richesse en antioxydants.</w:t>
      </w:r>
    </w:p>
    <w:p>
      <w:pPr>
        <w:pStyle w:val="Normal"/>
        <w:jc w:val="both"/>
        <w:rPr>
          <w:b/>
          <w:bCs/>
        </w:rPr>
      </w:pPr>
      <w:r>
        <w:rPr>
          <w:b/>
          <w:bCs/>
        </w:rPr>
        <w:t>Gombo :</w:t>
      </w:r>
    </w:p>
    <w:p>
      <w:pPr>
        <w:pStyle w:val="Normal"/>
        <w:numPr>
          <w:ilvl w:val="0"/>
          <w:numId w:val="10"/>
        </w:numPr>
        <w:jc w:val="both"/>
        <w:rPr/>
      </w:pPr>
      <w:r>
        <w:rPr/>
        <w:t>Qualité gustative supérieure ;</w:t>
      </w:r>
    </w:p>
    <w:p>
      <w:pPr>
        <w:pStyle w:val="Normal"/>
        <w:numPr>
          <w:ilvl w:val="0"/>
          <w:numId w:val="10"/>
        </w:numPr>
        <w:jc w:val="both"/>
        <w:rPr/>
      </w:pPr>
      <w:r>
        <w:rPr/>
        <w:t>Fruits frais et tendres ;</w:t>
      </w:r>
    </w:p>
    <w:p>
      <w:pPr>
        <w:pStyle w:val="Normal"/>
        <w:numPr>
          <w:ilvl w:val="0"/>
          <w:numId w:val="10"/>
        </w:numPr>
        <w:jc w:val="both"/>
        <w:rPr/>
      </w:pPr>
      <w:r>
        <w:rPr/>
        <w:t>Bonne conservation ;</w:t>
      </w:r>
    </w:p>
    <w:p>
      <w:pPr>
        <w:pStyle w:val="Normal"/>
        <w:numPr>
          <w:ilvl w:val="0"/>
          <w:numId w:val="10"/>
        </w:numPr>
        <w:jc w:val="both"/>
        <w:rPr/>
      </w:pPr>
      <w:r>
        <w:rPr/>
        <w:t>Riche en fibres et vitamines.</w:t>
      </w:r>
    </w:p>
    <w:p>
      <w:pPr>
        <w:pStyle w:val="Normal"/>
        <w:jc w:val="both"/>
        <w:rPr>
          <w:b/>
          <w:bCs/>
        </w:rPr>
      </w:pPr>
      <w:r>
        <w:rPr>
          <w:b/>
          <w:bCs/>
        </w:rPr>
        <w:t>Concombre :</w:t>
      </w:r>
    </w:p>
    <w:p>
      <w:pPr>
        <w:pStyle w:val="Normal"/>
        <w:numPr>
          <w:ilvl w:val="0"/>
          <w:numId w:val="15"/>
        </w:numPr>
        <w:jc w:val="both"/>
        <w:rPr/>
      </w:pPr>
      <w:r>
        <w:rPr/>
        <w:t>Qualité gustative supérieure ;</w:t>
      </w:r>
    </w:p>
    <w:p>
      <w:pPr>
        <w:pStyle w:val="Normal"/>
        <w:numPr>
          <w:ilvl w:val="0"/>
          <w:numId w:val="15"/>
        </w:numPr>
        <w:jc w:val="both"/>
        <w:rPr/>
      </w:pPr>
      <w:r>
        <w:rPr/>
        <w:t>Fruits frais, croquants et juteux ;</w:t>
      </w:r>
    </w:p>
    <w:p>
      <w:pPr>
        <w:pStyle w:val="Normal"/>
        <w:numPr>
          <w:ilvl w:val="0"/>
          <w:numId w:val="15"/>
        </w:numPr>
        <w:jc w:val="both"/>
        <w:rPr/>
      </w:pPr>
      <w:r>
        <w:rPr/>
        <w:t>Riche en eau et en vitamines ;</w:t>
      </w:r>
    </w:p>
    <w:p>
      <w:pPr>
        <w:pStyle w:val="Normal"/>
        <w:numPr>
          <w:ilvl w:val="0"/>
          <w:numId w:val="15"/>
        </w:numPr>
        <w:jc w:val="both"/>
        <w:rPr/>
      </w:pPr>
      <w:r>
        <w:rPr/>
        <w:t>Idéal pour la consommation en frais.</w:t>
      </w:r>
    </w:p>
    <w:p>
      <w:pPr>
        <w:pStyle w:val="Normal"/>
        <w:jc w:val="both"/>
        <w:rPr>
          <w:b/>
          <w:bCs/>
        </w:rPr>
      </w:pPr>
      <w:r>
        <w:rPr>
          <w:b/>
          <w:bCs/>
        </w:rPr>
        <w:t>Carotte (Nantaise) :</w:t>
      </w:r>
    </w:p>
    <w:p>
      <w:pPr>
        <w:pStyle w:val="Normal"/>
        <w:numPr>
          <w:ilvl w:val="0"/>
          <w:numId w:val="18"/>
        </w:numPr>
        <w:jc w:val="both"/>
        <w:rPr/>
      </w:pPr>
      <w:r>
        <w:rPr/>
        <w:t>Chair sucrée et croquante ;</w:t>
      </w:r>
    </w:p>
    <w:p>
      <w:pPr>
        <w:pStyle w:val="Normal"/>
        <w:numPr>
          <w:ilvl w:val="0"/>
          <w:numId w:val="18"/>
        </w:numPr>
        <w:jc w:val="both"/>
        <w:rPr/>
      </w:pPr>
      <w:r>
        <w:rPr/>
        <w:t>Riche en bêta-carotène ;</w:t>
      </w:r>
    </w:p>
    <w:p>
      <w:pPr>
        <w:pStyle w:val="Normal"/>
        <w:numPr>
          <w:ilvl w:val="0"/>
          <w:numId w:val="18"/>
        </w:numPr>
        <w:jc w:val="both"/>
        <w:rPr/>
      </w:pPr>
      <w:r>
        <w:rPr/>
        <w:t>Bonne conservation ;</w:t>
      </w:r>
    </w:p>
    <w:p>
      <w:pPr>
        <w:pStyle w:val="Normal"/>
        <w:numPr>
          <w:ilvl w:val="0"/>
          <w:numId w:val="18"/>
        </w:numPr>
        <w:jc w:val="both"/>
        <w:rPr/>
      </w:pPr>
      <w:r>
        <w:rPr/>
        <w:t>Calibres réguliers.</w:t>
      </w:r>
    </w:p>
    <w:p>
      <w:pPr>
        <w:pStyle w:val="Normal"/>
        <w:jc w:val="both"/>
        <w:rPr>
          <w:b/>
          <w:bCs/>
        </w:rPr>
      </w:pPr>
      <w:r>
        <w:rPr>
          <w:b/>
          <w:bCs/>
        </w:rPr>
        <w:t>Aubergine (variété locale Djamba) :</w:t>
      </w:r>
    </w:p>
    <w:p>
      <w:pPr>
        <w:pStyle w:val="Normal"/>
        <w:numPr>
          <w:ilvl w:val="0"/>
          <w:numId w:val="7"/>
        </w:numPr>
        <w:jc w:val="both"/>
        <w:rPr/>
      </w:pPr>
      <w:r>
        <w:rPr/>
        <w:t>Rustique et adaptée aux conditions sahéliennes ;</w:t>
      </w:r>
    </w:p>
    <w:p>
      <w:pPr>
        <w:pStyle w:val="Normal"/>
        <w:numPr>
          <w:ilvl w:val="0"/>
          <w:numId w:val="7"/>
        </w:numPr>
        <w:jc w:val="both"/>
        <w:rPr/>
      </w:pPr>
      <w:r>
        <w:rPr/>
        <w:t>Chair ferme et savoureuse ;</w:t>
      </w:r>
    </w:p>
    <w:p>
      <w:pPr>
        <w:pStyle w:val="Normal"/>
        <w:numPr>
          <w:ilvl w:val="0"/>
          <w:numId w:val="7"/>
        </w:numPr>
        <w:jc w:val="both"/>
        <w:rPr/>
      </w:pPr>
      <w:r>
        <w:rPr/>
        <w:t>Bonne conservation ;</w:t>
      </w:r>
    </w:p>
    <w:p>
      <w:pPr>
        <w:pStyle w:val="Normal"/>
        <w:numPr>
          <w:ilvl w:val="0"/>
          <w:numId w:val="7"/>
        </w:numPr>
        <w:jc w:val="both"/>
        <w:rPr/>
      </w:pPr>
      <w:r>
        <w:rPr/>
        <w:t>Appréciée des consommateurs.</w:t>
      </w:r>
    </w:p>
    <w:p>
      <w:pPr>
        <w:pStyle w:val="Normal"/>
        <w:jc w:val="both"/>
        <w:rPr>
          <w:lang w:val="en-US"/>
        </w:rPr>
      </w:pPr>
      <w:r>
        <w:rPr>
          <w:b/>
          <w:bCs/>
          <w:lang w:val="en-US"/>
        </w:rPr>
        <w:t>Pastèque (Koloss, Sugar Baby, Crimson Sweet) :</w:t>
      </w:r>
    </w:p>
    <w:p>
      <w:pPr>
        <w:pStyle w:val="Normal"/>
        <w:numPr>
          <w:ilvl w:val="0"/>
          <w:numId w:val="3"/>
        </w:numPr>
        <w:jc w:val="both"/>
        <w:rPr/>
      </w:pPr>
      <w:r>
        <w:rPr/>
        <w:t>Qualité gustative supérieure ;</w:t>
      </w:r>
    </w:p>
    <w:p>
      <w:pPr>
        <w:pStyle w:val="Normal"/>
        <w:numPr>
          <w:ilvl w:val="0"/>
          <w:numId w:val="3"/>
        </w:numPr>
        <w:jc w:val="both"/>
        <w:rPr/>
      </w:pPr>
      <w:r>
        <w:rPr/>
        <w:t>Chair rouge, juteuse et sucrée ;</w:t>
      </w:r>
    </w:p>
    <w:p>
      <w:pPr>
        <w:pStyle w:val="Normal"/>
        <w:numPr>
          <w:ilvl w:val="0"/>
          <w:numId w:val="3"/>
        </w:numPr>
        <w:jc w:val="both"/>
        <w:rPr/>
      </w:pPr>
      <w:r>
        <w:rPr/>
        <w:t>Poids moyen de 2 à 8 kg selon le calibre ;</w:t>
      </w:r>
    </w:p>
    <w:p>
      <w:pPr>
        <w:pStyle w:val="Normal"/>
        <w:numPr>
          <w:ilvl w:val="0"/>
          <w:numId w:val="3"/>
        </w:numPr>
        <w:jc w:val="both"/>
        <w:rPr/>
      </w:pPr>
      <w:r>
        <w:rPr/>
        <w:t>Valeur nutritive élevée ;</w:t>
      </w:r>
    </w:p>
    <w:p>
      <w:pPr>
        <w:pStyle w:val="Normal"/>
        <w:numPr>
          <w:ilvl w:val="0"/>
          <w:numId w:val="3"/>
        </w:numPr>
        <w:jc w:val="both"/>
        <w:rPr/>
      </w:pPr>
      <w:r>
        <w:rPr/>
        <w:t>Riche en vitamines ;</w:t>
      </w:r>
    </w:p>
    <w:p>
      <w:pPr>
        <w:pStyle w:val="Normal"/>
        <w:numPr>
          <w:ilvl w:val="0"/>
          <w:numId w:val="3"/>
        </w:numPr>
        <w:jc w:val="both"/>
        <w:rPr/>
      </w:pPr>
      <w:r>
        <w:rPr/>
        <w:t>Facilite la digestion.</w:t>
      </w:r>
    </w:p>
    <w:p>
      <w:pPr>
        <w:pStyle w:val="Normal"/>
        <w:jc w:val="both"/>
        <w:rPr>
          <w:b/>
          <w:bCs/>
        </w:rPr>
      </w:pPr>
      <w:r>
        <w:rPr>
          <w:b/>
          <w:bCs/>
        </w:rPr>
        <w:t>Petit mil :</w:t>
      </w:r>
    </w:p>
    <w:p>
      <w:pPr>
        <w:pStyle w:val="Normal"/>
        <w:numPr>
          <w:ilvl w:val="0"/>
          <w:numId w:val="11"/>
        </w:numPr>
        <w:jc w:val="both"/>
        <w:rPr/>
      </w:pPr>
      <w:r>
        <w:rPr/>
        <w:t>Variété locale améliorée ;</w:t>
      </w:r>
    </w:p>
    <w:p>
      <w:pPr>
        <w:pStyle w:val="Normal"/>
        <w:numPr>
          <w:ilvl w:val="0"/>
          <w:numId w:val="11"/>
        </w:numPr>
        <w:jc w:val="both"/>
        <w:rPr/>
      </w:pPr>
      <w:r>
        <w:rPr/>
        <w:t>Rustique et adaptée à la saison des pluies ;</w:t>
      </w:r>
    </w:p>
    <w:p>
      <w:pPr>
        <w:pStyle w:val="Normal"/>
        <w:numPr>
          <w:ilvl w:val="0"/>
          <w:numId w:val="11"/>
        </w:numPr>
        <w:jc w:val="both"/>
        <w:rPr/>
      </w:pPr>
      <w:r>
        <w:rPr/>
        <w:t>Riche en nutriments ;</w:t>
      </w:r>
    </w:p>
    <w:p>
      <w:pPr>
        <w:pStyle w:val="Normal"/>
        <w:numPr>
          <w:ilvl w:val="0"/>
          <w:numId w:val="11"/>
        </w:numPr>
        <w:jc w:val="both"/>
        <w:rPr/>
      </w:pPr>
      <w:r>
        <w:rPr/>
        <w:t>Bonne conservation.</w:t>
      </w:r>
    </w:p>
    <w:p>
      <w:pPr>
        <w:pStyle w:val="Normal"/>
        <w:jc w:val="both"/>
        <w:rPr>
          <w:b/>
          <w:bCs/>
        </w:rPr>
      </w:pPr>
      <w:r>
        <w:rPr>
          <w:b/>
          <w:bCs/>
        </w:rPr>
        <w:t>Maïs :</w:t>
      </w:r>
    </w:p>
    <w:p>
      <w:pPr>
        <w:pStyle w:val="Normal"/>
        <w:numPr>
          <w:ilvl w:val="0"/>
          <w:numId w:val="2"/>
        </w:numPr>
        <w:jc w:val="both"/>
        <w:rPr/>
      </w:pPr>
      <w:r>
        <w:rPr/>
        <w:t>Variété hybride ;</w:t>
      </w:r>
    </w:p>
    <w:p>
      <w:pPr>
        <w:pStyle w:val="Normal"/>
        <w:numPr>
          <w:ilvl w:val="0"/>
          <w:numId w:val="2"/>
        </w:numPr>
        <w:jc w:val="both"/>
        <w:rPr/>
      </w:pPr>
      <w:r>
        <w:rPr/>
        <w:t>Bon rendement ;</w:t>
      </w:r>
    </w:p>
    <w:p>
      <w:pPr>
        <w:pStyle w:val="Normal"/>
        <w:numPr>
          <w:ilvl w:val="0"/>
          <w:numId w:val="2"/>
        </w:numPr>
        <w:jc w:val="both"/>
        <w:rPr/>
      </w:pPr>
      <w:r>
        <w:rPr/>
        <w:t>Riche en glucides et en protéines ;</w:t>
      </w:r>
    </w:p>
    <w:p>
      <w:pPr>
        <w:pStyle w:val="Normal"/>
        <w:numPr>
          <w:ilvl w:val="0"/>
          <w:numId w:val="2"/>
        </w:numPr>
        <w:jc w:val="both"/>
        <w:rPr/>
      </w:pPr>
      <w:r>
        <w:rPr/>
        <w:t>Utilisé pour la consommation humaine et animale.</w:t>
      </w:r>
    </w:p>
    <w:p>
      <w:pPr>
        <w:pStyle w:val="Normal"/>
        <w:jc w:val="both"/>
        <w:rPr/>
      </w:pPr>
      <w:r>
        <w:rPr/>
      </w:r>
    </w:p>
    <w:p>
      <w:pPr>
        <w:pStyle w:val="Normal"/>
        <w:jc w:val="both"/>
        <w:rPr>
          <w:b/>
          <w:bCs/>
        </w:rPr>
      </w:pPr>
      <w:r>
        <w:rPr>
          <w:b/>
          <w:bCs/>
        </w:rPr>
        <w:t>2. Le marché cible / secteur d’activité</w:t>
      </w:r>
    </w:p>
    <w:p>
      <w:pPr>
        <w:pStyle w:val="Normal"/>
        <w:jc w:val="both"/>
        <w:rPr/>
      </w:pPr>
      <w:r>
        <w:rPr/>
        <w:t>Le marché cible de l’entreprise est constitué par les commerçants grossistes, les détaillants, les revendeurs de produits maraîchers et céréaliers, les restaurateurs, les hôtels et les particuliers consommateurs de la ville de Fiah, des communes environnantes et de Bamako.</w:t>
      </w:r>
    </w:p>
    <w:p>
      <w:pPr>
        <w:pStyle w:val="Normal"/>
        <w:jc w:val="both"/>
        <w:rPr/>
      </w:pPr>
      <w:r>
        <w:rPr>
          <w:sz w:val="22"/>
          <w:szCs w:val="22"/>
          <w:lang w:val="fr-CI"/>
        </w:rPr>
        <w:t xml:space="preserve">La clientèle cible est constituée </w:t>
      </w:r>
      <w:r>
        <w:rPr>
          <w:sz w:val="22"/>
          <w:szCs w:val="22"/>
        </w:rPr>
        <w:t>par les commerçants grossistes de produits maraîchers, vendeurs de légumes et de condiments, restaurateurs, hôtels et particuliers consommateurs de la ville de Bancoumana, Bamako et environs. En général les clients sont exigeants sur certains éléments clés sur les produits maraîchers, ce sont : la tailles du produit (pastèque et oignon) ; la durée de conservation à l’état frais et la nature des fertilisants et de pesticides utilisés par le producteur.</w:t>
      </w:r>
    </w:p>
    <w:p>
      <w:pPr>
        <w:pStyle w:val="Normal"/>
        <w:jc w:val="both"/>
        <w:rPr>
          <w:sz w:val="22"/>
          <w:szCs w:val="22"/>
        </w:rPr>
      </w:pPr>
      <w:r>
        <w:rPr>
          <w:sz w:val="22"/>
          <w:szCs w:val="22"/>
        </w:rPr>
        <w:t>En tenant compte de ces critères de qualité, notre entreprise se distingue par le fait qu’on n’utilise pas assez de fertilisant ni assez de pesticide chimique. Le respect des itinéraires techniques de production et une bonne taille aux produits attire les clients.</w:t>
      </w:r>
    </w:p>
    <w:p>
      <w:pPr>
        <w:pStyle w:val="Normal"/>
        <w:jc w:val="both"/>
        <w:rPr>
          <w:sz w:val="22"/>
          <w:szCs w:val="22"/>
        </w:rPr>
      </w:pPr>
      <w:r>
        <w:rPr>
          <w:sz w:val="22"/>
          <w:szCs w:val="22"/>
        </w:rPr>
        <w:t>Cela permet également d’avoir une longue durée de conservation des produits maraîchers à l’état frais.</w:t>
      </w:r>
    </w:p>
    <w:p>
      <w:pPr>
        <w:pStyle w:val="Normal"/>
        <w:jc w:val="both"/>
        <w:rPr>
          <w:sz w:val="22"/>
          <w:szCs w:val="22"/>
        </w:rPr>
      </w:pPr>
      <w:r>
        <w:rPr>
          <w:sz w:val="22"/>
          <w:szCs w:val="22"/>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b/>
          <w:bCs/>
        </w:rPr>
      </w:pPr>
      <w:r>
        <w:rPr>
          <w:b/>
          <w:bCs/>
        </w:rPr>
        <w:t>3. Analyse de l’offre</w:t>
      </w:r>
    </w:p>
    <w:p>
      <w:pPr>
        <w:pStyle w:val="Normal"/>
        <w:jc w:val="both"/>
        <w:rPr/>
      </w:pPr>
      <w:r>
        <w:rPr/>
        <w:t>L’offre en produits maraîchers et céréaliers au Mali est caractérisée par une forte saisonnalité et une rentabilité attractive. Les volumes connaissent des pics d’abondance sur les marchés, mais le secteur souffre d’un manque de chaîne de froid et d’organisation. Cela entraîne des pertes après récolte et des fluctuations des prix. Les offres concurrentielles proposent des variétés standard à des prix variant selon les calibres et les saisons, sans contrôle rigoureux de la qualité.</w:t>
      </w:r>
    </w:p>
    <w:p>
      <w:pPr>
        <w:pStyle w:val="Normal"/>
        <w:jc w:val="both"/>
        <w:rPr>
          <w:b/>
          <w:bCs/>
        </w:rPr>
      </w:pPr>
      <w:r>
        <w:rPr>
          <w:b/>
          <w:bCs/>
        </w:rPr>
        <w:t>a. L’approvisionnement en matières premières :</w:t>
      </w:r>
    </w:p>
    <w:p>
      <w:pPr>
        <w:pStyle w:val="Normal"/>
        <w:jc w:val="both"/>
        <w:rPr/>
      </w:pPr>
      <w:r>
        <w:rPr/>
        <w:t>Les besoins en matières premières nécessaires à la production sont : les semences maraîchères et céréalières de variétés adaptées aux conditions locales, la fumure organique, le compost et les engrais minéraux.</w:t>
      </w:r>
    </w:p>
    <w:p>
      <w:pPr>
        <w:pStyle w:val="Normal"/>
        <w:jc w:val="both"/>
        <w:rPr/>
      </w:pPr>
      <w:r>
        <w:rPr/>
        <w:t>L’approvisionnement en matières premières se fera essentiellement auprès des fournisseurs spécialisés de Bamako et environs pour les semences et les engrais, ainsi qu’auprès des éleveurs locaux pour la fumure organique.</w:t>
      </w:r>
    </w:p>
    <w:p>
      <w:pPr>
        <w:pStyle w:val="Normal"/>
        <w:jc w:val="both"/>
        <w:rPr/>
      </w:pPr>
      <w:r>
        <w:rPr/>
        <w:t>La fumure organique est fournie par les éleveurs qui disposent de la bouse de vache et de la fiente de volaille.</w:t>
      </w:r>
    </w:p>
    <w:p>
      <w:pPr>
        <w:pStyle w:val="Normal"/>
        <w:jc w:val="both"/>
        <w:rPr/>
      </w:pPr>
      <w:r>
        <w:rPr>
          <w:b/>
          <w:bCs/>
        </w:rPr>
        <w:t>b. La politique de distribution</w:t>
      </w:r>
      <w:r>
        <w:rPr/>
        <w:t xml:space="preserve"> :</w:t>
      </w:r>
    </w:p>
    <w:p>
      <w:pPr>
        <w:pStyle w:val="Normal"/>
        <w:jc w:val="both"/>
        <w:rPr/>
      </w:pPr>
      <w:r>
        <w:rPr/>
        <w:t>La politique de distribution de FERME NAGRO est structurée autour de deux axes principaux :</w:t>
      </w:r>
    </w:p>
    <w:p>
      <w:pPr>
        <w:pStyle w:val="Normal"/>
        <w:jc w:val="both"/>
        <w:rPr/>
      </w:pPr>
      <w:r>
        <w:rPr/>
        <w:t>La vente directe à la ferme aux commerçants grossistes ;</w:t>
      </w:r>
    </w:p>
    <w:p>
      <w:pPr>
        <w:pStyle w:val="Normal"/>
        <w:jc w:val="both"/>
        <w:rPr/>
      </w:pPr>
      <w:r>
        <w:rPr/>
        <w:t>La livraison à partir de la ferme aux clients qui ont des grosses commandes.</w:t>
      </w:r>
    </w:p>
    <w:p>
      <w:pPr>
        <w:pStyle w:val="Normal"/>
        <w:jc w:val="both"/>
        <w:rPr/>
      </w:pPr>
      <w:r>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w:t>
      </w:r>
    </w:p>
    <w:p>
      <w:pPr>
        <w:pStyle w:val="Normal"/>
        <w:jc w:val="both"/>
        <w:rPr>
          <w:b/>
          <w:bCs/>
        </w:rPr>
      </w:pPr>
      <w:r>
        <w:rPr>
          <w:b/>
          <w:bCs/>
        </w:rPr>
        <w:t>c. La politique tarifaire</w:t>
      </w:r>
    </w:p>
    <w:p>
      <w:pPr>
        <w:pStyle w:val="Normal"/>
        <w:jc w:val="both"/>
        <w:rPr/>
      </w:pPr>
      <w:r>
        <w:rPr/>
        <w:t>L’entreprise a développé une politique tarifaire en tenant compte des tarifs des concurrents. En ce qui concerne les grandes commandes, des facilités de livraison seront accordées pour attirer cette catégorie de clients.</w:t>
      </w:r>
    </w:p>
    <w:p>
      <w:pPr>
        <w:pStyle w:val="Normal"/>
        <w:jc w:val="both"/>
        <w:rPr/>
      </w:pPr>
      <w:r>
        <w:rPr/>
        <w:t>Les prix proposés par FERME NAGRO :</w:t>
      </w:r>
    </w:p>
    <w:tbl>
      <w:tblPr>
        <w:tblW w:w="11280" w:type="dxa"/>
        <w:jc w:val="start"/>
        <w:tblInd w:w="-1104" w:type="dxa"/>
        <w:tblLayout w:type="fixed"/>
        <w:tblCellMar>
          <w:top w:w="150" w:type="dxa"/>
          <w:start w:w="0" w:type="dxa"/>
          <w:bottom w:w="150" w:type="dxa"/>
          <w:end w:w="240" w:type="dxa"/>
        </w:tblCellMar>
      </w:tblPr>
      <w:tblGrid>
        <w:gridCol w:w="4299"/>
        <w:gridCol w:w="3075"/>
        <w:gridCol w:w="3906"/>
      </w:tblGrid>
      <w:tr>
        <w:trPr>
          <w:tblHeader w:val="true"/>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jc w:val="both"/>
              <w:rPr>
                <w:b/>
                <w:bCs/>
              </w:rPr>
            </w:pPr>
            <w:r>
              <w:rPr>
                <w:b/>
                <w:bCs/>
              </w:rPr>
              <w:t>Désignation</w:t>
            </w:r>
          </w:p>
        </w:tc>
        <w:tc>
          <w:tcPr>
            <w:tcW w:w="307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rPr>
            </w:pPr>
            <w:r>
              <w:rPr>
                <w:b/>
                <w:bCs/>
              </w:rPr>
              <w:t>Unité</w:t>
            </w:r>
          </w:p>
        </w:tc>
        <w:tc>
          <w:tcPr>
            <w:tcW w:w="390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rPr>
            </w:pPr>
            <w:r>
              <w:rPr>
                <w:b/>
                <w:bCs/>
              </w:rPr>
              <w:t>Prix</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Oignon</w:t>
            </w:r>
          </w:p>
        </w:tc>
        <w:tc>
          <w:tcPr>
            <w:tcW w:w="307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390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500 F CFA</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Gombo</w:t>
            </w:r>
          </w:p>
        </w:tc>
        <w:tc>
          <w:tcPr>
            <w:tcW w:w="307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390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400 F CFA</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Concombre</w:t>
            </w:r>
          </w:p>
        </w:tc>
        <w:tc>
          <w:tcPr>
            <w:tcW w:w="307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390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300 F CFA</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Carotte</w:t>
            </w:r>
          </w:p>
        </w:tc>
        <w:tc>
          <w:tcPr>
            <w:tcW w:w="307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390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350 F CFA</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Aubergine</w:t>
            </w:r>
          </w:p>
        </w:tc>
        <w:tc>
          <w:tcPr>
            <w:tcW w:w="307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390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300 F CFA</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Pastèque</w:t>
            </w:r>
          </w:p>
        </w:tc>
        <w:tc>
          <w:tcPr>
            <w:tcW w:w="307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390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200 F CFA</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Petit mil</w:t>
            </w:r>
          </w:p>
        </w:tc>
        <w:tc>
          <w:tcPr>
            <w:tcW w:w="307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390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200 F CFA</w:t>
            </w:r>
          </w:p>
        </w:tc>
      </w:tr>
      <w:tr>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Maïs</w:t>
            </w:r>
          </w:p>
        </w:tc>
        <w:tc>
          <w:tcPr>
            <w:tcW w:w="307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3906"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200 F CFA</w:t>
            </w:r>
          </w:p>
        </w:tc>
      </w:tr>
    </w:tbl>
    <w:p>
      <w:pPr>
        <w:pStyle w:val="Normal"/>
        <w:jc w:val="both"/>
        <w:rPr/>
      </w:pPr>
      <w:r>
        <w:rPr/>
        <w:t>Les prix proposés par les concurrents de l’entreprise :</w:t>
      </w:r>
    </w:p>
    <w:tbl>
      <w:tblPr>
        <w:tblW w:w="10130" w:type="dxa"/>
        <w:jc w:val="start"/>
        <w:tblInd w:w="-5" w:type="dxa"/>
        <w:tblLayout w:type="fixed"/>
        <w:tblCellMar>
          <w:top w:w="150" w:type="dxa"/>
          <w:start w:w="0" w:type="dxa"/>
          <w:bottom w:w="150" w:type="dxa"/>
          <w:end w:w="240" w:type="dxa"/>
        </w:tblCellMar>
      </w:tblPr>
      <w:tblGrid>
        <w:gridCol w:w="3282"/>
        <w:gridCol w:w="2377"/>
        <w:gridCol w:w="4471"/>
      </w:tblGrid>
      <w:tr>
        <w:trPr>
          <w:tblHeader w:val="true"/>
          <w:trHeight w:val="42" w:hRule="atLeast"/>
        </w:trPr>
        <w:tc>
          <w:tcPr>
            <w:tcW w:w="3282"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Désignation</w:t>
            </w:r>
          </w:p>
        </w:tc>
        <w:tc>
          <w:tcPr>
            <w:tcW w:w="237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Unité</w:t>
            </w:r>
          </w:p>
        </w:tc>
        <w:tc>
          <w:tcPr>
            <w:tcW w:w="4471"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Prix</w:t>
            </w:r>
          </w:p>
        </w:tc>
      </w:tr>
      <w:tr>
        <w:trPr>
          <w:trHeight w:val="40" w:hRule="atLeast"/>
        </w:trPr>
        <w:tc>
          <w:tcPr>
            <w:tcW w:w="3282"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Oignon</w:t>
            </w:r>
          </w:p>
        </w:tc>
        <w:tc>
          <w:tcPr>
            <w:tcW w:w="237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447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500 à 600 F CFA</w:t>
            </w:r>
          </w:p>
        </w:tc>
      </w:tr>
      <w:tr>
        <w:trPr>
          <w:trHeight w:val="40" w:hRule="atLeast"/>
        </w:trPr>
        <w:tc>
          <w:tcPr>
            <w:tcW w:w="3282"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Gombo</w:t>
            </w:r>
          </w:p>
        </w:tc>
        <w:tc>
          <w:tcPr>
            <w:tcW w:w="237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447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400 à 500 F CFA</w:t>
            </w:r>
          </w:p>
        </w:tc>
      </w:tr>
      <w:tr>
        <w:trPr>
          <w:trHeight w:val="42" w:hRule="atLeast"/>
        </w:trPr>
        <w:tc>
          <w:tcPr>
            <w:tcW w:w="3282"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Pastèque</w:t>
            </w:r>
          </w:p>
        </w:tc>
        <w:tc>
          <w:tcPr>
            <w:tcW w:w="237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Kg</w:t>
            </w:r>
          </w:p>
        </w:tc>
        <w:tc>
          <w:tcPr>
            <w:tcW w:w="4471"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150 à 200 F CFA</w:t>
            </w:r>
          </w:p>
        </w:tc>
      </w:tr>
    </w:tbl>
    <w:p>
      <w:pPr>
        <w:pStyle w:val="Normal"/>
        <w:jc w:val="both"/>
        <w:rPr/>
      </w:pPr>
      <w:r>
        <w:rPr/>
        <w:t>Les concurrents de l’entreprise dans la zone :</w:t>
      </w:r>
    </w:p>
    <w:tbl>
      <w:tblPr>
        <w:tblW w:w="10077" w:type="dxa"/>
        <w:jc w:val="start"/>
        <w:tblInd w:w="-5" w:type="dxa"/>
        <w:tblLayout w:type="fixed"/>
        <w:tblCellMar>
          <w:top w:w="150" w:type="dxa"/>
          <w:start w:w="0" w:type="dxa"/>
          <w:bottom w:w="150" w:type="dxa"/>
          <w:end w:w="240" w:type="dxa"/>
        </w:tblCellMar>
      </w:tblPr>
      <w:tblGrid>
        <w:gridCol w:w="876"/>
        <w:gridCol w:w="6133"/>
        <w:gridCol w:w="3068"/>
      </w:tblGrid>
      <w:tr>
        <w:trPr>
          <w:tblHeader w:val="true"/>
          <w:trHeight w:val="257" w:hRule="atLeast"/>
        </w:trPr>
        <w:tc>
          <w:tcPr>
            <w:tcW w:w="876"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N°</w:t>
            </w:r>
          </w:p>
        </w:tc>
        <w:tc>
          <w:tcPr>
            <w:tcW w:w="613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Noms des concurrents</w:t>
            </w:r>
          </w:p>
        </w:tc>
        <w:tc>
          <w:tcPr>
            <w:tcW w:w="306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Localisation</w:t>
            </w:r>
          </w:p>
        </w:tc>
      </w:tr>
      <w:tr>
        <w:trPr>
          <w:trHeight w:val="241" w:hRule="atLeast"/>
        </w:trPr>
        <w:tc>
          <w:tcPr>
            <w:tcW w:w="876"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1</w:t>
            </w:r>
          </w:p>
        </w:tc>
        <w:tc>
          <w:tcPr>
            <w:tcW w:w="613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Quelques périmètres maraîchers</w:t>
            </w:r>
          </w:p>
        </w:tc>
        <w:tc>
          <w:tcPr>
            <w:tcW w:w="3068"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Fiah et environs</w:t>
            </w:r>
          </w:p>
        </w:tc>
      </w:tr>
      <w:tr>
        <w:trPr>
          <w:trHeight w:val="257" w:hRule="atLeast"/>
        </w:trPr>
        <w:tc>
          <w:tcPr>
            <w:tcW w:w="876"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2</w:t>
            </w:r>
          </w:p>
        </w:tc>
        <w:tc>
          <w:tcPr>
            <w:tcW w:w="6133"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pPr>
            <w:r>
              <w:rPr/>
              <w:t>Producteurs céréaliers locaux</w:t>
            </w:r>
          </w:p>
        </w:tc>
        <w:tc>
          <w:tcPr>
            <w:tcW w:w="3068"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pPr>
            <w:r>
              <w:rPr/>
              <w:t>Fiah et environs</w:t>
            </w:r>
          </w:p>
        </w:tc>
      </w:tr>
    </w:tbl>
    <w:p>
      <w:pPr>
        <w:pStyle w:val="Normal"/>
        <w:jc w:val="both"/>
        <w:rPr/>
      </w:pPr>
      <w:r>
        <w:rPr/>
      </w:r>
    </w:p>
    <w:p>
      <w:pPr>
        <w:pStyle w:val="Normal"/>
        <w:jc w:val="both"/>
        <w:rPr>
          <w:b/>
          <w:bCs/>
        </w:rPr>
      </w:pPr>
      <w:r>
        <w:rPr>
          <w:b/>
          <w:bCs/>
        </w:rPr>
        <w:t>4. L’analyse de la concurrence</w:t>
      </w:r>
    </w:p>
    <w:p>
      <w:pPr>
        <w:pStyle w:val="Normal"/>
        <w:jc w:val="both"/>
        <w:rPr/>
      </w:pPr>
      <w:r>
        <w:rPr/>
        <w:t xml:space="preserve">L’entreprise est face à des concurrents très expérimentés mais non formels dans la zone du projet, c’est-à-dire d’autres maraîchers et producteurs céréaliers. Mais c’est le respect des itinéraires techniques de production et l’application des bonnes pratiques agricoles qui permet </w:t>
      </w:r>
      <w:r>
        <w:rPr>
          <w:b/>
          <w:bCs/>
        </w:rPr>
        <w:t>à FERME NAGRO</w:t>
      </w:r>
      <w:r>
        <w:rPr/>
        <w:t xml:space="preserve"> de fournir sur le marché des produits de très bonne qualité qui sont appréciés par les clients.</w:t>
      </w:r>
    </w:p>
    <w:p>
      <w:pPr>
        <w:pStyle w:val="Normal"/>
        <w:jc w:val="both"/>
        <w:rPr/>
      </w:pPr>
      <w:r>
        <w:rPr/>
        <w:t>Les concurrents qui fournissent des produits de même qualité que ceux de notre entreprise pratiquent généralement des prix plus élevés que les nôtres.</w:t>
      </w:r>
    </w:p>
    <w:p>
      <w:pPr>
        <w:pStyle w:val="Normal"/>
        <w:jc w:val="both"/>
        <w:rPr/>
      </w:pPr>
      <w:r>
        <w:rPr/>
        <w:t>Cependant notre entreprise développera des stratégies pour mieux se positionner sur le marché en :</w:t>
      </w:r>
    </w:p>
    <w:p>
      <w:pPr>
        <w:pStyle w:val="Normal"/>
        <w:tabs>
          <w:tab w:val="clear" w:pos="708"/>
          <w:tab w:val="left" w:pos="720" w:leader="none"/>
        </w:tabs>
        <w:jc w:val="both"/>
        <w:rPr/>
      </w:pPr>
      <w:r>
        <w:rPr/>
        <w:t>Fidélisant nos clients afin d’étendre notre part de marché ;</w:t>
      </w:r>
    </w:p>
    <w:p>
      <w:pPr>
        <w:pStyle w:val="Normal"/>
        <w:tabs>
          <w:tab w:val="clear" w:pos="708"/>
          <w:tab w:val="left" w:pos="720" w:leader="none"/>
        </w:tabs>
        <w:jc w:val="both"/>
        <w:rPr/>
      </w:pPr>
      <w:r>
        <w:rPr/>
        <w:t>Renforçant notre capacité de production et de distribution avec de nouveaux équipements pour mieux satisfaire la demande croissante des clients.</w:t>
      </w:r>
    </w:p>
    <w:p>
      <w:pPr>
        <w:pStyle w:val="Normal"/>
        <w:jc w:val="both"/>
        <w:rPr/>
      </w:pPr>
      <w:r>
        <w:rPr/>
        <w:t>Nous prévoyons également la participation de notre entreprise aux foires agricoles et le développement des actions de promotion pour toucher le maximum de prospects.</w:t>
      </w:r>
    </w:p>
    <w:p>
      <w:pPr>
        <w:pStyle w:val="Normal"/>
        <w:jc w:val="both"/>
        <w:rPr>
          <w:b/>
          <w:bCs/>
        </w:rPr>
      </w:pPr>
      <w:r>
        <w:rPr>
          <w:b/>
          <w:bCs/>
        </w:rPr>
        <w:t>5. La demande (clientèle cible)</w:t>
      </w:r>
    </w:p>
    <w:p>
      <w:pPr>
        <w:pStyle w:val="Normal"/>
        <w:jc w:val="both"/>
        <w:rPr/>
      </w:pPr>
      <w:r>
        <w:rPr/>
        <w:t>La clientèle cible est constituée par les commerçants grossistes, les détaillants, les revendeurs de produits maraîchers et céréaliers, les restaurateurs, les hôtels et les particuliers consommateurs de la ville de Fiah, des communes environnantes et de Bamak</w:t>
      </w:r>
      <w:r>
        <w:rPr>
          <w:b/>
          <w:bCs/>
        </w:rPr>
        <w:t>o</w:t>
      </w:r>
      <w:r>
        <w:rPr/>
        <w:t>. En général, les clients sont exigeants sur certains éléments clés : la taille du produit, la durée de conservation à l’état frais et la nature des fertilisants et pesticides utilisés par le producteur.</w:t>
      </w:r>
    </w:p>
    <w:p>
      <w:pPr>
        <w:pStyle w:val="Normal"/>
        <w:jc w:val="both"/>
        <w:rPr/>
      </w:pPr>
      <w:r>
        <w:rPr/>
        <w:t>En tenant compte de ces critères de qualité, notre entreprise se distingue par le fait qu’on n’utilise pas assez de fertilisants ni assez de pesticides chimiques. Le respect des itinéraires techniques de production et une bonne taille aux produits attirent les clients.</w:t>
      </w:r>
    </w:p>
    <w:p>
      <w:pPr>
        <w:pStyle w:val="Normal"/>
        <w:jc w:val="both"/>
        <w:rPr/>
      </w:pPr>
      <w:r>
        <w:rPr/>
        <w:t>Cela permet également d’avoir une longue durée de conservation des produits maraîchers à l’état frais.</w:t>
      </w:r>
    </w:p>
    <w:p>
      <w:pPr>
        <w:pStyle w:val="Normal"/>
        <w:jc w:val="both"/>
        <w:rPr/>
      </w:pPr>
      <w:r>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b/>
          <w:bCs/>
        </w:rPr>
      </w:pPr>
      <w:r>
        <w:rPr>
          <w:b/>
          <w:bCs/>
        </w:rPr>
        <w:t>6. Stratégies marketing</w:t>
      </w:r>
    </w:p>
    <w:p>
      <w:pPr>
        <w:pStyle w:val="Normal"/>
        <w:jc w:val="both"/>
        <w:rPr>
          <w:b/>
          <w:bCs/>
        </w:rPr>
      </w:pPr>
      <w:r>
        <w:rPr>
          <w:b/>
          <w:bCs/>
        </w:rPr>
        <w:t>6.1 Politique de Produit :</w:t>
      </w:r>
    </w:p>
    <w:p>
      <w:pPr>
        <w:pStyle w:val="Normal"/>
        <w:jc w:val="both"/>
        <w:rPr/>
      </w:pPr>
      <w:r>
        <w:rPr/>
        <w:t xml:space="preserve">La politique de produit est axée sur la production de produits maraîchers et céréaliers de haute qualité, disponibles en saison sèche comme en saison des pluies et répondant aux attentes des consommateurs exigeants. La marque </w:t>
      </w:r>
      <w:r>
        <w:rPr>
          <w:b/>
          <w:bCs/>
        </w:rPr>
        <w:t>FERME NAGRO</w:t>
      </w:r>
      <w:r>
        <w:rPr/>
        <w:t xml:space="preserve"> véhicule une image de fraîcheur, de qualité et de diversité. Les produits sont proposés sous plusieurs formes : oignon, gombo, concombre, carotte, aubergine, pastèque (saison sèche), petit mil et maïs (saison des pluies). Cette politique permet de rassurer l’entreprise et de soutenir la production tout au long de l’année.</w:t>
      </w:r>
    </w:p>
    <w:p>
      <w:pPr>
        <w:pStyle w:val="Normal"/>
        <w:jc w:val="both"/>
        <w:rPr>
          <w:b/>
          <w:bCs/>
        </w:rPr>
      </w:pPr>
      <w:r>
        <w:rPr>
          <w:b/>
          <w:bCs/>
        </w:rPr>
        <w:t>6.2 Politique de prix :</w:t>
      </w:r>
    </w:p>
    <w:p>
      <w:pPr>
        <w:pStyle w:val="Normal"/>
        <w:jc w:val="both"/>
        <w:rPr/>
      </w:pPr>
      <w:r>
        <w:rPr/>
        <w:t>La politique de prix a consisté à fixer un prix incitatif pour les clients afin de les fidéliser, augmenter le chiffre d’affaires de l’entreprise et mieux se positionner face à la concurrence. Les prix de vente sont fixés comme suit : oignon 500 F/kg, gombo 400 F/kg, concombre 300 F/kg, carotte 350 F/kg, aubergine 300 F/kg, pastèque 200 F/kg, petit mil 200 F/kg, maïs 200 F/kg. Des conditions favorables de livraison sont proposées pour les clients qui passent des commandes importantes.</w:t>
      </w:r>
    </w:p>
    <w:p>
      <w:pPr>
        <w:pStyle w:val="Normal"/>
        <w:jc w:val="both"/>
        <w:rPr>
          <w:b/>
          <w:bCs/>
        </w:rPr>
      </w:pPr>
      <w:r>
        <w:rPr>
          <w:b/>
          <w:bCs/>
        </w:rPr>
        <w:t>6.3 Politique de place</w:t>
      </w:r>
    </w:p>
    <w:p>
      <w:pPr>
        <w:pStyle w:val="Normal"/>
        <w:jc w:val="both"/>
        <w:rPr/>
      </w:pPr>
      <w:r>
        <w:rPr/>
        <w:t xml:space="preserve">La localisation de la ferme à </w:t>
      </w:r>
      <w:r>
        <w:rPr>
          <w:b/>
          <w:bCs/>
        </w:rPr>
        <w:t>Fiah</w:t>
      </w:r>
      <w:r>
        <w:rPr/>
        <w:t xml:space="preserve"> est une zone agricole par excellence et stratégique parce qu’elle permet d’attirer les clients vers les produits. Les grossistes se rendent dans cette zone de production pour négocier avec les producteurs. Cela facilite l’établissement des liens de marché solides et durables dans la commercialisation de la production.</w:t>
      </w:r>
    </w:p>
    <w:p>
      <w:pPr>
        <w:pStyle w:val="Normal"/>
        <w:jc w:val="both"/>
        <w:rPr>
          <w:b/>
          <w:bCs/>
        </w:rPr>
      </w:pPr>
      <w:r>
        <w:rPr>
          <w:b/>
          <w:bCs/>
        </w:rPr>
        <w:t>6.4 Politique de promotion/communication :</w:t>
      </w:r>
    </w:p>
    <w:p>
      <w:pPr>
        <w:pStyle w:val="Normal"/>
        <w:jc w:val="both"/>
        <w:rPr/>
      </w:pPr>
      <w:r>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br/>
      </w:r>
      <w:r>
        <w:rPr>
          <w:lang w:eastAsia="en-US"/>
        </w:rP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br/>
      </w:r>
      <w:r>
        <w:rPr>
          <w:lang w:eastAsia="en-US"/>
        </w:rP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w:t>
      </w:r>
      <w:r>
        <w:rPr>
          <w:lang w:eastAsia="en-US"/>
        </w:rPr>
        <w:t xml:space="preserve"> :</w:t>
        <w:br/>
        <w:t>Un plan de communication cohérent et adapté aux moyens de l’entreprise sera élaboré afin de mieux cibler les clients potentiels et mieux faire face à la concurrence.</w:t>
      </w:r>
    </w:p>
    <w:p>
      <w:pPr>
        <w:pStyle w:val="Normal"/>
        <w:rPr>
          <w:lang w:eastAsia="en-US"/>
        </w:rPr>
      </w:pPr>
      <w:r>
        <w:rPr>
          <w:lang w:eastAsia="en-US"/>
        </w:rPr>
        <w:t>Mise en œuvre du plan de communication.</w:t>
        <w:br/>
        <w:t>Les différents canaux identifiés seront utilisés dans la mise en œuvre de ce plan de communication. L’accent sera mis sur les périodes de grande consommation, de foires agricoles et commerciales.</w:t>
      </w:r>
    </w:p>
    <w:p>
      <w:pPr>
        <w:pStyle w:val="Normal"/>
        <w:jc w:val="both"/>
        <w:rPr>
          <w:lang w:eastAsia="en-US"/>
        </w:rPr>
      </w:pPr>
      <w:r>
        <w:rPr>
          <w:lang w:eastAsia="en-US"/>
        </w:rPr>
      </w:r>
    </w:p>
    <w:p>
      <w:pPr>
        <w:pStyle w:val="Normal"/>
        <w:jc w:val="both"/>
        <w:rPr/>
      </w:pPr>
      <w:r>
        <w:rPr/>
      </w:r>
    </w:p>
    <w:p>
      <w:pPr>
        <w:pStyle w:val="Heading1"/>
        <w:keepLines/>
        <w:numPr>
          <w:ilvl w:val="0"/>
          <w:numId w:val="5"/>
        </w:numPr>
        <w:spacing w:before="0" w:after="120"/>
        <w:ind w:hanging="431" w:start="431" w:end="0"/>
        <w:jc w:val="both"/>
        <w:rPr>
          <w:rFonts w:ascii="Times New Roman" w:hAnsi="Times New Roman" w:cs="Times New Roman"/>
          <w:caps/>
          <w:color w:val="166B7F"/>
          <w:kern w:val="0"/>
          <w:lang w:eastAsia="en-US"/>
        </w:rPr>
      </w:pPr>
      <w:bookmarkStart w:id="9" w:name="__RefHeading___Toc234831707"/>
      <w:bookmarkEnd w:id="9"/>
      <w:r>
        <w:rPr>
          <w:rFonts w:cs="Times New Roman" w:ascii="Times New Roman" w:hAnsi="Times New Roman"/>
          <w:caps/>
          <w:color w:val="166B7F"/>
          <w:kern w:val="0"/>
          <w:lang w:eastAsia="en-US"/>
        </w:rPr>
        <w:t>ETUDE TECHNIQUE</w:t>
      </w:r>
    </w:p>
    <w:p>
      <w:pPr>
        <w:pStyle w:val="Heading2"/>
        <w:keepLines/>
        <w:numPr>
          <w:ilvl w:val="0"/>
          <w:numId w:val="16"/>
        </w:numPr>
        <w:spacing w:before="120" w:after="120"/>
        <w:jc w:val="both"/>
        <w:rPr>
          <w:rFonts w:ascii="Times New Roman" w:hAnsi="Times New Roman" w:cs="Times New Roman"/>
          <w:i w:val="false"/>
          <w:i w:val="false"/>
          <w:iCs w:val="false"/>
          <w:sz w:val="24"/>
          <w:szCs w:val="24"/>
          <w:lang w:val="fr-CI"/>
        </w:rPr>
      </w:pPr>
      <w:bookmarkStart w:id="10" w:name="__RefHeading___Toc234831708"/>
      <w:r>
        <w:rPr>
          <w:rFonts w:cs="Times New Roman" w:ascii="Times New Roman" w:hAnsi="Times New Roman"/>
          <w:i w:val="false"/>
          <w:iCs w:val="false"/>
          <w:sz w:val="24"/>
          <w:szCs w:val="24"/>
          <w:lang w:val="fr-CI"/>
        </w:rPr>
        <w:t>Site d’implantation :</w:t>
      </w:r>
      <w:bookmarkEnd w:id="10"/>
      <w:r>
        <w:rPr>
          <w:rFonts w:cs="Times New Roman" w:ascii="Times New Roman" w:hAnsi="Times New Roman"/>
          <w:i w:val="false"/>
          <w:iCs w:val="false"/>
          <w:sz w:val="24"/>
          <w:szCs w:val="24"/>
          <w:lang w:val="fr-CI"/>
        </w:rPr>
        <w:t xml:space="preserve"> </w:t>
      </w:r>
    </w:p>
    <w:p>
      <w:pPr>
        <w:pStyle w:val="Normal"/>
        <w:jc w:val="both"/>
        <w:rPr/>
      </w:pPr>
      <w:r>
        <w:rPr/>
        <w:t xml:space="preserve">Le projet sera réalisé sur une superficie de </w:t>
      </w:r>
      <w:r>
        <w:rPr>
          <w:b/>
          <w:bCs/>
        </w:rPr>
        <w:t>5 hectares</w:t>
      </w:r>
      <w:r>
        <w:rPr/>
        <w:t xml:space="preserve"> à </w:t>
      </w:r>
      <w:r>
        <w:rPr>
          <w:b/>
          <w:bCs/>
        </w:rPr>
        <w:t>Fiah</w:t>
      </w:r>
      <w:r>
        <w:rPr/>
        <w:t>. Le site du projet est accessible avec des routes praticables en toute saison, cela facilitera le transport de la production pour la livraison aux clients.</w:t>
      </w:r>
    </w:p>
    <w:p>
      <w:pPr>
        <w:pStyle w:val="Normal"/>
        <w:jc w:val="both"/>
        <w:rPr/>
      </w:pPr>
      <w:r>
        <w:rPr/>
        <w:t xml:space="preserve">Le titre de propriété de la superficie est détenu par un membre de la famille qui m’autorise l’exploitation pour une durée de </w:t>
      </w:r>
      <w:r>
        <w:rPr>
          <w:b/>
          <w:bCs/>
        </w:rPr>
        <w:t>7 ans</w:t>
      </w:r>
      <w:r>
        <w:rPr/>
        <w:t>, renouvelable. Le document officiel vous sera soumis très prochainement.</w:t>
      </w:r>
    </w:p>
    <w:p>
      <w:pPr>
        <w:pStyle w:val="Normal"/>
        <w:ind w:start="720" w:end="0"/>
        <w:rPr/>
      </w:pPr>
      <w:r>
        <w:rPr/>
        <w:t xml:space="preserve">2.1 Constructions </w:t>
      </w:r>
    </w:p>
    <w:tbl>
      <w:tblPr>
        <w:tblW w:w="7420" w:type="dxa"/>
        <w:jc w:val="start"/>
        <w:tblInd w:w="80" w:type="dxa"/>
        <w:tblLayout w:type="fixed"/>
        <w:tblCellMar>
          <w:top w:w="0" w:type="dxa"/>
          <w:start w:w="70" w:type="dxa"/>
          <w:bottom w:w="0" w:type="dxa"/>
          <w:end w:w="70" w:type="dxa"/>
        </w:tblCellMar>
      </w:tblPr>
      <w:tblGrid>
        <w:gridCol w:w="3251"/>
        <w:gridCol w:w="992"/>
        <w:gridCol w:w="1417"/>
        <w:gridCol w:w="1760"/>
      </w:tblGrid>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992"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417"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760"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1"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rPr>
            </w:pPr>
            <w:r>
              <w:rPr>
                <w:color w:val="000000"/>
              </w:rPr>
              <w:t>0</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start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0</w:t>
            </w:r>
          </w:p>
        </w:tc>
      </w:tr>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7"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760"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0</w:t>
            </w:r>
          </w:p>
        </w:tc>
      </w:tr>
    </w:tbl>
    <w:p>
      <w:pPr>
        <w:pStyle w:val="Normal"/>
        <w:ind w:start="720" w:end="0"/>
        <w:rPr>
          <w:lang w:val="fr-CI"/>
        </w:rPr>
      </w:pPr>
      <w:r>
        <w:rPr>
          <w:lang w:val="fr-CI"/>
        </w:rPr>
      </w:r>
    </w:p>
    <w:p>
      <w:pPr>
        <w:pStyle w:val="Normal"/>
        <w:ind w:start="720" w:end="0"/>
        <w:rPr>
          <w:lang w:val="fr-CI"/>
        </w:rPr>
      </w:pPr>
      <w:r>
        <w:rPr>
          <w:lang w:val="fr-CI"/>
        </w:rPr>
        <w:t>2.2 Aménagements /installations</w:t>
      </w:r>
    </w:p>
    <w:p>
      <w:pPr>
        <w:pStyle w:val="Normal"/>
        <w:rPr/>
      </w:pPr>
      <w:r>
        <w:rPr/>
        <w:t> </w:t>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520"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Forage + pompe solaire</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00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3 500 000</w:t>
            </w:r>
          </w:p>
        </w:tc>
        <w:tc>
          <w:tcPr>
            <w:tcW w:w="152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3 500 000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Bassin de rétention 100 m³</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00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1 000 000</w:t>
            </w:r>
          </w:p>
        </w:tc>
        <w:tc>
          <w:tcPr>
            <w:tcW w:w="152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1 000 000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Système goutte-à-goutte (5 ha)</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5 000 000</w:t>
            </w:r>
          </w:p>
        </w:tc>
        <w:tc>
          <w:tcPr>
            <w:tcW w:w="1520"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5 000 000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Clôture 5 ha (grillage)</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3 000 000</w:t>
            </w:r>
          </w:p>
        </w:tc>
        <w:tc>
          <w:tcPr>
            <w:tcW w:w="1520"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3 000 000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Aménagement du terrain (labour, billons)</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1 500 000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520"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14 000 000</w:t>
            </w:r>
          </w:p>
        </w:tc>
      </w:tr>
    </w:tbl>
    <w:p>
      <w:pPr>
        <w:pStyle w:val="Heading3"/>
        <w:numPr>
          <w:ilvl w:val="1"/>
          <w:numId w:val="13"/>
        </w:numPr>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Pulvérisateurs</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125 000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Brouettes + Houes</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65 000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325 000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2"/>
                <w:szCs w:val="22"/>
              </w:rPr>
            </w:pPr>
            <w:r>
              <w:rPr>
                <w:color w:val="000000"/>
                <w:sz w:val="22"/>
                <w:szCs w:val="22"/>
              </w:rPr>
              <w:t>Dabas / Pelles (1 lot)</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100 000</w:t>
            </w:r>
          </w:p>
        </w:tc>
      </w:tr>
      <w:tr>
        <w:trPr>
          <w:trHeight w:val="25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Caisses de récolte</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150 000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Balances</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60 000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Petit matériel divers (1 lot)</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240 000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240 000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Séchoirs artisanaux</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1 500 000</w:t>
            </w:r>
          </w:p>
        </w:tc>
      </w:tr>
    </w:tbl>
    <w:p>
      <w:pPr>
        <w:pStyle w:val="Normal"/>
        <w:rPr>
          <w:b/>
          <w:bCs/>
          <w:sz w:val="22"/>
          <w:szCs w:val="22"/>
          <w:lang w:eastAsia="fr-CA"/>
        </w:rPr>
      </w:pPr>
      <w:r>
        <w:rPr>
          <w:b/>
          <w:bCs/>
          <w:sz w:val="22"/>
          <w:szCs w:val="22"/>
          <w:lang w:eastAsia="fr-CA"/>
        </w:rPr>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55" w:hRule="atLeast"/>
        </w:trPr>
        <w:tc>
          <w:tcPr>
            <w:tcW w:w="3900"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52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r>
    </w:tbl>
    <w:p>
      <w:pPr>
        <w:pStyle w:val="Heading2"/>
        <w:keepLines/>
        <w:numPr>
          <w:ilvl w:val="0"/>
          <w:numId w:val="16"/>
        </w:numPr>
        <w:spacing w:before="120" w:after="120"/>
        <w:jc w:val="both"/>
        <w:rPr>
          <w:rFonts w:ascii="Times New Roman" w:hAnsi="Times New Roman" w:cs="Times New Roman"/>
          <w:b w:val="false"/>
          <w:bCs w:val="false"/>
          <w:i w:val="false"/>
          <w:i w:val="false"/>
          <w:sz w:val="22"/>
          <w:szCs w:val="22"/>
          <w:lang w:val="fr-CI"/>
        </w:rPr>
      </w:pPr>
      <w:bookmarkStart w:id="12" w:name="__RefHeading___Toc234831711"/>
      <w:bookmarkEnd w:id="12"/>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rPr/>
      </w:pPr>
      <w:r>
        <w:rPr>
          <w:b/>
          <w:bCs/>
          <w:sz w:val="22"/>
          <w:szCs w:val="22"/>
        </w:rPr>
        <w:t>Maraîchage (saison sèche) :</w:t>
      </w:r>
      <w:r>
        <w:rPr>
          <w:bCs/>
          <w:sz w:val="22"/>
          <w:szCs w:val="22"/>
        </w:rPr>
        <w:br/>
      </w:r>
      <w:r>
        <w:rPr/>
        <w:t>Préparation du sol → Semis en pépinière/alvéoles → Repiquage → Irrigation → Fertilisation → Entretien → Floraison/Pollinisation → Récolte → Tri → Conditionnement.</w:t>
      </w:r>
    </w:p>
    <w:p>
      <w:pPr>
        <w:pStyle w:val="Normal"/>
        <w:rPr/>
      </w:pPr>
      <w:r>
        <w:rPr>
          <w:b/>
          <w:bCs/>
        </w:rPr>
        <w:t>Céréales (saison des pluies)</w:t>
      </w:r>
      <w:r>
        <w:rPr/>
        <w:t xml:space="preserve"> :</w:t>
        <w:br/>
        <w:t>Labour → Semis → Entretien → Récolte → Battage → Stockage.</w:t>
      </w:r>
    </w:p>
    <w:p>
      <w:pPr>
        <w:pStyle w:val="Normal"/>
        <w:rPr/>
      </w:pPr>
      <w:r>
        <w:rPr/>
        <w:t>Le processus de production au niveau de la FERME NAGRO comprend :</w:t>
      </w:r>
    </w:p>
    <w:p>
      <w:pPr>
        <w:pStyle w:val="Normal"/>
        <w:tabs>
          <w:tab w:val="clear" w:pos="708"/>
          <w:tab w:val="left" w:pos="720" w:leader="none"/>
        </w:tabs>
        <w:rPr/>
      </w:pPr>
      <w:r>
        <w:rPr>
          <w:b/>
          <w:bCs/>
        </w:rPr>
        <w:t>Préparation et amélioration du sol</w:t>
      </w:r>
      <w:r>
        <w:rPr/>
        <w:br/>
        <w:t>Le sol est enrichi principalement par des apports organiques, notamment du compost et du fumier bien décomposé, afin d’améliorer la fertilité avec l’appui modéré d’engrais chimiques. Cette pratique est essentielle pour garantir des rendements durables sur les 5 hectares.</w:t>
      </w:r>
    </w:p>
    <w:p>
      <w:pPr>
        <w:pStyle w:val="Normal"/>
        <w:tabs>
          <w:tab w:val="clear" w:pos="708"/>
          <w:tab w:val="left" w:pos="720" w:leader="none"/>
        </w:tabs>
        <w:rPr/>
      </w:pPr>
      <w:r>
        <w:rPr>
          <w:b/>
          <w:bCs/>
        </w:rPr>
        <w:t>Gestion durable de l’eau</w:t>
      </w:r>
      <w:r>
        <w:rPr/>
        <w:br/>
        <w:t>L’entreprise utilisera un forage équipé d’une pompe solaire et un bassin de rétention de 100 m³, avec un système d’irrigation goutte-à-goutte pour assurer un approvisionnement constant en eau. Ces techniques permettront de réduire la consommation d’eau de 40 % tout en augmentant les rendements.</w:t>
      </w:r>
    </w:p>
    <w:p>
      <w:pPr>
        <w:pStyle w:val="Normal"/>
        <w:tabs>
          <w:tab w:val="clear" w:pos="708"/>
          <w:tab w:val="left" w:pos="720" w:leader="none"/>
        </w:tabs>
        <w:rPr/>
      </w:pPr>
      <w:r>
        <w:rPr>
          <w:b/>
          <w:bCs/>
        </w:rPr>
        <w:t>Semis et repiquage (maraîchage)</w:t>
      </w:r>
      <w:r>
        <w:rPr/>
        <w:br/>
        <w:t>Les semences de variétés adaptées (Violet de Galmi pour l’oignon, variétés locales pour le gombo et l’aubergine, Koloss et Sugar Baby pour la pastèque, Nantaise pour la carotte) sont semées en pépinière ou en alvéoles, puis repiquées sur la parcelle après préparation du sol.</w:t>
      </w:r>
    </w:p>
    <w:p>
      <w:pPr>
        <w:pStyle w:val="Normal"/>
        <w:tabs>
          <w:tab w:val="clear" w:pos="708"/>
          <w:tab w:val="left" w:pos="720" w:leader="none"/>
        </w:tabs>
        <w:rPr/>
      </w:pPr>
      <w:r>
        <w:rPr/>
        <w:t>Semis direct (céréales)</w:t>
        <w:br/>
        <w:t>Le petit mil et le maïs sont semés directement en saison des pluies, après labour et préparation du sol.</w:t>
      </w:r>
    </w:p>
    <w:p>
      <w:pPr>
        <w:pStyle w:val="Normal"/>
        <w:tabs>
          <w:tab w:val="clear" w:pos="708"/>
          <w:tab w:val="left" w:pos="720" w:leader="none"/>
        </w:tabs>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tabs>
          <w:tab w:val="clear" w:pos="708"/>
          <w:tab w:val="left" w:pos="720" w:leader="none"/>
        </w:tabs>
        <w:rPr/>
      </w:pPr>
      <w:r>
        <w:rPr>
          <w:b/>
          <w:bCs/>
        </w:rPr>
        <w:t>Gestion des maladies</w:t>
      </w:r>
      <w:r>
        <w:rPr/>
        <w:br/>
        <w:t>Un plan de protection phytosanitaire préventif sera mis en place : rotation des cultures, utilisation de variétés résistantes, traitement précoce des foyers d’infection, formation du personnel aux bonnes pratiques agricoles.</w:t>
      </w:r>
    </w:p>
    <w:p>
      <w:pPr>
        <w:pStyle w:val="Normal"/>
        <w:tabs>
          <w:tab w:val="clear" w:pos="708"/>
          <w:tab w:val="left" w:pos="720" w:leader="none"/>
        </w:tabs>
        <w:rPr/>
      </w:pPr>
      <w:r>
        <w:rPr>
          <w:b/>
          <w:bCs/>
        </w:rPr>
        <w:t>Récolte, tri et conditionnement</w:t>
      </w:r>
      <w:r>
        <w:rPr/>
        <w:br/>
        <w:t>La récolte est effectuée au moment optimal pour garantir la qualité et la fraîcheur des produits. Le tri permet de séparer les produits selon leurs calibres (gros, moyen, petit) avant conditionnement et livraison aux clients.</w:t>
      </w:r>
    </w:p>
    <w:p>
      <w:pPr>
        <w:pStyle w:val="Normal"/>
        <w:rPr/>
      </w:pPr>
      <w:r>
        <w:rPr/>
        <w:t xml:space="preserve">La capacité de production de </w:t>
      </w:r>
      <w:r>
        <w:rPr>
          <w:b/>
          <w:bCs/>
        </w:rPr>
        <w:t>FERME NAGRO</w:t>
      </w:r>
      <w:r>
        <w:rPr/>
        <w:t xml:space="preserve"> est définie dans la projection de vente ci-dessous :</w:t>
      </w:r>
    </w:p>
    <w:tbl>
      <w:tblPr>
        <w:tblW w:w="8586" w:type="dxa"/>
        <w:jc w:val="start"/>
        <w:tblInd w:w="-5" w:type="dxa"/>
        <w:tblLayout w:type="fixed"/>
        <w:tblCellMar>
          <w:top w:w="150" w:type="dxa"/>
          <w:start w:w="0" w:type="dxa"/>
          <w:bottom w:w="150" w:type="dxa"/>
          <w:end w:w="240" w:type="dxa"/>
        </w:tblCellMar>
      </w:tblPr>
      <w:tblGrid>
        <w:gridCol w:w="2077"/>
        <w:gridCol w:w="1065"/>
        <w:gridCol w:w="1540"/>
        <w:gridCol w:w="1807"/>
        <w:gridCol w:w="2097"/>
      </w:tblGrid>
      <w:tr>
        <w:trPr>
          <w:tblHeader w:val="true"/>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rFonts w:ascii="Segoe UI" w:hAnsi="Segoe UI" w:cs="Segoe UI"/>
                <w:b/>
                <w:bCs/>
                <w:sz w:val="23"/>
                <w:szCs w:val="23"/>
                <w:lang w:eastAsia="fr-FR"/>
              </w:rPr>
            </w:pPr>
            <w:bookmarkStart w:id="13" w:name="__RefHeading___Toc234831712"/>
            <w:bookmarkEnd w:id="13"/>
            <w:r>
              <w:rPr>
                <w:rFonts w:cs="Segoe UI" w:ascii="Segoe UI" w:hAnsi="Segoe UI"/>
                <w:b/>
                <w:bCs/>
                <w:sz w:val="23"/>
                <w:szCs w:val="23"/>
                <w:lang w:eastAsia="fr-FR"/>
              </w:rPr>
              <w:t>Désignation</w:t>
            </w:r>
          </w:p>
        </w:tc>
        <w:tc>
          <w:tcPr>
            <w:tcW w:w="106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Unité</w:t>
            </w:r>
          </w:p>
        </w:tc>
        <w:tc>
          <w:tcPr>
            <w:tcW w:w="15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Qté/an</w:t>
            </w:r>
          </w:p>
        </w:tc>
        <w:tc>
          <w:tcPr>
            <w:tcW w:w="180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Prix unitaire</w:t>
            </w:r>
          </w:p>
        </w:tc>
        <w:tc>
          <w:tcPr>
            <w:tcW w:w="20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Montant</w:t>
            </w:r>
          </w:p>
        </w:tc>
      </w:tr>
      <w:tr>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Oignon</w:t>
            </w:r>
          </w:p>
        </w:tc>
        <w:tc>
          <w:tcPr>
            <w:tcW w:w="106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20 000</w:t>
            </w:r>
          </w:p>
        </w:tc>
        <w:tc>
          <w:tcPr>
            <w:tcW w:w="180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500 F</w:t>
            </w:r>
          </w:p>
        </w:tc>
        <w:tc>
          <w:tcPr>
            <w:tcW w:w="20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10 000 000 F</w:t>
            </w:r>
          </w:p>
        </w:tc>
      </w:tr>
      <w:tr>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Gombo</w:t>
            </w:r>
          </w:p>
        </w:tc>
        <w:tc>
          <w:tcPr>
            <w:tcW w:w="106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8 000</w:t>
            </w:r>
          </w:p>
        </w:tc>
        <w:tc>
          <w:tcPr>
            <w:tcW w:w="180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400 F</w:t>
            </w:r>
          </w:p>
        </w:tc>
        <w:tc>
          <w:tcPr>
            <w:tcW w:w="20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3 200 000 F</w:t>
            </w:r>
          </w:p>
        </w:tc>
      </w:tr>
      <w:tr>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Concombre</w:t>
            </w:r>
          </w:p>
        </w:tc>
        <w:tc>
          <w:tcPr>
            <w:tcW w:w="106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7 500</w:t>
            </w:r>
          </w:p>
        </w:tc>
        <w:tc>
          <w:tcPr>
            <w:tcW w:w="180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300 F</w:t>
            </w:r>
          </w:p>
        </w:tc>
        <w:tc>
          <w:tcPr>
            <w:tcW w:w="20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2 250 000 F</w:t>
            </w:r>
          </w:p>
        </w:tc>
      </w:tr>
      <w:tr>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Carotte</w:t>
            </w:r>
          </w:p>
        </w:tc>
        <w:tc>
          <w:tcPr>
            <w:tcW w:w="106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7 500</w:t>
            </w:r>
          </w:p>
        </w:tc>
        <w:tc>
          <w:tcPr>
            <w:tcW w:w="180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350 F</w:t>
            </w:r>
          </w:p>
        </w:tc>
        <w:tc>
          <w:tcPr>
            <w:tcW w:w="20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2 625 000 F</w:t>
            </w:r>
          </w:p>
        </w:tc>
      </w:tr>
      <w:tr>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Aubergine</w:t>
            </w:r>
          </w:p>
        </w:tc>
        <w:tc>
          <w:tcPr>
            <w:tcW w:w="106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15 000</w:t>
            </w:r>
          </w:p>
        </w:tc>
        <w:tc>
          <w:tcPr>
            <w:tcW w:w="180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300 F</w:t>
            </w:r>
          </w:p>
        </w:tc>
        <w:tc>
          <w:tcPr>
            <w:tcW w:w="20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4 500 000 F</w:t>
            </w:r>
          </w:p>
        </w:tc>
      </w:tr>
      <w:tr>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Pastèque</w:t>
            </w:r>
          </w:p>
        </w:tc>
        <w:tc>
          <w:tcPr>
            <w:tcW w:w="106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25 000</w:t>
            </w:r>
          </w:p>
        </w:tc>
        <w:tc>
          <w:tcPr>
            <w:tcW w:w="180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200 F</w:t>
            </w:r>
          </w:p>
        </w:tc>
        <w:tc>
          <w:tcPr>
            <w:tcW w:w="20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5 000 000 F</w:t>
            </w:r>
          </w:p>
        </w:tc>
      </w:tr>
      <w:tr>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Petit mil</w:t>
            </w:r>
          </w:p>
        </w:tc>
        <w:tc>
          <w:tcPr>
            <w:tcW w:w="106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3 750</w:t>
            </w:r>
          </w:p>
        </w:tc>
        <w:tc>
          <w:tcPr>
            <w:tcW w:w="180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200 F</w:t>
            </w:r>
          </w:p>
        </w:tc>
        <w:tc>
          <w:tcPr>
            <w:tcW w:w="20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750 000 F</w:t>
            </w:r>
          </w:p>
        </w:tc>
      </w:tr>
      <w:tr>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Maïs</w:t>
            </w:r>
          </w:p>
        </w:tc>
        <w:tc>
          <w:tcPr>
            <w:tcW w:w="106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5 000</w:t>
            </w:r>
          </w:p>
        </w:tc>
        <w:tc>
          <w:tcPr>
            <w:tcW w:w="180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200 F</w:t>
            </w:r>
          </w:p>
        </w:tc>
        <w:tc>
          <w:tcPr>
            <w:tcW w:w="20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1 000 000 F</w:t>
            </w:r>
          </w:p>
        </w:tc>
      </w:tr>
      <w:tr>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b/>
                <w:bCs/>
                <w:sz w:val="23"/>
                <w:szCs w:val="23"/>
                <w:lang w:eastAsia="fr-FR"/>
              </w:rPr>
              <w:t>TOTAL</w:t>
            </w:r>
          </w:p>
        </w:tc>
        <w:tc>
          <w:tcPr>
            <w:tcW w:w="106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napToGrid w:val="false"/>
              <w:spacing w:lineRule="atLeast" w:line="375"/>
              <w:rPr>
                <w:rFonts w:ascii="Segoe UI" w:hAnsi="Segoe UI" w:cs="Segoe UI"/>
                <w:sz w:val="23"/>
                <w:szCs w:val="23"/>
                <w:lang w:eastAsia="fr-FR"/>
              </w:rPr>
            </w:pPr>
            <w:r>
              <w:rPr>
                <w:rFonts w:cs="Segoe UI" w:ascii="Segoe UI" w:hAnsi="Segoe UI"/>
                <w:sz w:val="23"/>
                <w:szCs w:val="23"/>
                <w:lang w:eastAsia="fr-FR"/>
              </w:rPr>
            </w:r>
          </w:p>
        </w:tc>
        <w:tc>
          <w:tcPr>
            <w:tcW w:w="15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b/>
                <w:bCs/>
                <w:sz w:val="23"/>
                <w:szCs w:val="23"/>
                <w:lang w:eastAsia="fr-FR"/>
              </w:rPr>
              <w:t>91 750 kg</w:t>
            </w:r>
          </w:p>
        </w:tc>
        <w:tc>
          <w:tcPr>
            <w:tcW w:w="180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napToGrid w:val="false"/>
              <w:spacing w:lineRule="atLeast" w:line="375"/>
              <w:rPr>
                <w:rFonts w:ascii="Segoe UI" w:hAnsi="Segoe UI" w:cs="Segoe UI"/>
                <w:sz w:val="23"/>
                <w:szCs w:val="23"/>
                <w:lang w:eastAsia="fr-FR"/>
              </w:rPr>
            </w:pPr>
            <w:r>
              <w:rPr>
                <w:rFonts w:cs="Segoe UI" w:ascii="Segoe UI" w:hAnsi="Segoe UI"/>
                <w:sz w:val="23"/>
                <w:szCs w:val="23"/>
                <w:lang w:eastAsia="fr-FR"/>
              </w:rPr>
            </w:r>
          </w:p>
        </w:tc>
        <w:tc>
          <w:tcPr>
            <w:tcW w:w="20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b/>
                <w:bCs/>
                <w:sz w:val="23"/>
                <w:szCs w:val="23"/>
                <w:lang w:eastAsia="fr-FR"/>
              </w:rPr>
              <w:t>29 325 000 F CFA</w:t>
            </w:r>
          </w:p>
        </w:tc>
      </w:tr>
    </w:tbl>
    <w:p>
      <w:pPr>
        <w:pStyle w:val="Normal"/>
        <w:shd w:fill="FFFFFF" w:val="clear"/>
        <w:suppressAutoHyphens w:val="false"/>
        <w:spacing w:before="240" w:after="240"/>
        <w:rPr>
          <w:rFonts w:ascii="Segoe UI" w:hAnsi="Segoe UI" w:cs="Segoe UI"/>
          <w:color w:val="0F1115"/>
          <w:lang w:eastAsia="fr-FR"/>
        </w:rPr>
      </w:pPr>
      <w:r>
        <w:rPr>
          <w:rFonts w:cs="Segoe UI" w:ascii="Segoe UI" w:hAnsi="Segoe UI"/>
          <w:i/>
          <w:iCs/>
          <w:color w:val="0F1115"/>
          <w:lang w:eastAsia="fr-FR"/>
        </w:rPr>
        <w:t xml:space="preserve">Hypothèse prudente : 68 % du potentiel, soit </w:t>
      </w:r>
      <w:r>
        <w:rPr>
          <w:rFonts w:cs="Segoe UI" w:ascii="Segoe UI" w:hAnsi="Segoe UI"/>
          <w:b/>
          <w:bCs/>
          <w:i/>
          <w:iCs/>
          <w:color w:val="0F1115"/>
          <w:lang w:eastAsia="fr-FR"/>
        </w:rPr>
        <w:t>20 000 000 F CFA</w:t>
      </w:r>
      <w:r>
        <w:rPr>
          <w:rFonts w:cs="Segoe UI" w:ascii="Segoe UI" w:hAnsi="Segoe UI"/>
          <w:i/>
          <w:iCs/>
          <w:color w:val="0F1115"/>
          <w:lang w:eastAsia="fr-FR"/>
        </w:rPr>
        <w:t xml:space="preserve"> de chiffre d’affaires AN1.</w:t>
      </w:r>
    </w:p>
    <w:p>
      <w:pPr>
        <w:pStyle w:val="Normal"/>
        <w:shd w:fill="FFFFFF" w:val="clear"/>
        <w:suppressAutoHyphens w:val="false"/>
        <w:spacing w:before="240" w:after="240"/>
        <w:rPr>
          <w:rFonts w:ascii="Segoe UI" w:hAnsi="Segoe UI" w:cs="Segoe UI"/>
          <w:color w:val="0F1115"/>
          <w:lang w:eastAsia="fr-FR"/>
        </w:rPr>
      </w:pPr>
      <w:r>
        <w:rPr>
          <w:rFonts w:cs="Segoe UI" w:ascii="Segoe UI" w:hAnsi="Segoe UI"/>
          <w:i/>
          <w:iCs/>
          <w:color w:val="0F1115"/>
          <w:lang w:eastAsia="fr-FR"/>
        </w:rPr>
        <w:t>(Soit environ 57 tonnes de produits maraîchers et 6 tonnes de céréales par an, correspondant à un rendement adapté à la superficie de 5 hectares.)</w:t>
      </w:r>
    </w:p>
    <w:p>
      <w:pPr>
        <w:pStyle w:val="Heading2"/>
        <w:keepLines/>
        <w:numPr>
          <w:ilvl w:val="0"/>
          <w:numId w:val="16"/>
        </w:numPr>
        <w:spacing w:before="120" w:after="120"/>
        <w:jc w:val="both"/>
        <w:rPr>
          <w:rFonts w:ascii="Times New Roman" w:hAnsi="Times New Roman" w:cs="Times New Roman"/>
          <w:sz w:val="24"/>
          <w:szCs w:val="24"/>
          <w:lang w:val="fr-CI"/>
        </w:rPr>
      </w:pPr>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quinze (15) hommes : cinq (5) en permanence (le promoteur, non salarié la première année, l’agronome et trois ouvriers) et dix (10) ouvriers saisonniers (3 mois). </w:t>
      </w:r>
    </w:p>
    <w:tbl>
      <w:tblPr>
        <w:tblW w:w="4750" w:type="pct"/>
        <w:jc w:val="center"/>
        <w:tblInd w:w="0" w:type="dxa"/>
        <w:tblLayout w:type="fixed"/>
        <w:tblCellMar>
          <w:top w:w="0" w:type="dxa"/>
          <w:start w:w="70" w:type="dxa"/>
          <w:bottom w:w="0" w:type="dxa"/>
          <w:end w:w="70" w:type="dxa"/>
        </w:tblCellMar>
      </w:tblPr>
      <w:tblGrid>
        <w:gridCol w:w="2550"/>
        <w:gridCol w:w="963"/>
        <w:gridCol w:w="1002"/>
        <w:gridCol w:w="2268"/>
        <w:gridCol w:w="1073"/>
        <w:gridCol w:w="1302"/>
      </w:tblGrid>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 xml:space="preserve">Sexe </w:t>
            </w:r>
          </w:p>
        </w:tc>
        <w:tc>
          <w:tcPr>
            <w:tcW w:w="10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8"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BANOU</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Gérant (promoteur)</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sz w:val="22"/>
                <w:szCs w:val="22"/>
                <w:lang w:val="fr-CA" w:eastAsia="fr-CA"/>
              </w:rPr>
              <w:t>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sz w:val="22"/>
                <w:szCs w:val="22"/>
                <w:lang w:val="fr-CA" w:eastAsia="fr-CA"/>
              </w:rPr>
            </w:pPr>
            <w:r>
              <w:rPr>
                <w:sz w:val="22"/>
                <w:szCs w:val="22"/>
                <w:lang w:val="fr-CA" w:eastAsia="fr-CA"/>
              </w:rPr>
              <w:t>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Agronome</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Responsable production</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z w:val="22"/>
                <w:szCs w:val="22"/>
                <w:lang w:val="fr-CA"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pPr>
            <w:r>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Ouvriers permanents</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ria" w:hAnsi="Cambria" w:cs="Arial"/>
                <w:sz w:val="22"/>
                <w:szCs w:val="22"/>
                <w:lang w:eastAsia="fr-CA"/>
              </w:rPr>
            </w:pPr>
            <w:r>
              <w:rPr>
                <w:rFonts w:cs="Arial" w:ascii="Cambria" w:hAnsi="Cambria"/>
                <w:sz w:val="22"/>
                <w:szCs w:val="22"/>
                <w:lang w:eastAsia="fr-CA"/>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Aide-production</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lang w:eastAsia="fr-CA"/>
              </w:rPr>
            </w:pPr>
            <w:r>
              <w:rPr>
                <w:lang w:eastAsia="fr-CA"/>
              </w:rPr>
              <w:t>1 800 000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Ouvriers saisonniers</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10</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Aide-production (3 mois)</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25 000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pPr>
            <w:r>
              <w:rPr/>
              <w:t>750 000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 </w:t>
            </w:r>
          </w:p>
        </w:tc>
        <w:tc>
          <w:tcPr>
            <w:tcW w:w="10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w:t>
            </w:r>
          </w:p>
        </w:tc>
        <w:tc>
          <w:tcPr>
            <w:tcW w:w="2268" w:type="dxa"/>
            <w:tcBorders>
              <w:top w:val="single" w:sz="4" w:space="0" w:color="000000"/>
              <w:start w:val="single" w:sz="4" w:space="0" w:color="000000"/>
              <w:bottom w:val="single" w:sz="4" w:space="0" w:color="000000"/>
              <w:end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125 000</w:t>
            </w:r>
          </w:p>
        </w:tc>
        <w:tc>
          <w:tcPr>
            <w:tcW w:w="13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3 150 000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8" w:type="dxa"/>
            <w:tcBorders>
              <w:top w:val="single" w:sz="4" w:space="0" w:color="000000"/>
              <w:start w:val="single" w:sz="4" w:space="0" w:color="000000"/>
              <w:bottom w:val="single" w:sz="4" w:space="0" w:color="000000"/>
              <w:end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125 000</w:t>
            </w:r>
          </w:p>
        </w:tc>
        <w:tc>
          <w:tcPr>
            <w:tcW w:w="13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3 150 000</w:t>
            </w:r>
          </w:p>
        </w:tc>
      </w:tr>
    </w:tbl>
    <w:p>
      <w:pPr>
        <w:pStyle w:val="Heading1"/>
        <w:keepLines/>
        <w:numPr>
          <w:ilvl w:val="0"/>
          <w:numId w:val="5"/>
        </w:numPr>
        <w:spacing w:before="240" w:after="120"/>
        <w:ind w:hanging="431" w:start="431" w:end="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ETUDE ECONOMIQUE ET FINANCIERE</w:t>
      </w:r>
    </w:p>
    <w:p>
      <w:pPr>
        <w:pStyle w:val="Heading2"/>
        <w:keepLines/>
        <w:numPr>
          <w:ilvl w:val="1"/>
          <w:numId w:val="5"/>
        </w:numPr>
        <w:spacing w:before="120" w:after="120"/>
        <w:ind w:hanging="491" w:start="851" w:end="0"/>
        <w:jc w:val="both"/>
        <w:rPr>
          <w:rFonts w:ascii="Times New Roman" w:hAnsi="Times New Roman" w:cs="Times New Roman"/>
          <w:i w:val="false"/>
          <w:i w:val="false"/>
          <w:iCs w:val="false"/>
          <w:lang w:val="fr-CI"/>
        </w:rPr>
      </w:pPr>
      <w:bookmarkStart w:id="15" w:name="__RefHeading___Toc234831714"/>
      <w:r>
        <w:rPr>
          <w:rFonts w:cs="Times New Roman" w:ascii="Times New Roman" w:hAnsi="Times New Roman"/>
          <w:i w:val="false"/>
          <w:iCs w:val="false"/>
          <w:lang w:val="fr-CI"/>
        </w:rPr>
        <w:t>Hypothèses de base</w:t>
      </w:r>
      <w:bookmarkEnd w:id="15"/>
      <w:r>
        <w:rPr>
          <w:rFonts w:cs="Times New Roman" w:ascii="Times New Roman" w:hAnsi="Times New Roman"/>
          <w:i w:val="false"/>
          <w:iCs w:val="false"/>
          <w:lang w:val="fr-CI"/>
        </w:rPr>
        <w:t xml:space="preserve"> </w:t>
      </w:r>
    </w:p>
    <w:p>
      <w:pPr>
        <w:pStyle w:val="Heading3"/>
        <w:numPr>
          <w:ilvl w:val="2"/>
          <w:numId w:val="5"/>
        </w:numPr>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start"/>
        <w:tblInd w:w="60" w:type="dxa"/>
        <w:tblLayout w:type="fixed"/>
        <w:tblCellMar>
          <w:top w:w="0" w:type="dxa"/>
          <w:start w:w="70" w:type="dxa"/>
          <w:bottom w:w="0" w:type="dxa"/>
          <w:end w:w="70" w:type="dxa"/>
        </w:tblCellMar>
      </w:tblPr>
      <w:tblGrid>
        <w:gridCol w:w="3271"/>
        <w:gridCol w:w="1275"/>
        <w:gridCol w:w="1276"/>
        <w:gridCol w:w="1276"/>
        <w:gridCol w:w="1276"/>
        <w:gridCol w:w="1417"/>
      </w:tblGrid>
      <w:tr>
        <w:trPr>
          <w:trHeight w:val="360" w:hRule="atLeast"/>
        </w:trPr>
        <w:tc>
          <w:tcPr>
            <w:tcW w:w="3271"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5"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417"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5"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5"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7"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oignon</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6 820 000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6 956 400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7 095 528</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7 237 439</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7 382 187</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gombo</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2 182 400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2 226 048</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2 270 569</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2 315 980</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2 362 300</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concombre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1 534 500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1 565 190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1 596 494</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1 628 424</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1 660 992</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carotte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1 790 250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1 826 055</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1 862 576</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1 899 828</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1 937 824</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aubergine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3 069 000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3 130 380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3 192 988</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3 256 847</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3 321 984</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3 410 000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3 478 200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3 547 764</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3 618 719</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3 691 094</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petit mil</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511 600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521 832</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532 269</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542 914</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553 772</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maïs</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682 000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695 640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709 553</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723 744</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738 219</w:t>
            </w:r>
          </w:p>
        </w:tc>
      </w:tr>
      <w:tr>
        <w:trPr>
          <w:trHeight w:val="285" w:hRule="atLeast"/>
        </w:trPr>
        <w:tc>
          <w:tcPr>
            <w:tcW w:w="3271"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recettes </w:t>
            </w:r>
          </w:p>
        </w:tc>
        <w:tc>
          <w:tcPr>
            <w:tcW w:w="1275"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19 999 750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20 399 745</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20 807 740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21 223 895</w:t>
            </w:r>
          </w:p>
        </w:tc>
        <w:tc>
          <w:tcPr>
            <w:tcW w:w="1417"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21 648 373</w:t>
            </w:r>
          </w:p>
        </w:tc>
      </w:tr>
    </w:tbl>
    <w:p>
      <w:pPr>
        <w:pStyle w:val="Heading3"/>
        <w:numPr>
          <w:ilvl w:val="2"/>
          <w:numId w:val="5"/>
        </w:numPr>
        <w:spacing w:before="0" w:after="60"/>
        <w:rPr>
          <w:rFonts w:ascii="Times New Roman" w:hAnsi="Times New Roman" w:cs="Times New Roman"/>
          <w:sz w:val="24"/>
          <w:szCs w:val="24"/>
        </w:rPr>
      </w:pPr>
      <w:bookmarkStart w:id="17" w:name="__RefHeading___Toc234831716"/>
      <w:r>
        <w:rPr>
          <w:rFonts w:cs="Times New Roman" w:ascii="Times New Roman" w:hAnsi="Times New Roman"/>
          <w:sz w:val="24"/>
          <w:szCs w:val="24"/>
        </w:rPr>
        <w:t>Données prévisionnelles sur les achats</w:t>
      </w:r>
      <w:bookmarkEnd w:id="17"/>
      <w:r>
        <w:rPr>
          <w:rFonts w:cs="Times New Roman" w:ascii="Times New Roman" w:hAnsi="Times New Roman"/>
          <w:sz w:val="24"/>
          <w:szCs w:val="24"/>
        </w:rPr>
        <w:t xml:space="preserve"> </w:t>
      </w:r>
    </w:p>
    <w:p>
      <w:pPr>
        <w:pStyle w:val="Heading3"/>
        <w:tabs>
          <w:tab w:val="clear" w:pos="0"/>
        </w:tabs>
        <w:spacing w:before="0" w:after="60"/>
        <w:ind w:hanging="720" w:start="720" w:end="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autoSpaceDE w:val="false"/>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autoSpaceDE w:val="false"/>
        <w:jc w:val="both"/>
        <w:rPr>
          <w:b/>
          <w:bCs/>
          <w:iCs/>
          <w:sz w:val="22"/>
          <w:szCs w:val="22"/>
          <w:lang w:eastAsia="fr-CA"/>
        </w:rPr>
      </w:pPr>
      <w:r>
        <w:rPr>
          <w:b/>
          <w:bCs/>
          <w:iCs/>
          <w:sz w:val="22"/>
          <w:szCs w:val="22"/>
          <w:lang w:eastAsia="fr-CA"/>
        </w:rPr>
        <w:t>ACHAT DE MATIERES PREMIERES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Semences maraîchères (oignon, gombo, concombre, carotte, aubergine, pastèque)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1 500 000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Semences céréalières (petit mil, maïs)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NPK + Urée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100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2 500 000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 / compost</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750 000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Produits phytosanitaires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1 200 000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1 200 000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6 450 000</w:t>
            </w:r>
          </w:p>
        </w:tc>
      </w:tr>
    </w:tbl>
    <w:p>
      <w:pPr>
        <w:pStyle w:val="Normal"/>
        <w:autoSpaceDE w:val="false"/>
        <w:jc w:val="both"/>
        <w:rPr>
          <w:b/>
          <w:bCs/>
          <w:iCs/>
          <w:sz w:val="22"/>
          <w:szCs w:val="22"/>
          <w:lang w:eastAsia="fr-CA"/>
        </w:rPr>
      </w:pPr>
      <w:r>
        <w:rPr>
          <w:b/>
          <w:bCs/>
          <w:iCs/>
          <w:sz w:val="22"/>
          <w:szCs w:val="22"/>
          <w:lang w:eastAsia="fr-CA"/>
        </w:rPr>
        <w:t>AUTRES ACHATS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800 000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1 500 000</w:t>
            </w:r>
          </w:p>
        </w:tc>
      </w:tr>
    </w:tbl>
    <w:p>
      <w:pPr>
        <w:pStyle w:val="Heading3"/>
        <w:numPr>
          <w:ilvl w:val="2"/>
          <w:numId w:val="5"/>
        </w:numPr>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communication/publicité. Le montant est évalué à 800 000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start w:w="70" w:type="dxa"/>
          <w:bottom w:w="0" w:type="dxa"/>
          <w:end w:w="70" w:type="dxa"/>
        </w:tblCellMar>
      </w:tblPr>
      <w:tblGrid>
        <w:gridCol w:w="3547"/>
        <w:gridCol w:w="920"/>
        <w:gridCol w:w="1545"/>
        <w:gridCol w:w="1391"/>
        <w:gridCol w:w="1070"/>
        <w:gridCol w:w="1355"/>
      </w:tblGrid>
      <w:tr>
        <w:trPr>
          <w:trHeight w:val="573" w:hRule="atLeast"/>
        </w:trPr>
        <w:tc>
          <w:tcPr>
            <w:tcW w:w="3547" w:type="dxa"/>
            <w:tcBorders>
              <w:top w:val="single" w:sz="8" w:space="0" w:color="000000"/>
              <w:start w:val="single" w:sz="8" w:space="0" w:color="000000"/>
              <w:bottom w:val="single" w:sz="8" w:space="0" w:color="000000"/>
              <w:end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1"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7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end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50 000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600 000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Communications / publicité</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16 667</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200 000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Maintenance</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0</w:t>
            </w:r>
          </w:p>
        </w:tc>
      </w:tr>
      <w:tr>
        <w:trPr>
          <w:trHeight w:val="295" w:hRule="atLeast"/>
        </w:trPr>
        <w:tc>
          <w:tcPr>
            <w:tcW w:w="3547" w:type="dxa"/>
            <w:tcBorders>
              <w:top w:val="single" w:sz="4" w:space="0" w:color="000000"/>
              <w:start w:val="single" w:sz="4" w:space="0" w:color="000000"/>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545"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91"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07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55" w:type="dxa"/>
            <w:tcBorders>
              <w:bottom w:val="single" w:sz="8" w:space="0" w:color="000000"/>
              <w:end w:val="single" w:sz="4" w:space="0" w:color="000000"/>
            </w:tcBorders>
            <w:shd w:fill="ACB9CA" w:val="clear"/>
            <w:vAlign w:val="center"/>
          </w:tcPr>
          <w:p>
            <w:pPr>
              <w:pStyle w:val="Normal"/>
              <w:jc w:val="center"/>
              <w:rPr>
                <w:sz w:val="22"/>
                <w:szCs w:val="22"/>
                <w:lang w:eastAsia="fr-CA"/>
              </w:rPr>
            </w:pPr>
            <w:r>
              <w:rPr>
                <w:sz w:val="22"/>
                <w:szCs w:val="22"/>
                <w:lang w:eastAsia="fr-CA"/>
              </w:rPr>
              <w:t>800 000</w:t>
            </w:r>
          </w:p>
        </w:tc>
      </w:tr>
    </w:tbl>
    <w:p>
      <w:pPr>
        <w:pStyle w:val="Heading3"/>
        <w:numPr>
          <w:ilvl w:val="2"/>
          <w:numId w:val="5"/>
        </w:numPr>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Données aux amortissements</w:t>
      </w:r>
    </w:p>
    <w:p>
      <w:pPr>
        <w:pStyle w:val="Normal"/>
        <w:autoSpaceDE w:val="false"/>
        <w:spacing w:before="120" w:after="0"/>
        <w:jc w:val="both"/>
        <w:rPr>
          <w:iCs/>
          <w:sz w:val="22"/>
          <w:szCs w:val="22"/>
        </w:rPr>
      </w:pPr>
      <w:r>
        <w:rPr>
          <w:iCs/>
          <w:sz w:val="22"/>
          <w:szCs w:val="22"/>
        </w:rPr>
        <w:t>Les dotations aux amortissements sont calculées dans le tableau ci-dessous sur les trois prochaines années.</w:t>
      </w:r>
    </w:p>
    <w:tbl>
      <w:tblPr>
        <w:tblW w:w="9644" w:type="dxa"/>
        <w:jc w:val="start"/>
        <w:tblInd w:w="65" w:type="dxa"/>
        <w:tblLayout w:type="fixed"/>
        <w:tblCellMar>
          <w:top w:w="0" w:type="dxa"/>
          <w:start w:w="70" w:type="dxa"/>
          <w:bottom w:w="0" w:type="dxa"/>
          <w:end w:w="70" w:type="dxa"/>
        </w:tblCellMar>
      </w:tblPr>
      <w:tblGrid>
        <w:gridCol w:w="3266"/>
        <w:gridCol w:w="1134"/>
        <w:gridCol w:w="1134"/>
        <w:gridCol w:w="1275"/>
        <w:gridCol w:w="1418"/>
        <w:gridCol w:w="1417"/>
      </w:tblGrid>
      <w:tr>
        <w:trPr>
          <w:trHeight w:val="315" w:hRule="atLeast"/>
        </w:trPr>
        <w:tc>
          <w:tcPr>
            <w:tcW w:w="3266"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275"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8"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7"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3266"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275"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418"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417"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AN3</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d'établissement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100,00%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200 000</w:t>
            </w:r>
          </w:p>
        </w:tc>
        <w:tc>
          <w:tcPr>
            <w:tcW w:w="1418"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2.1 Constructions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Forage + pompe solaire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3 500 000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875 000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875 000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875 000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Bassin de rétention 100 m³</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1 000 000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250 000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250 000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250 000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Système goutte-à-goutte (5 ha)</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5 000 000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1 250 000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1 250 000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1 250 000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Clôture 5 ha (grillage)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3 000 000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750 000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750 000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750 000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Aménagement du terrain (labour, billons)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1 500 000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375 000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375 000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375 000</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2.3 Mobiliers et matériels</w:t>
            </w:r>
          </w:p>
        </w:tc>
        <w:tc>
          <w:tcPr>
            <w:tcW w:w="1134"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Pulvérisateurs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125 000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25 000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25 000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25 000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Brouettes + Houes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325 000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65 000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65 000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65 000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Dabas / Pelles (1 lot)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20 000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20 000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20 000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Caisses de récolte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30 000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30 000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Balances, petit matériel et séchoirs artisanaux</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800 000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160 000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160 000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160 000</w:t>
            </w:r>
          </w:p>
        </w:tc>
      </w:tr>
      <w:tr>
        <w:trPr>
          <w:trHeight w:val="285" w:hRule="atLeast"/>
        </w:trPr>
        <w:tc>
          <w:tcPr>
            <w:tcW w:w="3266"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134"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15 700 000</w:t>
            </w:r>
          </w:p>
        </w:tc>
        <w:tc>
          <w:tcPr>
            <w:tcW w:w="1134" w:type="dxa"/>
            <w:tcBorders>
              <w:bottom w:val="single" w:sz="4" w:space="0" w:color="000000"/>
              <w:end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275"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4 000 000</w:t>
            </w:r>
          </w:p>
        </w:tc>
        <w:tc>
          <w:tcPr>
            <w:tcW w:w="1418"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3 800 000</w:t>
            </w:r>
          </w:p>
        </w:tc>
        <w:tc>
          <w:tcPr>
            <w:tcW w:w="1417"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3 800 000</w:t>
            </w:r>
          </w:p>
        </w:tc>
      </w:tr>
      <w:tr>
        <w:trPr>
          <w:trHeight w:val="285" w:hRule="atLeast"/>
        </w:trPr>
        <w:tc>
          <w:tcPr>
            <w:tcW w:w="3266"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sz w:val="22"/>
                <w:szCs w:val="22"/>
              </w:rPr>
            </w:pPr>
            <w:r>
              <w:rPr>
                <w:sz w:val="22"/>
                <w:szCs w:val="22"/>
              </w:rPr>
            </w:r>
          </w:p>
        </w:tc>
        <w:tc>
          <w:tcPr>
            <w:tcW w:w="1275" w:type="dxa"/>
            <w:tcBorders/>
            <w:vAlign w:val="bottom"/>
          </w:tcPr>
          <w:p>
            <w:pPr>
              <w:pStyle w:val="Normal"/>
              <w:snapToGrid w:val="false"/>
              <w:jc w:val="end"/>
              <w:rPr>
                <w:sz w:val="22"/>
                <w:szCs w:val="22"/>
              </w:rPr>
            </w:pPr>
            <w:r>
              <w:rPr>
                <w:sz w:val="22"/>
                <w:szCs w:val="22"/>
              </w:rPr>
            </w:r>
          </w:p>
        </w:tc>
        <w:tc>
          <w:tcPr>
            <w:tcW w:w="1418" w:type="dxa"/>
            <w:tcBorders/>
            <w:vAlign w:val="bottom"/>
          </w:tcPr>
          <w:p>
            <w:pPr>
              <w:pStyle w:val="Normal"/>
              <w:snapToGrid w:val="false"/>
              <w:jc w:val="end"/>
              <w:rPr>
                <w:sz w:val="22"/>
                <w:szCs w:val="22"/>
              </w:rPr>
            </w:pPr>
            <w:r>
              <w:rPr>
                <w:sz w:val="22"/>
                <w:szCs w:val="22"/>
              </w:rPr>
            </w:r>
          </w:p>
        </w:tc>
        <w:tc>
          <w:tcPr>
            <w:tcW w:w="1417" w:type="dxa"/>
            <w:tcBorders/>
            <w:vAlign w:val="bottom"/>
          </w:tcPr>
          <w:p>
            <w:pPr>
              <w:pStyle w:val="Normal"/>
              <w:snapToGrid w:val="false"/>
              <w:jc w:val="end"/>
              <w:rPr>
                <w:sz w:val="22"/>
                <w:szCs w:val="22"/>
              </w:rPr>
            </w:pPr>
            <w:r>
              <w:rPr>
                <w:sz w:val="22"/>
                <w:szCs w:val="22"/>
              </w:rPr>
            </w:r>
          </w:p>
        </w:tc>
      </w:tr>
    </w:tbl>
    <w:p>
      <w:pPr>
        <w:pStyle w:val="Heading3"/>
        <w:numPr>
          <w:ilvl w:val="2"/>
          <w:numId w:val="5"/>
        </w:numPr>
        <w:spacing w:before="120" w:after="12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est sur 60 mois, dont 6 mois de différé.</w:t>
      </w:r>
    </w:p>
    <w:tbl>
      <w:tblPr>
        <w:tblW w:w="10070" w:type="dxa"/>
        <w:jc w:val="start"/>
        <w:tblInd w:w="65" w:type="dxa"/>
        <w:tblLayout w:type="fixed"/>
        <w:tblCellMar>
          <w:top w:w="0" w:type="dxa"/>
          <w:start w:w="70" w:type="dxa"/>
          <w:bottom w:w="0" w:type="dxa"/>
          <w:end w:w="70" w:type="dxa"/>
        </w:tblCellMar>
      </w:tblPr>
      <w:tblGrid>
        <w:gridCol w:w="998"/>
        <w:gridCol w:w="1417"/>
        <w:gridCol w:w="1134"/>
        <w:gridCol w:w="1134"/>
        <w:gridCol w:w="1134"/>
        <w:gridCol w:w="1701"/>
        <w:gridCol w:w="1276"/>
        <w:gridCol w:w="1276"/>
      </w:tblGrid>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13 440 000</w:t>
            </w:r>
          </w:p>
        </w:tc>
        <w:tc>
          <w:tcPr>
            <w:tcW w:w="1134" w:type="dxa"/>
            <w:tcBorders>
              <w:top w:val="single" w:sz="4" w:space="0" w:color="000000"/>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4"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 soit</w:t>
            </w:r>
          </w:p>
        </w:tc>
        <w:tc>
          <w:tcPr>
            <w:tcW w:w="1134" w:type="dxa"/>
            <w:tcBorders>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9%</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6</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60</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54</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8"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8"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TAF</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8"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15 232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15 232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15 232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15 232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15 232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15 232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15 232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353 721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13 191 111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87 941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14 950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102 891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351 780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12 942 222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86 281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14 668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100 949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349 838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12 693 333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84 622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14 386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99 008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347 897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12 444 444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82 963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14 104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97 067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345 956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12 195 556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81 304</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13 822</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95 125</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344 014</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11 946 667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79 644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13 540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93 184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342 073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11 697 778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77 985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13 257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91 243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340 132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11 448 889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76 326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12 975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89 301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338 190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11 200 000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74 667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12 693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87 360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336 249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10 951 111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73 007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12 411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85 419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334 308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10 702 222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71 348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12 129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83 477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332 366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10 453 333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69 689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11 847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81 536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330 425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10 204 444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68 030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11 565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79 595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328 484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9 955 556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66 370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11 283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77 653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326 542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9 706 667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64 711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11 001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75 712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324 601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9 457 778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63 052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10 719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73 771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322 660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9 208 889</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61 393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10 437</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71 829</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320 718</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8 960 000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59 733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10 155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69 888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318 777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8 711 111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58 074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9 873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67 947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316 836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8 462 222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56 415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9 591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66 005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314 894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8 213 333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54 756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9 308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64 064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312 953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7 964 444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53 096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9 026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62 123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311 012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7 715 556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51 437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8 744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60 181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309 070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7 466 667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49 778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8 462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58 240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307 129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7 217 778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48 119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8 180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56 299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305 188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6 968 889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46 459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7 898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54 357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303 246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6 720 000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44 800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7 616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52 416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301 305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6 471 111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43 141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7 334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50 475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299 364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6 222 222</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41 481</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7 052</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48 533</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297 422</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5 973 333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39 822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6 770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46 592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295 481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5 724 444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38 163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6 488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44 651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293 540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5 475 556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36 504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6 206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42 709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291 598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5 226 667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34 844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5 924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40 768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289 657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4 977 778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33 185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5 641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38 827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287 716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4 728 889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31 526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5 359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36 885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285 774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4 480 000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29 867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5 077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34 944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283 833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4 231 111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28 207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4 795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33 003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281 892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3 982 222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26 548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4 513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31 061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279 950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3 733 333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24 889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4 231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29 120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278 009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3 484 444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23 230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3 949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27 179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276 068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48</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3 235 556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21 570</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3 667</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25 237</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274 126</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2 986 667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19 911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3 385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23 296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272 185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2 737 778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18 252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3 103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21 355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270 244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2 488 889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16 593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2 821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19 413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268 302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2 240 000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14 933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2 539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17 472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266 361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1 991 111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13 274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2 257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15 531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264 420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1 742 222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11 615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1 975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13 589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262 478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1 493 333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9 956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1 692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11 648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260 537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1 244 444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8 296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1 410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9 707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258 596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995 556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6 637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1 128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7 765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256 654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746 667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4 978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846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5 824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254 713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497 778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3 319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3 883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252 772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60</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248 889</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1 659</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282</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1 941</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250 830</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3 511 872</w:t>
            </w:r>
          </w:p>
        </w:tc>
        <w:tc>
          <w:tcPr>
            <w:tcW w:w="1701"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13 440 000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16 951 872</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16 951 872</w:t>
            </w:r>
          </w:p>
        </w:tc>
      </w:tr>
    </w:tbl>
    <w:p>
      <w:pPr>
        <w:pStyle w:val="Heading2"/>
        <w:keepLines/>
        <w:numPr>
          <w:ilvl w:val="1"/>
          <w:numId w:val="5"/>
        </w:numPr>
        <w:spacing w:before="120" w:after="120"/>
        <w:ind w:hanging="491" w:start="851" w:end="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19 200 000 </w:t>
      </w:r>
      <w:r>
        <w:rPr>
          <w:iCs/>
          <w:sz w:val="22"/>
          <w:szCs w:val="22"/>
        </w:rPr>
        <w:t xml:space="preserve">FCFA. Ce montant est composé par : les frais d’investissement </w:t>
      </w:r>
      <w:r>
        <w:rPr>
          <w:b/>
          <w:bCs/>
          <w:iCs/>
          <w:sz w:val="22"/>
          <w:szCs w:val="22"/>
          <w:lang w:eastAsia="fr-CA"/>
        </w:rPr>
        <w:t xml:space="preserve">15 500 000 </w:t>
      </w:r>
      <w:r>
        <w:rPr>
          <w:iCs/>
          <w:sz w:val="22"/>
          <w:szCs w:val="22"/>
        </w:rPr>
        <w:t xml:space="preserve">FCFA (80,7%) , le besoin en fonds de roulement </w:t>
      </w:r>
      <w:r>
        <w:rPr>
          <w:b/>
          <w:bCs/>
          <w:iCs/>
          <w:sz w:val="22"/>
          <w:szCs w:val="22"/>
          <w:lang w:eastAsia="fr-CA"/>
        </w:rPr>
        <w:t xml:space="preserve">3 500 000 </w:t>
      </w:r>
      <w:r>
        <w:rPr>
          <w:iCs/>
          <w:sz w:val="22"/>
          <w:szCs w:val="22"/>
        </w:rPr>
        <w:t xml:space="preserve"> FCFA (18,2%) et les frais d’établissement 200 000 FCFA (1,0%).</w:t>
      </w:r>
    </w:p>
    <w:tbl>
      <w:tblPr>
        <w:tblW w:w="9600" w:type="dxa"/>
        <w:jc w:val="start"/>
        <w:tblInd w:w="65" w:type="dxa"/>
        <w:tblLayout w:type="fixed"/>
        <w:tblCellMar>
          <w:top w:w="0" w:type="dxa"/>
          <w:start w:w="70" w:type="dxa"/>
          <w:bottom w:w="0" w:type="dxa"/>
          <w:end w:w="70" w:type="dxa"/>
        </w:tblCellMar>
      </w:tblPr>
      <w:tblGrid>
        <w:gridCol w:w="5940"/>
        <w:gridCol w:w="1290"/>
        <w:gridCol w:w="1550"/>
        <w:gridCol w:w="820"/>
      </w:tblGrid>
      <w:tr>
        <w:trPr>
          <w:trHeight w:val="405" w:hRule="atLeast"/>
        </w:trPr>
        <w:tc>
          <w:tcPr>
            <w:tcW w:w="5940" w:type="dxa"/>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20" w:type="dxa"/>
            <w:tcBorders>
              <w:top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start w:val="single" w:sz="4" w:space="0" w:color="000000"/>
            </w:tcBorders>
            <w:vAlign w:val="bottom"/>
          </w:tcPr>
          <w:p>
            <w:pPr>
              <w:pStyle w:val="Normal"/>
              <w:rPr>
                <w:color w:val="000000"/>
                <w:sz w:val="22"/>
                <w:szCs w:val="22"/>
              </w:rPr>
            </w:pPr>
            <w:r>
              <w:rPr>
                <w:color w:val="000000"/>
                <w:sz w:val="22"/>
                <w:szCs w:val="22"/>
              </w:rPr>
              <w:t> </w:t>
            </w:r>
          </w:p>
        </w:tc>
        <w:tc>
          <w:tcPr>
            <w:tcW w:w="1290" w:type="dxa"/>
            <w:tcBorders/>
            <w:vAlign w:val="center"/>
          </w:tcPr>
          <w:p>
            <w:pPr>
              <w:pStyle w:val="Normal"/>
              <w:snapToGrid w:val="false"/>
              <w:jc w:val="center"/>
              <w:rPr>
                <w:color w:val="000000"/>
                <w:sz w:val="22"/>
                <w:szCs w:val="22"/>
              </w:rPr>
            </w:pPr>
            <w:r>
              <w:rPr>
                <w:color w:val="000000"/>
                <w:sz w:val="22"/>
                <w:szCs w:val="22"/>
              </w:rPr>
            </w:r>
          </w:p>
        </w:tc>
        <w:tc>
          <w:tcPr>
            <w:tcW w:w="1550" w:type="dxa"/>
            <w:tcBorders/>
            <w:vAlign w:val="center"/>
          </w:tcPr>
          <w:p>
            <w:pPr>
              <w:pStyle w:val="Normal"/>
              <w:snapToGrid w:val="false"/>
              <w:jc w:val="center"/>
              <w:rPr>
                <w:color w:val="000000"/>
                <w:sz w:val="22"/>
                <w:szCs w:val="22"/>
              </w:rPr>
            </w:pPr>
            <w:r>
              <w:rPr>
                <w:color w:val="000000"/>
                <w:sz w:val="22"/>
                <w:szCs w:val="22"/>
              </w:rPr>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9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200 000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1,0%</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de constitution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15 500 000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80,7%</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14 000 000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Forage + pompe solaire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3 500 000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pPr>
            <w:r>
              <w:rPr>
                <w:color w:val="000000"/>
                <w:sz w:val="22"/>
                <w:szCs w:val="22"/>
              </w:rPr>
              <w:t>Bassin de rétention 100 m³</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1 000 000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Système goutte-à-goutte (5 ha)</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5 000 000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Clôture 5 ha (grillage)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3 000 000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Aménagement du terrain (labour, billons)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1 500 000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1 500 000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Pulvérisateurs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125 000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Brouettes + Houes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325 000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Dabas / Pelles (1 lot)</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Caisses de récolte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Balances, petit matériel et séchoirs artisanaux</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800 000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3 500 000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18,2%</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Achats de matières premières (3 mois)</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1 987 500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Sécurité de caisse</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1 512 500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447" w:hRule="atLeast"/>
        </w:trPr>
        <w:tc>
          <w:tcPr>
            <w:tcW w:w="7230" w:type="dxa"/>
            <w:gridSpan w:val="2"/>
            <w:tcBorders>
              <w:top w:val="single" w:sz="4" w:space="0" w:color="000000"/>
              <w:start w:val="single" w:sz="4" w:space="0" w:color="000000"/>
              <w:bottom w:val="single" w:sz="4" w:space="0" w:color="000000"/>
              <w:end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0" w:type="dxa"/>
            <w:tcBorders>
              <w:bottom w:val="single" w:sz="4" w:space="0" w:color="000000"/>
              <w:end w:val="single" w:sz="4" w:space="0" w:color="000000"/>
            </w:tcBorders>
            <w:shd w:fill="CCFFFF" w:val="clear"/>
            <w:vAlign w:val="center"/>
          </w:tcPr>
          <w:p>
            <w:pPr>
              <w:pStyle w:val="Normal"/>
              <w:jc w:val="end"/>
              <w:rPr>
                <w:b/>
                <w:bCs/>
                <w:color w:val="000000"/>
                <w:sz w:val="22"/>
                <w:szCs w:val="22"/>
              </w:rPr>
            </w:pPr>
            <w:r>
              <w:rPr>
                <w:b/>
                <w:bCs/>
                <w:color w:val="000000"/>
                <w:sz w:val="22"/>
                <w:szCs w:val="22"/>
              </w:rPr>
              <w:t>19 200 000</w:t>
            </w:r>
          </w:p>
        </w:tc>
        <w:tc>
          <w:tcPr>
            <w:tcW w:w="820" w:type="dxa"/>
            <w:tcBorders>
              <w:bottom w:val="single" w:sz="4" w:space="0" w:color="000000"/>
              <w:end w:val="single" w:sz="4" w:space="0" w:color="000000"/>
            </w:tcBorders>
            <w:shd w:fill="CCFFFF" w:val="clear"/>
            <w:vAlign w:val="center"/>
          </w:tcPr>
          <w:p>
            <w:pPr>
              <w:pStyle w:val="Normal"/>
              <w:rPr>
                <w:b/>
                <w:bCs/>
                <w:color w:val="000000"/>
                <w:sz w:val="22"/>
                <w:szCs w:val="22"/>
              </w:rPr>
            </w:pPr>
            <w:r>
              <w:rPr>
                <w:b/>
                <w:bCs/>
                <w:color w:val="000000"/>
                <w:sz w:val="22"/>
                <w:szCs w:val="22"/>
              </w:rPr>
              <w:t> </w:t>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5"/>
        </w:numPr>
        <w:spacing w:before="120" w:after="120"/>
        <w:ind w:hanging="491" w:start="851" w:end="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19 200 000</w:t>
      </w:r>
      <w:r>
        <w:rPr>
          <w:iCs/>
          <w:sz w:val="22"/>
          <w:szCs w:val="22"/>
        </w:rPr>
        <w:t xml:space="preserve"> FCFA, le promoteur s’engage à contribuer à hauteur de 10% de ce montant, soit </w:t>
      </w:r>
      <w:r>
        <w:rPr>
          <w:rFonts w:cs="Calibri" w:ascii="Cambria" w:hAnsi="Cambria"/>
          <w:b/>
          <w:iCs/>
          <w:color w:val="000000"/>
          <w:sz w:val="22"/>
          <w:szCs w:val="22"/>
        </w:rPr>
        <w:t>1 920 000</w:t>
      </w:r>
      <w:r>
        <w:rPr>
          <w:rFonts w:cs="Calibri" w:ascii="Cambria" w:hAnsi="Cambria"/>
          <w:iCs/>
          <w:color w:val="000000"/>
          <w:sz w:val="22"/>
          <w:szCs w:val="22"/>
        </w:rPr>
        <w:t xml:space="preserve"> </w:t>
      </w:r>
      <w:r>
        <w:rPr>
          <w:iCs/>
          <w:sz w:val="22"/>
          <w:szCs w:val="22"/>
        </w:rPr>
        <w:t>FCFA ; la subvention « Projet Vert » (20 %) couvre 3 840 000 FCFA et le crédit sollicité (70 %) s’élève à 13 440 000 FCFA, remboursable sur 60 mois dont 6 mois de différé.</w:t>
      </w:r>
    </w:p>
    <w:tbl>
      <w:tblPr>
        <w:tblW w:w="8580" w:type="dxa"/>
        <w:jc w:val="start"/>
        <w:tblInd w:w="65" w:type="dxa"/>
        <w:tblLayout w:type="fixed"/>
        <w:tblCellMar>
          <w:top w:w="0" w:type="dxa"/>
          <w:start w:w="70" w:type="dxa"/>
          <w:bottom w:w="0" w:type="dxa"/>
          <w:end w:w="70" w:type="dxa"/>
        </w:tblCellMar>
      </w:tblPr>
      <w:tblGrid>
        <w:gridCol w:w="5860"/>
        <w:gridCol w:w="1200"/>
        <w:gridCol w:w="1520"/>
      </w:tblGrid>
      <w:tr>
        <w:trPr>
          <w:trHeight w:val="420" w:hRule="atLeast"/>
        </w:trPr>
        <w:tc>
          <w:tcPr>
            <w:tcW w:w="5860"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xml:space="preserve">PLAN DE FINANCEMENT </w:t>
            </w:r>
          </w:p>
        </w:tc>
        <w:tc>
          <w:tcPr>
            <w:tcW w:w="1200" w:type="dxa"/>
            <w:tcBorders>
              <w:top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520" w:type="dxa"/>
            <w:tcBorders>
              <w:top w:val="single" w:sz="4"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60" w:hRule="atLeast"/>
        </w:trPr>
        <w:tc>
          <w:tcPr>
            <w:tcW w:w="5860"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200" w:type="dxa"/>
            <w:tcBorders>
              <w:top w:val="single" w:sz="8"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100%</w:t>
            </w:r>
          </w:p>
        </w:tc>
        <w:tc>
          <w:tcPr>
            <w:tcW w:w="1520" w:type="dxa"/>
            <w:tcBorders>
              <w:top w:val="single" w:sz="8"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19 200 000</w:t>
            </w:r>
          </w:p>
        </w:tc>
      </w:tr>
      <w:tr>
        <w:trPr>
          <w:trHeight w:val="360" w:hRule="atLeast"/>
        </w:trPr>
        <w:tc>
          <w:tcPr>
            <w:tcW w:w="5860" w:type="dxa"/>
            <w:tcBorders>
              <w:top w:val="single" w:sz="4"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200"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 </w:t>
            </w:r>
          </w:p>
        </w:tc>
        <w:tc>
          <w:tcPr>
            <w:tcW w:w="1520" w:type="dxa"/>
            <w:tcBorders>
              <w:top w:val="single" w:sz="4"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1 920 000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en numéraire</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1 920 000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20%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3 840 000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création emploi »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innovants»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3 840 000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70%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13 440 000</w:t>
            </w:r>
          </w:p>
        </w:tc>
      </w:tr>
      <w:tr>
        <w:trPr>
          <w:trHeight w:val="300" w:hRule="atLeast"/>
        </w:trPr>
        <w:tc>
          <w:tcPr>
            <w:tcW w:w="5860" w:type="dxa"/>
            <w:tcBorders>
              <w:start w:val="single" w:sz="8" w:space="0" w:color="000000"/>
              <w:bottom w:val="single" w:sz="8" w:space="0" w:color="000000"/>
              <w:end w:val="single" w:sz="4" w:space="0" w:color="000000"/>
            </w:tcBorders>
            <w:vAlign w:val="bottom"/>
          </w:tcPr>
          <w:p>
            <w:pPr>
              <w:pStyle w:val="Normal"/>
              <w:rPr>
                <w:color w:val="000000"/>
                <w:sz w:val="22"/>
                <w:szCs w:val="22"/>
              </w:rPr>
            </w:pPr>
            <w:r>
              <w:rPr>
                <w:color w:val="000000"/>
                <w:sz w:val="22"/>
                <w:szCs w:val="22"/>
              </w:rPr>
              <w:t xml:space="preserve">Financement </w:t>
            </w:r>
          </w:p>
        </w:tc>
        <w:tc>
          <w:tcPr>
            <w:tcW w:w="1200" w:type="dxa"/>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70%</w:t>
            </w:r>
          </w:p>
        </w:tc>
        <w:tc>
          <w:tcPr>
            <w:tcW w:w="1520" w:type="dxa"/>
            <w:tcBorders>
              <w:bottom w:val="single" w:sz="8" w:space="0" w:color="000000"/>
              <w:end w:val="single" w:sz="8" w:space="0" w:color="000000"/>
            </w:tcBorders>
            <w:shd w:fill="E2EFD9" w:val="clear"/>
            <w:vAlign w:val="center"/>
          </w:tcPr>
          <w:p>
            <w:pPr>
              <w:pStyle w:val="Normal"/>
              <w:jc w:val="center"/>
              <w:rPr>
                <w:b/>
                <w:bCs/>
                <w:color w:val="000000"/>
                <w:sz w:val="22"/>
                <w:szCs w:val="22"/>
              </w:rPr>
            </w:pPr>
            <w:r>
              <w:rPr>
                <w:b/>
                <w:bCs/>
                <w:color w:val="000000"/>
                <w:sz w:val="22"/>
                <w:szCs w:val="22"/>
              </w:rPr>
              <w:t>13 440 000</w:t>
            </w:r>
          </w:p>
        </w:tc>
      </w:tr>
      <w:tr>
        <w:trPr>
          <w:trHeight w:val="285" w:hRule="atLeast"/>
        </w:trPr>
        <w:tc>
          <w:tcPr>
            <w:tcW w:w="5860" w:type="dxa"/>
            <w:tcBorders>
              <w:start w:val="single" w:sz="8" w:space="0" w:color="000000"/>
              <w:bottom w:val="single" w:sz="4" w:space="0" w:color="000000"/>
              <w:end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200" w:type="dxa"/>
            <w:tcBorders>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 </w:t>
            </w:r>
          </w:p>
        </w:tc>
        <w:tc>
          <w:tcPr>
            <w:tcW w:w="1520" w:type="dxa"/>
            <w:tcBorders>
              <w:bottom w:val="single" w:sz="4" w:space="0" w:color="000000"/>
              <w:end w:val="single" w:sz="8" w:space="0" w:color="000000"/>
            </w:tcBorders>
            <w:shd w:fill="D63431" w:val="clear"/>
            <w:vAlign w:val="bottom"/>
          </w:tcPr>
          <w:p>
            <w:pPr>
              <w:pStyle w:val="Normal"/>
              <w:rPr>
                <w:b/>
                <w:bCs/>
                <w:i/>
                <w:i/>
                <w:iCs/>
                <w:color w:val="FFFFFF"/>
                <w:sz w:val="22"/>
                <w:szCs w:val="22"/>
              </w:rPr>
            </w:pPr>
            <w:r>
              <w:rPr>
                <w:b/>
                <w:bCs/>
                <w:i/>
                <w:iCs/>
                <w:color w:val="FFFFFF"/>
                <w:sz w:val="22"/>
                <w:szCs w:val="22"/>
              </w:rPr>
              <w:t> </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60</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60</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300" w:hRule="atLeast"/>
        </w:trPr>
        <w:tc>
          <w:tcPr>
            <w:tcW w:w="5860" w:type="dxa"/>
            <w:tcBorders>
              <w:start w:val="single" w:sz="8" w:space="0" w:color="000000"/>
              <w:bottom w:val="single" w:sz="8" w:space="0" w:color="000000"/>
              <w:end w:val="single" w:sz="4" w:space="0" w:color="000000"/>
            </w:tcBorders>
            <w:shd w:fill="FFFFFF" w:val="clear"/>
            <w:vAlign w:val="center"/>
          </w:tcPr>
          <w:p>
            <w:pPr>
              <w:pStyle w:val="Normal"/>
              <w:rPr>
                <w:color w:val="000000"/>
                <w:sz w:val="22"/>
                <w:szCs w:val="22"/>
              </w:rPr>
            </w:pPr>
            <w:r>
              <w:rPr>
                <w:color w:val="000000"/>
                <w:sz w:val="22"/>
                <w:szCs w:val="22"/>
              </w:rPr>
              <w:t>TAF</w:t>
            </w:r>
          </w:p>
        </w:tc>
        <w:tc>
          <w:tcPr>
            <w:tcW w:w="1200" w:type="dxa"/>
            <w:tcBorders>
              <w:bottom w:val="single" w:sz="8"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0" w:type="dxa"/>
            <w:tcBorders>
              <w:bottom w:val="single" w:sz="8"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bl>
    <w:p>
      <w:pPr>
        <w:jc w:val="center"/>
      </w:pPr>
      <w:r>
        <w:drawing>
          <wp:inline xmlns:a="http://schemas.openxmlformats.org/drawingml/2006/main" xmlns:pic="http://schemas.openxmlformats.org/drawingml/2006/picture">
            <wp:extent cx="5400000" cy="2005714"/>
            <wp:docPr id="3" name="Picture 3"/>
            <wp:cNvGraphicFramePr>
              <a:graphicFrameLocks noChangeAspect="1"/>
            </wp:cNvGraphicFramePr>
            <a:graphic>
              <a:graphicData uri="http://schemas.openxmlformats.org/drawingml/2006/picture">
                <pic:pic>
                  <pic:nvPicPr>
                    <pic:cNvPr id="0" name="emplois_ressources.png"/>
                    <pic:cNvPicPr/>
                  </pic:nvPicPr>
                  <pic:blipFill>
                    <a:blip r:embed="rId10"/>
                    <a:stretch>
                      <a:fillRect/>
                    </a:stretch>
                  </pic:blipFill>
                  <pic:spPr>
                    <a:xfrm>
                      <a:off x="0" y="0"/>
                      <a:ext cx="5400000" cy="2005714"/>
                    </a:xfrm>
                    <a:prstGeom prst="rect"/>
                  </pic:spPr>
                </pic:pic>
              </a:graphicData>
            </a:graphic>
          </wp:inline>
        </w:drawing>
      </w:r>
    </w:p>
    <w:p>
      <w:pPr>
        <w:jc w:val="center"/>
      </w:pPr>
      <w:r>
        <w:rPr>
          <w:i/>
          <w:sz w:val="18"/>
        </w:rPr>
        <w:t>Graphique 1 – Emplois et ressources du projet (millions de F CFA)</w:t>
      </w:r>
    </w:p>
    <w:p>
      <w:pPr>
        <w:pStyle w:val="Heading2"/>
        <w:keepLines/>
        <w:numPr>
          <w:ilvl w:val="1"/>
          <w:numId w:val="5"/>
        </w:numPr>
        <w:spacing w:before="120" w:after="120"/>
        <w:ind w:hanging="491" w:start="851" w:end="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start"/>
        <w:tblInd w:w="65" w:type="dxa"/>
        <w:tblLayout w:type="fixed"/>
        <w:tblCellMar>
          <w:top w:w="0" w:type="dxa"/>
          <w:start w:w="70" w:type="dxa"/>
          <w:bottom w:w="0" w:type="dxa"/>
          <w:end w:w="70" w:type="dxa"/>
        </w:tblCellMar>
      </w:tblPr>
      <w:tblGrid>
        <w:gridCol w:w="3124"/>
        <w:gridCol w:w="1276"/>
        <w:gridCol w:w="1417"/>
        <w:gridCol w:w="1418"/>
        <w:gridCol w:w="1417"/>
        <w:gridCol w:w="284"/>
        <w:gridCol w:w="992"/>
      </w:tblGrid>
      <w:tr>
        <w:trPr>
          <w:trHeight w:val="405" w:hRule="atLeast"/>
        </w:trPr>
        <w:tc>
          <w:tcPr>
            <w:tcW w:w="7235" w:type="dxa"/>
            <w:gridSpan w:val="4"/>
            <w:tcBorders>
              <w:top w:val="single" w:sz="4" w:space="0" w:color="000000"/>
              <w:star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1"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2"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6" w:type="dxa"/>
            <w:gridSpan w:val="2"/>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19 999 750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20 399 745</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20 807 740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21 223 895</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21 648 373</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Achats de matières premières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7 950 000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8 427 000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9 101 160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9 829 253</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10 615 593</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3 150 000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3 307 500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3 307 500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3 307 500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3 307 500</w:t>
            </w:r>
          </w:p>
        </w:tc>
      </w:tr>
      <w:tr>
        <w:trPr>
          <w:trHeight w:val="570"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800 000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840 000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840 000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840 000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840 000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1 228 864</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990 080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710 528</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430 976</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151 424</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end w:val="single" w:sz="4" w:space="0" w:color="000000"/>
            </w:tcBorders>
            <w:vAlign w:val="bottom"/>
          </w:tcPr>
          <w:p>
            <w:pPr>
              <w:pStyle w:val="Normal"/>
              <w:jc w:val="center"/>
              <w:rPr>
                <w:sz w:val="22"/>
                <w:szCs w:val="22"/>
              </w:rPr>
            </w:pPr>
            <w:r>
              <w:rPr>
                <w:sz w:val="22"/>
                <w:szCs w:val="22"/>
              </w:rPr>
              <w:t>4 000 000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3 800 000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3 800 000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3 800 000</w:t>
            </w:r>
          </w:p>
        </w:tc>
        <w:tc>
          <w:tcPr>
            <w:tcW w:w="1276" w:type="dxa"/>
            <w:gridSpan w:val="2"/>
            <w:tcBorders>
              <w:bottom w:val="single" w:sz="4" w:space="0" w:color="000000"/>
              <w:end w:val="single" w:sz="4" w:space="0" w:color="000000"/>
            </w:tcBorders>
            <w:vAlign w:val="bottom"/>
          </w:tcPr>
          <w:p>
            <w:pPr>
              <w:pStyle w:val="Normal"/>
              <w:jc w:val="center"/>
              <w:rPr>
                <w:sz w:val="22"/>
                <w:szCs w:val="22"/>
              </w:rPr>
            </w:pPr>
            <w:r>
              <w:rPr>
                <w:sz w:val="22"/>
                <w:szCs w:val="22"/>
              </w:rPr>
              <w:t>3 800 000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17 128 864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17 364 580</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17 759 188</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18 207 729</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18 714 517</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2 870 886</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3 035 165</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3 048 552</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3 016 166</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2 933 856</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283 500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297 675</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297 675</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297 675</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297 675</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2 587 386</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2 737 490</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2 750 877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2 718 491</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2 636 181</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6 587 386</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6 537 490</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6 550 877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6 518 491</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6 436 181</w:t>
            </w:r>
          </w:p>
        </w:tc>
      </w:tr>
      <w:tr>
        <w:trPr>
          <w:trHeight w:val="360" w:hRule="atLeast"/>
        </w:trPr>
        <w:tc>
          <w:tcPr>
            <w:tcW w:w="3124" w:type="dxa"/>
            <w:tcBorders>
              <w:start w:val="single" w:sz="4" w:space="0" w:color="000000"/>
              <w:bottom w:val="single" w:sz="4" w:space="0" w:color="000000"/>
              <w:end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6 587 386</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13 124 876</w:t>
            </w:r>
          </w:p>
        </w:tc>
        <w:tc>
          <w:tcPr>
            <w:tcW w:w="1418"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19 675 753</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26 194 244</w:t>
            </w:r>
          </w:p>
        </w:tc>
        <w:tc>
          <w:tcPr>
            <w:tcW w:w="1276" w:type="dxa"/>
            <w:gridSpan w:val="2"/>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32 630 424</w:t>
            </w:r>
          </w:p>
        </w:tc>
      </w:tr>
    </w:tbl>
    <w:p>
      <w:pPr>
        <w:jc w:val="center"/>
      </w:pPr>
      <w:r>
        <w:drawing>
          <wp:inline xmlns:a="http://schemas.openxmlformats.org/drawingml/2006/main" xmlns:pic="http://schemas.openxmlformats.org/drawingml/2006/picture">
            <wp:extent cx="5400000" cy="2622857"/>
            <wp:docPr id="4" name="Picture 4"/>
            <wp:cNvGraphicFramePr>
              <a:graphicFrameLocks noChangeAspect="1"/>
            </wp:cNvGraphicFramePr>
            <a:graphic>
              <a:graphicData uri="http://schemas.openxmlformats.org/drawingml/2006/picture">
                <pic:pic>
                  <pic:nvPicPr>
                    <pic:cNvPr id="0" name="ca_rn.png"/>
                    <pic:cNvPicPr/>
                  </pic:nvPicPr>
                  <pic:blipFill>
                    <a:blip r:embed="rId11"/>
                    <a:stretch>
                      <a:fillRect/>
                    </a:stretch>
                  </pic:blipFill>
                  <pic:spPr>
                    <a:xfrm>
                      <a:off x="0" y="0"/>
                      <a:ext cx="5400000" cy="2622857"/>
                    </a:xfrm>
                    <a:prstGeom prst="rect"/>
                  </pic:spPr>
                </pic:pic>
              </a:graphicData>
            </a:graphic>
          </wp:inline>
        </w:drawing>
      </w:r>
    </w:p>
    <w:p>
      <w:pPr>
        <w:jc w:val="cente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5"/>
        </w:numPr>
        <w:spacing w:before="120" w:after="120"/>
        <w:ind w:hanging="491" w:start="851" w:end="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Plan de trésorerie</w:t>
      </w:r>
    </w:p>
    <w:tbl>
      <w:tblPr>
        <w:tblW w:w="10070" w:type="dxa"/>
        <w:jc w:val="start"/>
        <w:tblInd w:w="65" w:type="dxa"/>
        <w:tblLayout w:type="fixed"/>
        <w:tblCellMar>
          <w:top w:w="0" w:type="dxa"/>
          <w:start w:w="70" w:type="dxa"/>
          <w:bottom w:w="0" w:type="dxa"/>
          <w:end w:w="70" w:type="dxa"/>
        </w:tblCellMar>
      </w:tblPr>
      <w:tblGrid>
        <w:gridCol w:w="2557"/>
        <w:gridCol w:w="1276"/>
        <w:gridCol w:w="1134"/>
        <w:gridCol w:w="1134"/>
        <w:gridCol w:w="1275"/>
        <w:gridCol w:w="142"/>
        <w:gridCol w:w="1276"/>
        <w:gridCol w:w="1276"/>
      </w:tblGrid>
      <w:tr>
        <w:trPr>
          <w:trHeight w:val="405" w:hRule="atLeast"/>
        </w:trPr>
        <w:tc>
          <w:tcPr>
            <w:tcW w:w="3833" w:type="dxa"/>
            <w:gridSpan w:val="2"/>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276" w:type="dxa"/>
            <w:tcBorders>
              <w:top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c>
          <w:tcPr>
            <w:tcW w:w="1276"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r>
      <w:tr>
        <w:trPr>
          <w:trHeight w:val="375" w:hRule="atLeast"/>
        </w:trPr>
        <w:tc>
          <w:tcPr>
            <w:tcW w:w="2557"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1 920 000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Crédit </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13 440 000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Subvention (Projet Vert / Verdissement)</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3 840 000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4 000 000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3 800 000</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3 800 000</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3 800 000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3 800 000</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2 587 386</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2 737 490</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2 750 877</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2 718 491</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2 636 181</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19 200 000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6 587 386</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6 537 490</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6 550 877</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6 518 491</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6 436 181</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15 500 000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3 500 000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1 493 333</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2 986 667</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2 986 667</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2 986 667</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2 986 667</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19 200 000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1 493 333</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2 986 667</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2 986 667</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2 986 667</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2 986 667</w:t>
            </w:r>
          </w:p>
        </w:tc>
      </w:tr>
      <w:tr>
        <w:trPr>
          <w:trHeight w:val="300" w:hRule="atLeast"/>
        </w:trPr>
        <w:tc>
          <w:tcPr>
            <w:tcW w:w="2557"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5 094 053</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3 550 823</w:t>
            </w:r>
          </w:p>
        </w:tc>
        <w:tc>
          <w:tcPr>
            <w:tcW w:w="1275"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3 564 210</w:t>
            </w:r>
          </w:p>
        </w:tc>
        <w:tc>
          <w:tcPr>
            <w:tcW w:w="1418" w:type="dxa"/>
            <w:gridSpan w:val="2"/>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3 531 824</w:t>
            </w:r>
          </w:p>
        </w:tc>
        <w:tc>
          <w:tcPr>
            <w:tcW w:w="1276"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i/>
                <w:color w:val="FFFFFF"/>
                <w:sz w:val="22"/>
              </w:rPr>
              <w:t>3 449 514</w:t>
            </w:r>
          </w:p>
        </w:tc>
      </w:tr>
      <w:tr>
        <w:trPr>
          <w:trHeight w:val="315" w:hRule="atLeast"/>
        </w:trPr>
        <w:tc>
          <w:tcPr>
            <w:tcW w:w="2557"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5 094 053</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8 644 876</w:t>
            </w:r>
          </w:p>
        </w:tc>
        <w:tc>
          <w:tcPr>
            <w:tcW w:w="1275"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12 209 086</w:t>
            </w:r>
          </w:p>
        </w:tc>
        <w:tc>
          <w:tcPr>
            <w:tcW w:w="1418" w:type="dxa"/>
            <w:gridSpan w:val="2"/>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15 740 910</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19 190 424</w:t>
            </w:r>
          </w:p>
        </w:tc>
      </w:tr>
    </w:tbl>
    <w:p>
      <w:pPr>
        <w:jc w:val="center"/>
      </w:pPr>
      <w:r>
        <w:drawing>
          <wp:inline xmlns:a="http://schemas.openxmlformats.org/drawingml/2006/main" xmlns:pic="http://schemas.openxmlformats.org/drawingml/2006/picture">
            <wp:extent cx="5400000" cy="2468571"/>
            <wp:docPr id="5" name="Picture 5"/>
            <wp:cNvGraphicFramePr>
              <a:graphicFrameLocks noChangeAspect="1"/>
            </wp:cNvGraphicFramePr>
            <a:graphic>
              <a:graphicData uri="http://schemas.openxmlformats.org/drawingml/2006/picture">
                <pic:pic>
                  <pic:nvPicPr>
                    <pic:cNvPr id="0" name="tresorerie.png"/>
                    <pic:cNvPicPr/>
                  </pic:nvPicPr>
                  <pic:blipFill>
                    <a:blip r:embed="rId12"/>
                    <a:stretch>
                      <a:fillRect/>
                    </a:stretch>
                  </pic:blipFill>
                  <pic:spPr>
                    <a:xfrm>
                      <a:off x="0" y="0"/>
                      <a:ext cx="5400000" cy="2468571"/>
                    </a:xfrm>
                    <a:prstGeom prst="rect"/>
                  </pic:spPr>
                </pic:pic>
              </a:graphicData>
            </a:graphic>
          </wp:inline>
        </w:drawing>
      </w:r>
    </w:p>
    <w:p>
      <w:pPr>
        <w:jc w:val="center"/>
      </w:pPr>
      <w:r>
        <w:rPr>
          <w:i/>
          <w:sz w:val="18"/>
        </w:rPr>
        <w:t>Graphique 3 – Trésorerie cumulée sur 5 ans (millions de F CFA)</w:t>
      </w:r>
    </w:p>
    <w:p>
      <w:pPr>
        <w:pStyle w:val="Normal"/>
        <w:rPr>
          <w:lang w:val="fr-CI"/>
        </w:rPr>
      </w:pPr>
      <w:r>
        <w:rPr>
          <w:lang w:val="fr-CI"/>
        </w:rPr>
      </w:r>
    </w:p>
    <w:p>
      <w:pPr>
        <w:pStyle w:val="Heading2"/>
        <w:keepLines/>
        <w:numPr>
          <w:ilvl w:val="1"/>
          <w:numId w:val="5"/>
        </w:numPr>
        <w:spacing w:before="120" w:after="120"/>
        <w:ind w:hanging="491" w:start="851" w:end="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start"/>
        <w:tblInd w:w="65" w:type="dxa"/>
        <w:tblLayout w:type="fixed"/>
        <w:tblCellMar>
          <w:top w:w="0" w:type="dxa"/>
          <w:start w:w="70" w:type="dxa"/>
          <w:bottom w:w="0" w:type="dxa"/>
          <w:end w:w="70" w:type="dxa"/>
        </w:tblCellMar>
      </w:tblPr>
      <w:tblGrid>
        <w:gridCol w:w="9861"/>
        <w:gridCol w:w="1559"/>
        <w:gridCol w:w="3402"/>
        <w:gridCol w:w="1418"/>
      </w:tblGrid>
      <w:tr>
        <w:trPr>
          <w:trHeight w:val="300" w:hRule="atLeast"/>
        </w:trPr>
        <w:tc>
          <w:tcPr>
            <w:tcW w:w="9861" w:type="dxa"/>
            <w:tcBorders/>
            <w:shd w:fill="FFFFFF" w:val="clear"/>
            <w:vAlign w:val="bottom"/>
          </w:tcPr>
          <w:tbl>
            <w:tblPr>
              <w:tblW w:w="9711" w:type="dxa"/>
              <w:jc w:val="start"/>
              <w:tblInd w:w="150" w:type="dxa"/>
              <w:tblLayout w:type="fixed"/>
              <w:tblCellMar>
                <w:top w:w="0" w:type="dxa"/>
                <w:start w:w="70" w:type="dxa"/>
                <w:bottom w:w="0" w:type="dxa"/>
                <w:end w:w="70" w:type="dxa"/>
              </w:tblCellMar>
            </w:tblPr>
            <w:tblGrid>
              <w:gridCol w:w="3541"/>
              <w:gridCol w:w="1559"/>
              <w:gridCol w:w="3260"/>
              <w:gridCol w:w="1351"/>
            </w:tblGrid>
            <w:tr>
              <w:trPr>
                <w:trHeight w:val="360" w:hRule="atLeast"/>
              </w:trPr>
              <w:tc>
                <w:tcPr>
                  <w:tcW w:w="9711" w:type="dxa"/>
                  <w:gridSpan w:val="4"/>
                  <w:tcBorders>
                    <w:top w:val="single" w:sz="4" w:space="0" w:color="000000"/>
                    <w:star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59"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IMMOBILISE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incorporelles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(a)+(b)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1 920 000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Nature (a)</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Espèces (b)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1 920 000</w:t>
                  </w:r>
                </w:p>
              </w:tc>
            </w:tr>
            <w:tr>
              <w:trPr>
                <w:trHeight w:val="349"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Frais de constitution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200 000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Résultat net de l'exercice (bénéfice + ou perte -)</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Subventions d’investissement (Projet Vert)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t>3 840 000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Forage + pompe solaire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3 500 000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CAPITAUX PROPRES (I)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5 760 000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Bassin de rétention 100 m³</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1 000 000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DETTES FINANCIERES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Système goutte-à-goutte (5 ha)</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5 000 000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Emprunts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13 440 000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Clôture 5 ha (grillage)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3 000 000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de crédit-bail et contrats assimilés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Aménagement du terrain (labour, billons)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1 500 000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financières diverses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Pulvérisateurs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125 000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13 440 000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Brouettes + Houes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325 000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19 200 000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Dabas / Pelles (1 lot)</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Caisses de récolte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150 000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Balances, petit matériel et séchoirs artisanaux</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800 000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15 700 000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CIRCULANT</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PASSIF CIRCULANT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Stocks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Matières premières et autres approvisionnements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1 987 500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En-cours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Créances et emplois assimilés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Clients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TRESORERIE – PASSIF</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1 987 500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TRESORERIE - ACTIF</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Banques, caisse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rPr>
                    <w:t>1 512 500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1 512 500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1" w:type="dxa"/>
                  <w:tcBorders>
                    <w:top w:val="single" w:sz="4" w:space="0" w:color="000000"/>
                    <w:start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59"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19 200 000</w:t>
                  </w:r>
                </w:p>
              </w:tc>
              <w:tc>
                <w:tcPr>
                  <w:tcW w:w="3260" w:type="dxa"/>
                  <w:tcBorders>
                    <w:top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1"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19 200 000</w:t>
                  </w:r>
                </w:p>
              </w:tc>
            </w:tr>
            <w:tr>
              <w:trPr>
                <w:trHeight w:val="390" w:hRule="atLeast"/>
              </w:trPr>
              <w:tc>
                <w:tcPr>
                  <w:tcW w:w="3541"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59"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1"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Fonts w:cs="Calibri" w:ascii="Cambria" w:hAnsi="Cambria"/>
                <w:color w:val="000000"/>
                <w:sz w:val="22"/>
                <w:szCs w:val="22"/>
              </w:rPr>
              <w:t> </w:t>
            </w:r>
          </w:p>
        </w:tc>
        <w:tc>
          <w:tcPr>
            <w:tcW w:w="1559"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3402"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1418"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19 200 000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5"/>
        </w:numPr>
        <w:spacing w:before="0" w:after="120"/>
        <w:ind w:hanging="491" w:start="851" w:end="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start"/>
        <w:tblInd w:w="70" w:type="dxa"/>
        <w:tblLayout w:type="fixed"/>
        <w:tblCellMar>
          <w:top w:w="0" w:type="dxa"/>
          <w:start w:w="70" w:type="dxa"/>
          <w:bottom w:w="0" w:type="dxa"/>
          <w:end w:w="70" w:type="dxa"/>
        </w:tblCellMar>
      </w:tblPr>
      <w:tblGrid>
        <w:gridCol w:w="3544"/>
        <w:gridCol w:w="284"/>
        <w:gridCol w:w="2552"/>
        <w:gridCol w:w="142"/>
        <w:gridCol w:w="1559"/>
        <w:gridCol w:w="142"/>
        <w:gridCol w:w="1419"/>
        <w:gridCol w:w="281"/>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1" w:type="dxa"/>
            <w:tcBorders/>
            <w:shd w:fill="166B7F" w:val="clear"/>
            <w:vAlign w:val="bottom"/>
          </w:tcPr>
          <w:p>
            <w:pPr>
              <w:pStyle w:val="Normal"/>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1"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700" w:type="dxa"/>
            <w:gridSpan w:val="2"/>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3 150 000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3 307 500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3 307 500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283 500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297 675</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297 675</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4 000 000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3 800 000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3 800 000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1 228 864</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990 080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710 528</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2 870 886</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3 035 165</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3 048 552</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11 533 250</w:t>
            </w:r>
          </w:p>
        </w:tc>
        <w:tc>
          <w:tcPr>
            <w:tcW w:w="1843" w:type="dxa"/>
            <w:gridSpan w:val="3"/>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11 430 420</w:t>
            </w:r>
          </w:p>
        </w:tc>
        <w:tc>
          <w:tcPr>
            <w:tcW w:w="1700" w:type="dxa"/>
            <w:gridSpan w:val="2"/>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11 164 255</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19 999 750</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20 399 745</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20 807 740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58%</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56%</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54%</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56%</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56%</w:t>
            </w:r>
          </w:p>
        </w:tc>
        <w:tc>
          <w:tcPr>
            <w:tcW w:w="1700" w:type="dxa"/>
            <w:gridSpan w:val="2"/>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 </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9 101 160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3 307 500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297 675</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45"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840 000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710 528</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w:t>
            </w:r>
          </w:p>
        </w:tc>
        <w:tc>
          <w:tcPr>
            <w:tcW w:w="2836" w:type="dxa"/>
            <w:gridSpan w:val="2"/>
            <w:tcBorders>
              <w:bottom w:val="single" w:sz="4" w:space="0" w:color="000000"/>
            </w:tcBorders>
            <w:shd w:fill="F4C9C8" w:val="clear"/>
            <w:vAlign w:val="bottom"/>
          </w:tcPr>
          <w:p>
            <w:pPr>
              <w:pStyle w:val="Normal"/>
              <w:jc w:val="end"/>
              <w:rPr>
                <w:rFonts w:ascii="Cambria" w:hAnsi="Cambria" w:cs="Calibri"/>
                <w:b/>
                <w:bCs/>
                <w:i/>
                <w:i/>
                <w:iCs/>
                <w:sz w:val="22"/>
                <w:szCs w:val="22"/>
              </w:rPr>
            </w:pPr>
            <w:r>
              <w:rPr>
                <w:rFonts w:cs="Calibri" w:ascii="Cambria" w:hAnsi="Cambria"/>
                <w:b/>
                <w:bCs/>
                <w:i/>
                <w:iCs/>
                <w:sz w:val="22"/>
                <w:szCs w:val="22"/>
              </w:rPr>
              <w:t>4 315 703</w:t>
            </w:r>
          </w:p>
        </w:tc>
        <w:tc>
          <w:tcPr>
            <w:tcW w:w="1843" w:type="dxa"/>
            <w:gridSpan w:val="3"/>
            <w:tcBorders>
              <w:star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9 941 160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40%</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20,8%</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start="-212" w:end="0"/>
              <w:jc w:val="center"/>
              <w:rPr>
                <w:rFonts w:ascii="Cambria" w:hAnsi="Cambria" w:cs="Cambria"/>
                <w:b/>
                <w:i/>
                <w:i/>
                <w:color w:val="FFFFFF"/>
                <w:sz w:val="22"/>
              </w:rPr>
            </w:pPr>
            <w:r>
              <w:rPr>
                <w:rFonts w:cs="Cambria" w:ascii="Cambria" w:hAnsi="Cambria"/>
                <w:b/>
                <w:i/>
                <w:color w:val="FFFFFF"/>
                <w:sz w:val="22"/>
              </w:rPr>
              <w:t>6 876 214</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6380" w:type="dxa"/>
            <w:gridSpan w:val="3"/>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11 mois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3 ans et 6 mois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552"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585" w:hRule="atLeast"/>
        </w:trPr>
        <w:tc>
          <w:tcPr>
            <w:tcW w:w="3828" w:type="dxa"/>
            <w:gridSpan w:val="2"/>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rentabilité financière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13%</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2" w:type="dxa"/>
            <w:gridSpan w:val="3"/>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bl>
    <w:p>
      <w:pPr>
        <w:pStyle w:val="Heading1"/>
        <w:keepLines/>
        <w:numPr>
          <w:ilvl w:val="0"/>
          <w:numId w:val="5"/>
        </w:numPr>
        <w:spacing w:before="240" w:after="0"/>
        <w:ind w:hanging="431" w:start="431" w:end="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 FORCE ET FAIBLESSE</w:t>
      </w:r>
    </w:p>
    <w:p>
      <w:pPr>
        <w:pStyle w:val="ds-markdown-paragraph"/>
        <w:shd w:fill="FFFFFF" w:val="clear"/>
        <w:spacing w:lineRule="atLeast" w:line="420" w:before="0" w:after="0"/>
        <w:rPr>
          <w:sz w:val="22"/>
          <w:szCs w:val="22"/>
          <w:lang w:val="fr-CI" w:eastAsia="zh-CN"/>
        </w:rPr>
      </w:pPr>
      <w:r>
        <w:rPr>
          <w:lang w:val="fr-CI" w:eastAsia="zh-CN"/>
        </w:rPr>
        <w:t xml:space="preserve">L'analyse FFOM montre que l'entreprise </w:t>
      </w:r>
      <w:r>
        <w:rPr>
          <w:b/>
          <w:bCs/>
          <w:lang w:val="fr-CI" w:eastAsia="zh-CN"/>
        </w:rPr>
        <w:t>FERME NAGRO</w:t>
      </w:r>
      <w:r>
        <w:rPr>
          <w:lang w:val="fr-CI" w:eastAsia="zh-CN"/>
        </w:rPr>
        <w:t xml:space="preserve"> dispose d'importantes forces qu'elle doit bien exploiter et mettre en valeur pour mieux se positionner face aux concurrents informels. L'expérience du promoteur </w:t>
      </w:r>
      <w:r>
        <w:rPr>
          <w:b/>
          <w:bCs/>
          <w:lang w:val="fr-CI" w:eastAsia="zh-CN"/>
        </w:rPr>
        <w:t>BANOU</w:t>
      </w:r>
      <w:r>
        <w:rPr>
          <w:lang w:val="fr-CI" w:eastAsia="zh-CN"/>
        </w:rPr>
        <w:t xml:space="preserve"> dans la production maraîchère et céréalière, la maîtrise des itinéraires techniques des cultures diversifiées (oignon, gombo, concombre, carotte, aubergine, pastèque, petit mil, maïs), l'accès à l'eau (bassin de rétention, pompe solaire, système goutte-à-goutte) et la bonne planification des campagnes constituent des atouts majeurs. La marque </w:t>
      </w:r>
      <w:r>
        <w:rPr>
          <w:b/>
          <w:bCs/>
          <w:lang w:val="fr-CI" w:eastAsia="zh-CN"/>
        </w:rPr>
        <w:t>FERME NAGRO</w:t>
      </w:r>
      <w:r>
        <w:rPr>
          <w:lang w:val="fr-CI" w:eastAsia="zh-CN"/>
        </w:rPr>
        <w:t xml:space="preserve"> véhicule une image de fraîcheur, de qualité et de diversité. Les opportunités doivent être bien analysées et saisies à temps, notamment la forte demande en produits maraîchers et céréaliers à Fiah, Bamako et environs, l'existence de marchés de gros, de détaillants et de revendeurs, l'appui de l'</w:t>
      </w:r>
      <w:r>
        <w:rPr>
          <w:b/>
          <w:bCs/>
          <w:lang w:val="fr-CI" w:eastAsia="zh-CN"/>
        </w:rPr>
        <w:t>APEJ/OIT</w:t>
      </w:r>
      <w:r>
        <w:rPr>
          <w:lang w:val="fr-CI" w:eastAsia="zh-CN"/>
        </w:rPr>
        <w:t>, la politique de substitution aux importations et la possibilité d'extension progressive de la superficie exploitée. La faiblesse identifiée (insuffisance de financement propre, superficie de 5 hectares à exploiter, équipement encore faible, notoriété de la marque à construire) doit être transformée en opportunité à travers des actions efficaces de communication, de recherche de partenariats et d'épargne sur les bénéfices. Les menaces qui sont réelles (concurrence des produits importés, aléas climatiques, ravageurs et maladies, volatilité des prix, pannes d'équipements, cherté des intrants, rareté de la main-d'œuvre qualifiée) sont des signaux à suivre et analyser afin de mieux anticiper leurs effets néfastes pour le projet</w:t>
      </w:r>
      <w:r>
        <w:rPr>
          <w:sz w:val="22"/>
          <w:szCs w:val="22"/>
          <w:lang w:val="fr-CI" w:eastAsia="zh-CN"/>
        </w:rPr>
        <w:t>.</w:t>
      </w:r>
    </w:p>
    <w:p>
      <w:pPr>
        <w:pStyle w:val="Normal"/>
        <w:rPr>
          <w:sz w:val="22"/>
          <w:szCs w:val="22"/>
          <w:lang w:val="fr-CI"/>
        </w:rPr>
      </w:pPr>
      <w:r>
        <w:rPr>
          <w:sz w:val="22"/>
          <w:szCs w:val="22"/>
          <w:lang w:val="fr-CI"/>
        </w:rPr>
        <w:t>.</w:t>
      </w:r>
    </w:p>
    <w:p>
      <w:pPr>
        <w:pStyle w:val="Normal"/>
        <w:rPr>
          <w:sz w:val="22"/>
          <w:szCs w:val="22"/>
          <w:lang w:val="fr-CI"/>
        </w:rPr>
      </w:pPr>
      <w:r>
        <w:rPr>
          <w:sz w:val="22"/>
          <w:szCs w:val="22"/>
          <w:lang w:val="fr-CI"/>
        </w:rPr>
      </w:r>
    </w:p>
    <w:tbl>
      <w:tblPr>
        <w:tblpPr w:vertAnchor="text" w:horzAnchor="margin" w:rightFromText="141" w:tblpX="5" w:tblpY="32"/>
        <w:tblW w:w="9363" w:type="dxa"/>
        <w:jc w:val="start"/>
        <w:tblInd w:w="108" w:type="dxa"/>
        <w:tblLayout w:type="fixed"/>
        <w:tblCellMar>
          <w:top w:w="0" w:type="dxa"/>
          <w:start w:w="108" w:type="dxa"/>
          <w:bottom w:w="0" w:type="dxa"/>
          <w:end w:w="108" w:type="dxa"/>
        </w:tblCellMar>
      </w:tblPr>
      <w:tblGrid>
        <w:gridCol w:w="6013"/>
        <w:gridCol w:w="3350"/>
      </w:tblGrid>
      <w:tr>
        <w:trPr>
          <w:trHeight w:val="216" w:hRule="atLeast"/>
        </w:trPr>
        <w:tc>
          <w:tcPr>
            <w:tcW w:w="6013"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FORCES</w:t>
            </w:r>
          </w:p>
        </w:tc>
        <w:tc>
          <w:tcPr>
            <w:tcW w:w="3350"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FAIBLESSE</w:t>
            </w:r>
          </w:p>
        </w:tc>
      </w:tr>
      <w:tr>
        <w:trPr>
          <w:trHeight w:val="2098" w:hRule="atLeast"/>
        </w:trPr>
        <w:tc>
          <w:tcPr>
            <w:tcW w:w="6013" w:type="dxa"/>
            <w:tcBorders>
              <w:top w:val="single" w:sz="4" w:space="0" w:color="000000"/>
              <w:start w:val="single" w:sz="4" w:space="0" w:color="000000"/>
              <w:bottom w:val="single" w:sz="4" w:space="0" w:color="000000"/>
              <w:end w:val="single" w:sz="4" w:space="0" w:color="000000"/>
            </w:tcBorders>
          </w:tcPr>
          <w:p>
            <w:pPr>
              <w:pStyle w:val="Normal"/>
              <w:numPr>
                <w:ilvl w:val="0"/>
                <w:numId w:val="17"/>
              </w:numPr>
              <w:rPr>
                <w:rStyle w:val="Strong"/>
                <w:b w:val="false"/>
                <w:bCs w:val="false"/>
                <w:sz w:val="22"/>
                <w:szCs w:val="22"/>
              </w:rPr>
            </w:pPr>
            <w:r>
              <w:rPr>
                <w:rStyle w:val="Strong"/>
                <w:b w:val="false"/>
                <w:bCs w:val="false"/>
                <w:sz w:val="22"/>
                <w:szCs w:val="22"/>
              </w:rPr>
              <w:t>Expérience du promoteur BANOU dans la production maraîchère et céréalière ;</w:t>
            </w:r>
          </w:p>
          <w:p>
            <w:pPr>
              <w:pStyle w:val="Normal"/>
              <w:numPr>
                <w:ilvl w:val="0"/>
                <w:numId w:val="17"/>
              </w:numPr>
              <w:rPr>
                <w:rStyle w:val="Strong"/>
                <w:b w:val="false"/>
                <w:bCs w:val="false"/>
                <w:sz w:val="22"/>
                <w:szCs w:val="22"/>
              </w:rPr>
            </w:pPr>
            <w:r>
              <w:rPr>
                <w:rStyle w:val="Strong"/>
                <w:b w:val="false"/>
                <w:bCs w:val="false"/>
                <w:sz w:val="22"/>
                <w:szCs w:val="22"/>
              </w:rPr>
              <w:t>Maîtrise des itinéraires techniques des cultures diversifiées : oignon, gombo, concombre, carotte, aubergine, pastèque, petit mil et maïs ;</w:t>
            </w:r>
          </w:p>
          <w:p>
            <w:pPr>
              <w:pStyle w:val="Normal"/>
              <w:numPr>
                <w:ilvl w:val="0"/>
                <w:numId w:val="17"/>
              </w:numPr>
              <w:rPr>
                <w:rStyle w:val="Strong"/>
                <w:b w:val="false"/>
                <w:bCs w:val="false"/>
                <w:sz w:val="22"/>
                <w:szCs w:val="22"/>
              </w:rPr>
            </w:pPr>
            <w:r>
              <w:rPr>
                <w:rStyle w:val="Strong"/>
                <w:b w:val="false"/>
                <w:bCs w:val="false"/>
                <w:sz w:val="22"/>
                <w:szCs w:val="22"/>
              </w:rPr>
              <w:t>Bonne planification et anticipation des campagnes (saison sèche et saison des pluies) ;</w:t>
            </w:r>
          </w:p>
          <w:p>
            <w:pPr>
              <w:pStyle w:val="Normal"/>
              <w:numPr>
                <w:ilvl w:val="0"/>
                <w:numId w:val="17"/>
              </w:numPr>
              <w:rPr>
                <w:rStyle w:val="Strong"/>
                <w:b w:val="false"/>
                <w:bCs w:val="false"/>
                <w:sz w:val="22"/>
                <w:szCs w:val="22"/>
              </w:rPr>
            </w:pPr>
            <w:r>
              <w:rPr>
                <w:rStyle w:val="Strong"/>
                <w:b w:val="false"/>
                <w:bCs w:val="false"/>
                <w:sz w:val="22"/>
                <w:szCs w:val="22"/>
              </w:rPr>
              <w:t>Bon accueil et fidélisation de la clientèle ;</w:t>
            </w:r>
          </w:p>
          <w:p>
            <w:pPr>
              <w:pStyle w:val="Normal"/>
              <w:numPr>
                <w:ilvl w:val="0"/>
                <w:numId w:val="17"/>
              </w:numPr>
              <w:rPr>
                <w:rStyle w:val="Strong"/>
                <w:b w:val="false"/>
                <w:bCs w:val="false"/>
                <w:sz w:val="22"/>
                <w:szCs w:val="22"/>
              </w:rPr>
            </w:pPr>
            <w:r>
              <w:rPr>
                <w:rStyle w:val="Strong"/>
                <w:b w:val="false"/>
                <w:bCs w:val="false"/>
                <w:sz w:val="22"/>
                <w:szCs w:val="22"/>
              </w:rPr>
              <w:t>Bonne connaissance des marchés de Fiah, des communes environnantes et de Bamako ;</w:t>
            </w:r>
          </w:p>
          <w:p>
            <w:pPr>
              <w:pStyle w:val="Normal"/>
              <w:numPr>
                <w:ilvl w:val="0"/>
                <w:numId w:val="17"/>
              </w:numPr>
              <w:rPr>
                <w:rStyle w:val="Strong"/>
                <w:b w:val="false"/>
                <w:bCs w:val="false"/>
                <w:sz w:val="22"/>
                <w:szCs w:val="22"/>
              </w:rPr>
            </w:pPr>
            <w:r>
              <w:rPr>
                <w:rStyle w:val="Strong"/>
                <w:b w:val="false"/>
                <w:bCs w:val="false"/>
                <w:sz w:val="22"/>
                <w:szCs w:val="22"/>
              </w:rPr>
              <w:t>Existence de personnel qualifié et expérimenté (agronome, ouvriers permanents) ;</w:t>
            </w:r>
          </w:p>
          <w:p>
            <w:pPr>
              <w:pStyle w:val="Normal"/>
              <w:numPr>
                <w:ilvl w:val="0"/>
                <w:numId w:val="17"/>
              </w:numPr>
              <w:rPr>
                <w:rStyle w:val="Strong"/>
                <w:b w:val="false"/>
                <w:bCs w:val="false"/>
                <w:sz w:val="22"/>
                <w:szCs w:val="22"/>
              </w:rPr>
            </w:pPr>
            <w:r>
              <w:rPr>
                <w:rStyle w:val="Strong"/>
                <w:b w:val="false"/>
                <w:bCs w:val="false"/>
                <w:sz w:val="22"/>
                <w:szCs w:val="22"/>
              </w:rPr>
              <w:t>Accès à l’eau (forage, pompe solaire, bassin de rétention, système goutte-à-goutte) ;</w:t>
            </w:r>
          </w:p>
          <w:p>
            <w:pPr>
              <w:pStyle w:val="Normal"/>
              <w:numPr>
                <w:ilvl w:val="0"/>
                <w:numId w:val="17"/>
              </w:numPr>
              <w:rPr>
                <w:rStyle w:val="Strong"/>
                <w:b w:val="false"/>
                <w:bCs w:val="false"/>
                <w:sz w:val="22"/>
                <w:szCs w:val="22"/>
              </w:rPr>
            </w:pPr>
            <w:r>
              <w:rPr>
                <w:rStyle w:val="Strong"/>
                <w:b w:val="false"/>
                <w:bCs w:val="false"/>
                <w:sz w:val="22"/>
                <w:szCs w:val="22"/>
              </w:rPr>
              <w:t>Diversification des cultures permettant de sécuriser les revenus sur toute l’année ;</w:t>
            </w:r>
          </w:p>
          <w:p>
            <w:pPr>
              <w:pStyle w:val="Normal"/>
              <w:numPr>
                <w:ilvl w:val="0"/>
                <w:numId w:val="17"/>
              </w:numPr>
              <w:rPr>
                <w:rStyle w:val="Strong"/>
                <w:b w:val="false"/>
                <w:bCs w:val="false"/>
                <w:sz w:val="22"/>
                <w:szCs w:val="22"/>
              </w:rPr>
            </w:pPr>
            <w:r>
              <w:rPr>
                <w:rStyle w:val="Strong"/>
                <w:b w:val="false"/>
                <w:bCs w:val="false"/>
                <w:sz w:val="22"/>
                <w:szCs w:val="22"/>
              </w:rPr>
              <w:t xml:space="preserve">Marque FERME NAGRO porteuse de sens : </w:t>
            </w:r>
            <w:r>
              <w:rPr>
                <w:rStyle w:val="Strong"/>
                <w:b w:val="false"/>
                <w:bCs w:val="false"/>
                <w:i/>
                <w:iCs/>
                <w:sz w:val="22"/>
                <w:szCs w:val="22"/>
              </w:rPr>
              <w:t>Cultiver la diversité, nourrir durablement.</w:t>
            </w:r>
          </w:p>
          <w:p>
            <w:pPr>
              <w:pStyle w:val="Normal"/>
              <w:ind w:start="567" w:end="0"/>
              <w:rPr>
                <w:rStyle w:val="Strong"/>
                <w:b w:val="false"/>
                <w:bCs/>
                <w:sz w:val="22"/>
                <w:szCs w:val="22"/>
              </w:rPr>
            </w:pPr>
            <w:r>
              <w:rPr/>
            </w:r>
          </w:p>
        </w:tc>
        <w:tc>
          <w:tcPr>
            <w:tcW w:w="3350" w:type="dxa"/>
            <w:tcBorders>
              <w:top w:val="single" w:sz="4" w:space="0" w:color="000000"/>
              <w:start w:val="single" w:sz="4" w:space="0" w:color="000000"/>
              <w:bottom w:val="single" w:sz="4" w:space="0" w:color="000000"/>
              <w:end w:val="single" w:sz="4" w:space="0" w:color="000000"/>
            </w:tcBorders>
          </w:tcPr>
          <w:p>
            <w:pPr>
              <w:pStyle w:val="Normal"/>
              <w:numPr>
                <w:ilvl w:val="0"/>
                <w:numId w:val="17"/>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7"/>
              </w:numPr>
              <w:rPr>
                <w:rStyle w:val="Strong"/>
                <w:b w:val="false"/>
                <w:bCs w:val="false"/>
                <w:sz w:val="22"/>
                <w:szCs w:val="22"/>
              </w:rPr>
            </w:pPr>
            <w:r>
              <w:rPr>
                <w:rStyle w:val="Strong"/>
                <w:b w:val="false"/>
                <w:bCs w:val="false"/>
                <w:sz w:val="22"/>
                <w:szCs w:val="22"/>
              </w:rPr>
              <w:t>Superficie de 5 hectares à exploiter, nécessitant des investissements lourds ;</w:t>
            </w:r>
          </w:p>
          <w:p>
            <w:pPr>
              <w:pStyle w:val="Normal"/>
              <w:numPr>
                <w:ilvl w:val="0"/>
                <w:numId w:val="17"/>
              </w:numPr>
              <w:rPr>
                <w:rStyle w:val="Strong"/>
                <w:b w:val="false"/>
                <w:bCs w:val="false"/>
                <w:sz w:val="22"/>
                <w:szCs w:val="22"/>
              </w:rPr>
            </w:pPr>
            <w:r>
              <w:rPr>
                <w:rStyle w:val="Strong"/>
                <w:b w:val="false"/>
                <w:bCs w:val="false"/>
                <w:sz w:val="22"/>
                <w:szCs w:val="22"/>
              </w:rPr>
              <w:t>Faible niveau d’équipement de l’exploitation au démarrage ;</w:t>
            </w:r>
          </w:p>
          <w:p>
            <w:pPr>
              <w:pStyle w:val="Normal"/>
              <w:numPr>
                <w:ilvl w:val="0"/>
                <w:numId w:val="17"/>
              </w:numPr>
              <w:rPr>
                <w:rStyle w:val="Strong"/>
                <w:b w:val="false"/>
                <w:bCs w:val="false"/>
                <w:sz w:val="22"/>
                <w:szCs w:val="22"/>
              </w:rPr>
            </w:pPr>
            <w:r>
              <w:rPr>
                <w:rStyle w:val="Strong"/>
                <w:b w:val="false"/>
                <w:bCs w:val="false"/>
                <w:sz w:val="22"/>
                <w:szCs w:val="22"/>
              </w:rPr>
              <w:t>Qualité et disponibilité irrégulières des intrants organiques ;</w:t>
            </w:r>
          </w:p>
          <w:p>
            <w:pPr>
              <w:pStyle w:val="Normal"/>
              <w:numPr>
                <w:ilvl w:val="0"/>
                <w:numId w:val="17"/>
              </w:numPr>
              <w:rPr>
                <w:rStyle w:val="Strong"/>
                <w:b w:val="false"/>
                <w:bCs w:val="false"/>
                <w:sz w:val="22"/>
                <w:szCs w:val="22"/>
              </w:rPr>
            </w:pPr>
            <w:r>
              <w:rPr>
                <w:rStyle w:val="Strong"/>
                <w:b w:val="false"/>
                <w:bCs w:val="false"/>
                <w:sz w:val="22"/>
                <w:szCs w:val="22"/>
              </w:rPr>
              <w:t>Dépendance à l’irrigation (pompe solaire, système goutte-à-goutte) ;</w:t>
            </w:r>
          </w:p>
          <w:p>
            <w:pPr>
              <w:pStyle w:val="Normal"/>
              <w:numPr>
                <w:ilvl w:val="0"/>
                <w:numId w:val="17"/>
              </w:numPr>
              <w:rPr>
                <w:rStyle w:val="Strong"/>
                <w:b w:val="false"/>
                <w:bCs w:val="false"/>
                <w:sz w:val="22"/>
                <w:szCs w:val="22"/>
              </w:rPr>
            </w:pPr>
            <w:r>
              <w:rPr>
                <w:rStyle w:val="Strong"/>
                <w:b w:val="false"/>
                <w:bCs w:val="false"/>
                <w:sz w:val="22"/>
                <w:szCs w:val="22"/>
              </w:rPr>
              <w:t>Notoriété de la marque FERME NAGRO encore à construire ;</w:t>
            </w:r>
          </w:p>
          <w:p>
            <w:pPr>
              <w:pStyle w:val="Normal"/>
              <w:numPr>
                <w:ilvl w:val="0"/>
                <w:numId w:val="17"/>
              </w:numPr>
              <w:rPr>
                <w:rFonts w:ascii="Segoe UI" w:hAnsi="Segoe UI" w:cs="Segoe UI"/>
                <w:b/>
                <w:bCs/>
                <w:color w:val="0F1115"/>
              </w:rPr>
            </w:pPr>
            <w:r>
              <w:rPr>
                <w:rStyle w:val="Strong"/>
                <w:b w:val="false"/>
                <w:bCs w:val="false"/>
                <w:sz w:val="22"/>
                <w:szCs w:val="22"/>
              </w:rPr>
              <w:t>Absence de certification formelle (hygiène, traçabilité</w:t>
            </w:r>
            <w:r>
              <w:rPr>
                <w:rFonts w:cs="Segoe UI" w:ascii="Segoe UI" w:hAnsi="Segoe UI"/>
                <w:b/>
                <w:bCs/>
                <w:color w:val="0F1115"/>
              </w:rPr>
              <w:t>) ;</w:t>
            </w:r>
          </w:p>
          <w:p>
            <w:pPr>
              <w:pStyle w:val="Normal"/>
              <w:numPr>
                <w:ilvl w:val="0"/>
                <w:numId w:val="17"/>
              </w:numPr>
              <w:rPr>
                <w:rStyle w:val="Strong"/>
                <w:b w:val="false"/>
                <w:bCs w:val="false"/>
                <w:sz w:val="22"/>
                <w:szCs w:val="22"/>
              </w:rPr>
            </w:pPr>
            <w:r>
              <w:rPr>
                <w:rStyle w:val="Strong"/>
                <w:b w:val="false"/>
                <w:bCs w:val="false"/>
                <w:sz w:val="22"/>
                <w:szCs w:val="22"/>
              </w:rPr>
              <w:t>Rareté de la main-d’œuvre qualifiée dans la zone ;</w:t>
            </w:r>
          </w:p>
          <w:p>
            <w:pPr>
              <w:pStyle w:val="Normal"/>
              <w:numPr>
                <w:ilvl w:val="0"/>
                <w:numId w:val="17"/>
              </w:numPr>
              <w:rPr>
                <w:rStyle w:val="Strong"/>
                <w:b w:val="false"/>
                <w:bCs w:val="false"/>
                <w:sz w:val="22"/>
                <w:szCs w:val="22"/>
              </w:rPr>
            </w:pPr>
            <w:r>
              <w:rPr>
                <w:rStyle w:val="Strong"/>
                <w:b w:val="false"/>
                <w:bCs w:val="false"/>
                <w:sz w:val="22"/>
                <w:szCs w:val="22"/>
              </w:rPr>
              <w:t>Vulnérabilité aux maladies des cultures.</w:t>
            </w:r>
          </w:p>
          <w:p>
            <w:pPr>
              <w:pStyle w:val="Normal"/>
              <w:rPr>
                <w:rStyle w:val="Strong"/>
                <w:b w:val="false"/>
                <w:bCs w:val="false"/>
                <w:sz w:val="22"/>
                <w:szCs w:val="22"/>
              </w:rPr>
            </w:pPr>
            <w:r>
              <w:rPr/>
            </w:r>
          </w:p>
        </w:tc>
      </w:tr>
      <w:tr>
        <w:trPr>
          <w:trHeight w:val="216" w:hRule="atLeast"/>
        </w:trPr>
        <w:tc>
          <w:tcPr>
            <w:tcW w:w="6013"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OPPORTUNITES</w:t>
            </w:r>
          </w:p>
        </w:tc>
        <w:tc>
          <w:tcPr>
            <w:tcW w:w="3350"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MENACES</w:t>
            </w:r>
          </w:p>
        </w:tc>
      </w:tr>
      <w:tr>
        <w:trPr>
          <w:trHeight w:val="1857" w:hRule="atLeast"/>
        </w:trPr>
        <w:tc>
          <w:tcPr>
            <w:tcW w:w="6013" w:type="dxa"/>
            <w:tcBorders>
              <w:top w:val="single" w:sz="4" w:space="0" w:color="000000"/>
              <w:start w:val="single" w:sz="4" w:space="0" w:color="000000"/>
              <w:bottom w:val="single" w:sz="4" w:space="0" w:color="000000"/>
              <w:end w:val="single" w:sz="4" w:space="0" w:color="000000"/>
            </w:tcBorders>
          </w:tcPr>
          <w:p>
            <w:pPr>
              <w:pStyle w:val="Normal"/>
              <w:numPr>
                <w:ilvl w:val="0"/>
                <w:numId w:val="17"/>
              </w:numPr>
              <w:rPr>
                <w:rStyle w:val="Strong"/>
                <w:b w:val="false"/>
                <w:bCs w:val="false"/>
                <w:sz w:val="22"/>
                <w:szCs w:val="22"/>
              </w:rPr>
            </w:pPr>
            <w:r>
              <w:rPr>
                <w:rStyle w:val="Strong"/>
                <w:b w:val="false"/>
                <w:bCs w:val="false"/>
                <w:sz w:val="22"/>
                <w:szCs w:val="22"/>
              </w:rPr>
              <w:t>Existence de marchés à Fiah, Bamako et environs ;</w:t>
            </w:r>
          </w:p>
          <w:p>
            <w:pPr>
              <w:pStyle w:val="Normal"/>
              <w:numPr>
                <w:ilvl w:val="0"/>
                <w:numId w:val="17"/>
              </w:numPr>
              <w:rPr>
                <w:rStyle w:val="Strong"/>
                <w:b w:val="false"/>
                <w:bCs w:val="false"/>
                <w:sz w:val="22"/>
                <w:szCs w:val="22"/>
              </w:rPr>
            </w:pPr>
            <w:r>
              <w:rPr>
                <w:rStyle w:val="Strong"/>
                <w:b w:val="false"/>
                <w:bCs w:val="false"/>
                <w:sz w:val="22"/>
                <w:szCs w:val="22"/>
              </w:rPr>
              <w:t>Forte demande en produits maraîchers et céréaliers sur les marchés locaux ;</w:t>
            </w:r>
          </w:p>
          <w:p>
            <w:pPr>
              <w:pStyle w:val="Normal"/>
              <w:numPr>
                <w:ilvl w:val="0"/>
                <w:numId w:val="17"/>
              </w:numPr>
              <w:rPr>
                <w:rStyle w:val="Strong"/>
                <w:b w:val="false"/>
                <w:bCs w:val="false"/>
                <w:sz w:val="22"/>
                <w:szCs w:val="22"/>
              </w:rPr>
            </w:pPr>
            <w:r>
              <w:rPr>
                <w:rStyle w:val="Strong"/>
                <w:b w:val="false"/>
                <w:bCs w:val="false"/>
                <w:sz w:val="22"/>
                <w:szCs w:val="22"/>
              </w:rPr>
              <w:t>Amélioration de la fertilité du sol et du rendement agricole ;</w:t>
            </w:r>
          </w:p>
          <w:p>
            <w:pPr>
              <w:pStyle w:val="Normal"/>
              <w:numPr>
                <w:ilvl w:val="0"/>
                <w:numId w:val="17"/>
              </w:numPr>
              <w:rPr>
                <w:rStyle w:val="Strong"/>
                <w:b w:val="false"/>
                <w:bCs w:val="false"/>
                <w:sz w:val="22"/>
                <w:szCs w:val="22"/>
              </w:rPr>
            </w:pPr>
            <w:r>
              <w:rPr>
                <w:rStyle w:val="Strong"/>
                <w:b w:val="false"/>
                <w:bCs w:val="false"/>
                <w:sz w:val="22"/>
                <w:szCs w:val="22"/>
              </w:rPr>
              <w:t>Production de produits maraîchers et céréaliers de bonne qualité ;</w:t>
            </w:r>
          </w:p>
          <w:p>
            <w:pPr>
              <w:pStyle w:val="Normal"/>
              <w:numPr>
                <w:ilvl w:val="0"/>
                <w:numId w:val="17"/>
              </w:numPr>
              <w:rPr>
                <w:rStyle w:val="Strong"/>
                <w:b w:val="false"/>
                <w:bCs w:val="false"/>
                <w:sz w:val="22"/>
                <w:szCs w:val="22"/>
              </w:rPr>
            </w:pPr>
            <w:r>
              <w:rPr>
                <w:rStyle w:val="Strong"/>
                <w:b w:val="false"/>
                <w:bCs w:val="false"/>
                <w:sz w:val="22"/>
                <w:szCs w:val="22"/>
              </w:rPr>
              <w:t>Existence de marchés de gros, détaillants, revendeurs, hôtels et restaurants ;</w:t>
            </w:r>
          </w:p>
          <w:p>
            <w:pPr>
              <w:pStyle w:val="Normal"/>
              <w:numPr>
                <w:ilvl w:val="0"/>
                <w:numId w:val="17"/>
              </w:numPr>
              <w:rPr>
                <w:rStyle w:val="Strong"/>
                <w:b w:val="false"/>
                <w:bCs w:val="false"/>
                <w:sz w:val="22"/>
                <w:szCs w:val="22"/>
              </w:rPr>
            </w:pPr>
            <w:r>
              <w:rPr>
                <w:rStyle w:val="Strong"/>
                <w:b w:val="false"/>
                <w:bCs w:val="false"/>
                <w:sz w:val="22"/>
                <w:szCs w:val="22"/>
              </w:rPr>
              <w:t>Appui de l’APEJ/OIT à travers le projet AN KA BAARA ;</w:t>
            </w:r>
          </w:p>
          <w:p>
            <w:pPr>
              <w:pStyle w:val="Normal"/>
              <w:numPr>
                <w:ilvl w:val="0"/>
                <w:numId w:val="17"/>
              </w:numPr>
              <w:rPr>
                <w:rStyle w:val="Strong"/>
                <w:b w:val="false"/>
                <w:bCs w:val="false"/>
                <w:sz w:val="22"/>
                <w:szCs w:val="22"/>
              </w:rPr>
            </w:pPr>
            <w:r>
              <w:rPr>
                <w:rStyle w:val="Strong"/>
                <w:b w:val="false"/>
                <w:bCs w:val="false"/>
                <w:sz w:val="22"/>
                <w:szCs w:val="22"/>
              </w:rPr>
              <w:t>Politique de substitution aux importations de produits alimentaires ;</w:t>
            </w:r>
          </w:p>
          <w:p>
            <w:pPr>
              <w:pStyle w:val="Normal"/>
              <w:numPr>
                <w:ilvl w:val="0"/>
                <w:numId w:val="17"/>
              </w:numPr>
              <w:rPr>
                <w:rStyle w:val="Strong"/>
                <w:b w:val="false"/>
                <w:bCs w:val="false"/>
                <w:sz w:val="22"/>
                <w:szCs w:val="22"/>
              </w:rPr>
            </w:pPr>
            <w:r>
              <w:rPr>
                <w:rStyle w:val="Strong"/>
                <w:b w:val="false"/>
                <w:bCs w:val="false"/>
                <w:sz w:val="22"/>
                <w:szCs w:val="22"/>
              </w:rPr>
              <w:t>Possibilité d’extension progressive de la superficie exploitée ;</w:t>
            </w:r>
          </w:p>
          <w:p>
            <w:pPr>
              <w:pStyle w:val="Normal"/>
              <w:numPr>
                <w:ilvl w:val="0"/>
                <w:numId w:val="17"/>
              </w:numPr>
              <w:rPr>
                <w:rStyle w:val="Strong"/>
                <w:b w:val="false"/>
                <w:bCs w:val="false"/>
                <w:sz w:val="22"/>
                <w:szCs w:val="22"/>
              </w:rPr>
            </w:pPr>
            <w:r>
              <w:rPr>
                <w:rStyle w:val="Strong"/>
                <w:b w:val="false"/>
                <w:bCs w:val="false"/>
                <w:sz w:val="22"/>
                <w:szCs w:val="22"/>
              </w:rPr>
              <w:t>Développement futur de produits transformés (séchage d’oignon, farine de maïs, etc.) ;</w:t>
            </w:r>
          </w:p>
          <w:p>
            <w:pPr>
              <w:pStyle w:val="Normal"/>
              <w:numPr>
                <w:ilvl w:val="0"/>
                <w:numId w:val="17"/>
              </w:numPr>
              <w:rPr>
                <w:rFonts w:ascii="Segoe UI" w:hAnsi="Segoe UI" w:cs="Segoe UI"/>
                <w:color w:val="0F1115"/>
              </w:rPr>
            </w:pPr>
            <w:r>
              <w:rPr>
                <w:rStyle w:val="Strong"/>
                <w:b w:val="false"/>
                <w:bCs w:val="false"/>
                <w:sz w:val="22"/>
                <w:szCs w:val="22"/>
              </w:rPr>
              <w:t>Demande croissante en produits frais et sains</w:t>
            </w:r>
            <w:r>
              <w:rPr>
                <w:rFonts w:cs="Segoe UI" w:ascii="Segoe UI" w:hAnsi="Segoe UI"/>
                <w:color w:val="0F1115"/>
              </w:rPr>
              <w:t>.</w:t>
            </w:r>
          </w:p>
          <w:p>
            <w:pPr>
              <w:pStyle w:val="Normal"/>
              <w:ind w:start="720" w:end="0"/>
              <w:rPr>
                <w:rFonts w:ascii="Segoe UI" w:hAnsi="Segoe UI" w:cs="Segoe UI"/>
                <w:color w:val="0F1115"/>
                <w:sz w:val="22"/>
                <w:szCs w:val="22"/>
              </w:rPr>
            </w:pPr>
            <w:r>
              <w:rPr>
                <w:rFonts w:cs="Segoe UI" w:ascii="Segoe UI" w:hAnsi="Segoe UI"/>
                <w:color w:val="0F1115"/>
                <w:sz w:val="22"/>
                <w:szCs w:val="22"/>
              </w:rPr>
            </w:r>
          </w:p>
        </w:tc>
        <w:tc>
          <w:tcPr>
            <w:tcW w:w="3350" w:type="dxa"/>
            <w:tcBorders>
              <w:top w:val="single" w:sz="4" w:space="0" w:color="000000"/>
              <w:start w:val="single" w:sz="4" w:space="0" w:color="000000"/>
              <w:bottom w:val="single" w:sz="4" w:space="0" w:color="000000"/>
              <w:end w:val="single" w:sz="4" w:space="0" w:color="000000"/>
            </w:tcBorders>
          </w:tcPr>
          <w:p>
            <w:pPr>
              <w:pStyle w:val="Normal"/>
              <w:numPr>
                <w:ilvl w:val="0"/>
                <w:numId w:val="17"/>
              </w:numPr>
              <w:rPr>
                <w:rStyle w:val="Strong"/>
                <w:b w:val="false"/>
                <w:bCs w:val="false"/>
              </w:rPr>
            </w:pPr>
            <w:r>
              <w:rPr>
                <w:rStyle w:val="Strong"/>
                <w:b w:val="false"/>
                <w:bCs w:val="false"/>
              </w:rPr>
              <w:t>Existence d’une forte concurrence dans la production maraîchère et céréalière ;</w:t>
            </w:r>
          </w:p>
          <w:p>
            <w:pPr>
              <w:pStyle w:val="Normal"/>
              <w:numPr>
                <w:ilvl w:val="0"/>
                <w:numId w:val="17"/>
              </w:numPr>
              <w:rPr>
                <w:rStyle w:val="Strong"/>
                <w:b w:val="false"/>
                <w:bCs w:val="false"/>
              </w:rPr>
            </w:pPr>
            <w:r>
              <w:rPr>
                <w:rStyle w:val="Strong"/>
                <w:b w:val="false"/>
                <w:bCs w:val="false"/>
              </w:rPr>
              <w:t>Concurrence des produits importés ;</w:t>
            </w:r>
          </w:p>
          <w:p>
            <w:pPr>
              <w:pStyle w:val="Normal"/>
              <w:numPr>
                <w:ilvl w:val="0"/>
                <w:numId w:val="17"/>
              </w:numPr>
              <w:rPr>
                <w:rStyle w:val="Strong"/>
                <w:b w:val="false"/>
                <w:bCs w:val="false"/>
              </w:rPr>
            </w:pPr>
            <w:r>
              <w:rPr>
                <w:rStyle w:val="Strong"/>
                <w:b w:val="false"/>
                <w:bCs w:val="false"/>
              </w:rPr>
              <w:t>Attaques de ravageurs et maladies ;</w:t>
            </w:r>
          </w:p>
          <w:p>
            <w:pPr>
              <w:pStyle w:val="Normal"/>
              <w:numPr>
                <w:ilvl w:val="0"/>
                <w:numId w:val="17"/>
              </w:numPr>
              <w:rPr>
                <w:rStyle w:val="Strong"/>
                <w:b w:val="false"/>
                <w:bCs w:val="false"/>
              </w:rPr>
            </w:pPr>
            <w:r>
              <w:rPr>
                <w:rStyle w:val="Strong"/>
                <w:b w:val="false"/>
                <w:bCs w:val="false"/>
              </w:rPr>
              <w:t>Aléas climatiques (sécheresse, fortes chaleurs, pluies tardives) ;</w:t>
            </w:r>
          </w:p>
          <w:p>
            <w:pPr>
              <w:pStyle w:val="Normal"/>
              <w:numPr>
                <w:ilvl w:val="0"/>
                <w:numId w:val="17"/>
              </w:numPr>
              <w:rPr>
                <w:rStyle w:val="Strong"/>
                <w:b w:val="false"/>
                <w:bCs w:val="false"/>
              </w:rPr>
            </w:pPr>
            <w:r>
              <w:rPr>
                <w:rStyle w:val="Strong"/>
                <w:b w:val="false"/>
                <w:bCs w:val="false"/>
              </w:rPr>
              <w:t>Volatilité des prix en période d’abondance ;</w:t>
            </w:r>
          </w:p>
          <w:p>
            <w:pPr>
              <w:pStyle w:val="Normal"/>
              <w:numPr>
                <w:ilvl w:val="0"/>
                <w:numId w:val="17"/>
              </w:numPr>
              <w:rPr>
                <w:rStyle w:val="Strong"/>
                <w:b w:val="false"/>
                <w:bCs w:val="false"/>
              </w:rPr>
            </w:pPr>
            <w:r>
              <w:rPr>
                <w:rStyle w:val="Strong"/>
                <w:b w:val="false"/>
                <w:bCs w:val="false"/>
              </w:rPr>
              <w:t>Pannes d’équipements (pompe solaire, système d’irrigation) ;</w:t>
            </w:r>
          </w:p>
          <w:p>
            <w:pPr>
              <w:pStyle w:val="Normal"/>
              <w:numPr>
                <w:ilvl w:val="0"/>
                <w:numId w:val="17"/>
              </w:numPr>
              <w:rPr>
                <w:rStyle w:val="Strong"/>
                <w:b w:val="false"/>
                <w:bCs w:val="false"/>
              </w:rPr>
            </w:pPr>
            <w:r>
              <w:rPr>
                <w:rStyle w:val="Strong"/>
                <w:b w:val="false"/>
                <w:bCs w:val="false"/>
              </w:rPr>
              <w:t>Cherté des intrants et des équipements ;</w:t>
            </w:r>
          </w:p>
          <w:p>
            <w:pPr>
              <w:pStyle w:val="Normal"/>
              <w:numPr>
                <w:ilvl w:val="0"/>
                <w:numId w:val="17"/>
              </w:numPr>
              <w:rPr>
                <w:rStyle w:val="Strong"/>
                <w:b w:val="false"/>
                <w:bCs w:val="false"/>
              </w:rPr>
            </w:pPr>
            <w:r>
              <w:rPr>
                <w:rStyle w:val="Strong"/>
                <w:b w:val="false"/>
                <w:bCs w:val="false"/>
              </w:rPr>
              <w:t>Risque de mévente si la qualité ou la conservation n’est pas conforme ;</w:t>
            </w:r>
          </w:p>
          <w:p>
            <w:pPr>
              <w:pStyle w:val="Normal"/>
              <w:numPr>
                <w:ilvl w:val="0"/>
                <w:numId w:val="17"/>
              </w:numPr>
              <w:rPr>
                <w:rStyle w:val="Strong"/>
                <w:b w:val="false"/>
                <w:bCs w:val="false"/>
              </w:rPr>
            </w:pPr>
            <w:r>
              <w:rPr>
                <w:rStyle w:val="Strong"/>
                <w:b w:val="false"/>
                <w:bCs w:val="false"/>
              </w:rPr>
              <w:t>Rareté de la main-d’œuvre qualifiée ;</w:t>
            </w:r>
          </w:p>
          <w:p>
            <w:pPr>
              <w:pStyle w:val="Normal"/>
              <w:numPr>
                <w:ilvl w:val="0"/>
                <w:numId w:val="17"/>
              </w:numPr>
              <w:rPr>
                <w:rStyle w:val="Strong"/>
                <w:b w:val="false"/>
                <w:bCs w:val="false"/>
              </w:rPr>
            </w:pPr>
            <w:r>
              <w:rPr>
                <w:rStyle w:val="Strong"/>
                <w:b w:val="false"/>
                <w:bCs w:val="false"/>
              </w:rPr>
              <w:t>Risque de remboursement du crédit en cas d’aléa.</w:t>
            </w:r>
          </w:p>
          <w:p>
            <w:pPr>
              <w:pStyle w:val="Normal"/>
              <w:rPr>
                <w:rStyle w:val="Strong"/>
                <w:b/>
                <w:bCs w:val="false"/>
                <w:sz w:val="22"/>
                <w:szCs w:val="22"/>
              </w:rPr>
            </w:pPr>
            <w:r>
              <w:rPr/>
            </w:r>
          </w:p>
        </w:tc>
      </w:tr>
    </w:tbl>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5"/>
        </w:numPr>
        <w:spacing w:before="0" w:after="0"/>
        <w:ind w:hanging="431" w:start="431" w:end="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 :</w:t>
      </w:r>
    </w:p>
    <w:p>
      <w:pPr>
        <w:pStyle w:val="Normal"/>
        <w:jc w:val="both"/>
        <w:rPr/>
      </w:pPr>
      <w:r>
        <w:rPr>
          <w:sz w:val="22"/>
          <w:szCs w:val="22"/>
        </w:rPr>
        <w:t>En examinant les ratios de rentabilité économique et financière, on peut affirmer que le présent projet est rentable et contribue à la création de cinq (5) emplois permanents (1 promoteur, 1 agronome, 3 ouvriers) ainsi que de dix (10) à quinze (15) emplois saisonniers pour les pics d’activité. Le taux de rentabilité interne (</w:t>
      </w:r>
      <w:r>
        <w:rPr>
          <w:b/>
          <w:bCs/>
          <w:sz w:val="22"/>
          <w:szCs w:val="22"/>
        </w:rPr>
        <w:t>21 %</w:t>
      </w:r>
      <w:r>
        <w:rPr>
          <w:sz w:val="22"/>
          <w:szCs w:val="22"/>
        </w:rPr>
        <w:t>), la valeur actuelle nette (</w:t>
      </w:r>
      <w:r>
        <w:rPr>
          <w:b/>
          <w:bCs/>
          <w:sz w:val="22"/>
          <w:szCs w:val="22"/>
        </w:rPr>
        <w:t>6 876 214 F CFA</w:t>
      </w:r>
      <w:r>
        <w:rPr>
          <w:sz w:val="22"/>
          <w:szCs w:val="22"/>
        </w:rPr>
        <w:t xml:space="preserve">) ainsi que le délai de récupération des capitaux investis (2 ans et 11 mois) corroborent la rentabilité du projet de création de l’entreprise </w:t>
      </w:r>
      <w:r>
        <w:rPr>
          <w:b/>
          <w:bCs/>
          <w:sz w:val="22"/>
          <w:szCs w:val="22"/>
        </w:rPr>
        <w:t>FERME NAGRO</w:t>
      </w:r>
      <w:r>
        <w:rPr>
          <w:sz w:val="22"/>
          <w:szCs w:val="22"/>
        </w:rPr>
        <w:t xml:space="preserve"> dans la production et la commercialisation de produits maraîchers et céréaliers de qualité sur une superficie de 5 hectares à Fiah. L’existence des structures d’accompagnement, notamment l’APEJ et l’OIT à travers le projet </w:t>
      </w:r>
      <w:r>
        <w:rPr>
          <w:b/>
          <w:bCs/>
          <w:sz w:val="22"/>
          <w:szCs w:val="22"/>
        </w:rPr>
        <w:t>AN KA BAARA</w:t>
      </w:r>
      <w:r>
        <w:rPr>
          <w:sz w:val="22"/>
          <w:szCs w:val="22"/>
        </w:rPr>
        <w:t>, me permettra d’investir dans ma parcelle, de bénéficier d’un accompagnement technique et de rembourser les prêts contractés.</w:t>
      </w:r>
    </w:p>
    <w:sectPr>
      <w:headerReference w:type="default" r:id="rId2"/>
      <w:headerReference w:type="first" r:id="rId3"/>
      <w:footerReference w:type="default" r:id="rId4"/>
      <w:footerReference w:type="first" r:id="rId5"/>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Aptos">
    <w:altName w:val="Arial"/>
    <w:charset w:val="00" w:characterSet="windows-1252"/>
    <w:family w:val="roman"/>
    <w:pitch w:val="default"/>
  </w:font>
  <w:font w:name="Aptos Display">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family w:val="swiss"/>
    <w:pitch w:val="variable"/>
  </w:font>
  <w:font w:name="Calibri">
    <w:charset w:val="00" w:characterSet="windows-1252"/>
    <w:family w:val="swiss"/>
    <w:pitch w:val="variable"/>
  </w:font>
  <w:font w:name="Trebuchet MS">
    <w:charset w:val="00" w:characterSet="windows-1252"/>
    <w:family w:val="swiss"/>
    <w:pitch w:val="variable"/>
  </w:font>
  <w:font w:name="Garamond">
    <w:charset w:val="00" w:characterSet="windows-1252"/>
    <w:family w:val="roman"/>
    <w:pitch w:val="variable"/>
  </w:font>
  <w:font w:name="Segoe UI">
    <w:charset w:val="00" w:characterSet="windows-1252"/>
    <w:family w:val="swiss"/>
    <w:pitch w:val="variable"/>
  </w:font>
  <w:font w:name="Cambira">
    <w:altName w:val="Cambria"/>
    <w:charset w:val="00" w:characterSet="windows-1252"/>
    <w:family w:val="roman"/>
    <w:pitch w:val="default"/>
  </w:font>
  <w:font w:name="Courier New">
    <w:charset w:val="00" w:characterSet="windows-1252"/>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20</w:t>
    </w:r>
    <w:r>
      <w:rPr/>
      <w:fldChar w:fldCharType="end"/>
    </w:r>
  </w:p>
  <w:p>
    <w:pPr>
      <w:pStyle w:val="Footer"/>
      <w:rPr>
        <w:rFonts w:ascii="Cambria" w:hAnsi="Cambria" w:cs="Cambria"/>
        <w:sz w:val="20"/>
      </w:rPr>
    </w:pPr>
    <w:r>
      <w:rPr>
        <w:rFonts w:cs="Cambria" w:ascii="Cambria" w:hAnsi="Cambria"/>
        <w:sz w:val="2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outlineLvl w:val="3"/>
      <w:rPr>
        <w:sz w:val="20"/>
        <w:szCs w:val="20"/>
      </w:rPr>
    </w:pPr>
    <w:r>
      <w:rPr>
        <w:sz w:val="20"/>
        <w:szCs w:val="2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0" distT="0" distB="0" distL="114935" distR="114935" simplePos="0" locked="0" layoutInCell="0" allowOverlap="1" relativeHeight="6">
          <wp:simplePos x="0" y="0"/>
          <wp:positionH relativeFrom="column">
            <wp:posOffset>2243455</wp:posOffset>
          </wp:positionH>
          <wp:positionV relativeFrom="paragraph">
            <wp:posOffset>64770</wp:posOffset>
          </wp:positionV>
          <wp:extent cx="1066800" cy="815340"/>
          <wp:effectExtent l="0" t="0" r="0" b="0"/>
          <wp:wrapSquare wrapText="bothSides"/>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1"/>
                  <a:srcRect l="-53" t="-40" r="-53" b="-40"/>
                  <a:stretch>
                    <a:fillRect/>
                  </a:stretch>
                </pic:blipFill>
                <pic:spPr bwMode="auto">
                  <a:xfrm>
                    <a:off x="0" y="0"/>
                    <a:ext cx="1066800" cy="815340"/>
                  </a:xfrm>
                  <a:prstGeom prst="rect">
                    <a:avLst/>
                  </a:prstGeom>
                </pic:spPr>
              </pic:pic>
            </a:graphicData>
          </a:graphic>
        </wp:anchor>
      </w:drawing>
    </w:r>
    <w:r>
      <w:rPr>
        <w:sz w:val="144"/>
        <w:szCs w:val="144"/>
        <w:lang w:val="en-US" w:eastAsia="en-US"/>
      </w:rPr>
      <w:drawing>
        <wp:inline distT="0" distB="0" distL="0" distR="0">
          <wp:extent cx="925830" cy="845820"/>
          <wp:effectExtent l="0" t="0" r="0" b="0"/>
          <wp:docPr id="4" name="Imag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 descr="" title=""/>
                  <pic:cNvPicPr>
                    <a:picLocks noChangeAspect="1" noChangeArrowheads="1"/>
                  </pic:cNvPicPr>
                </pic:nvPicPr>
                <pic:blipFill>
                  <a:blip r:embed="rId2"/>
                  <a:srcRect l="-57" t="-57" r="-57" b="-57"/>
                  <a:stretch>
                    <a:fillRect/>
                  </a:stretch>
                </pic:blipFill>
                <pic:spPr bwMode="auto">
                  <a:xfrm>
                    <a:off x="0" y="0"/>
                    <a:ext cx="925830" cy="845820"/>
                  </a:xfrm>
                  <a:prstGeom prst="rect">
                    <a:avLst/>
                  </a:prstGeom>
                </pic:spPr>
              </pic:pic>
            </a:graphicData>
          </a:graphic>
        </wp:inline>
      </w:drawing>
    </w:r>
    <w:r>
      <w:rPr/>
      <w:tab/>
      <w:tab/>
      <w:tab/>
      <w:t xml:space="preserve">            </w:t>
    </w:r>
    <w:r>
      <w:rPr>
        <w:lang w:val="en-US" w:eastAsia="en-US"/>
      </w:rPr>
      <w:drawing>
        <wp:inline distT="0" distB="0" distL="0" distR="0">
          <wp:extent cx="1003300" cy="773430"/>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3"/>
                  <a:srcRect l="-202" t="-202" r="-202" b="-202"/>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6"/>
      <w:numFmt w:val="decimal"/>
      <w:lvlText w:val="%1"/>
      <w:lvlJc w:val="start"/>
      <w:pPr>
        <w:tabs>
          <w:tab w:val="num" w:pos="2475"/>
        </w:tabs>
        <w:ind w:start="2835" w:hanging="360"/>
      </w:pPr>
    </w:lvl>
    <w:lvl w:ilvl="1">
      <w:start w:val="1"/>
      <w:numFmt w:val="decimal"/>
      <w:lvlText w:val="%1.%2"/>
      <w:lvlJc w:val="start"/>
      <w:pPr>
        <w:tabs>
          <w:tab w:val="num" w:pos="2475"/>
        </w:tabs>
        <w:ind w:start="3195" w:hanging="360"/>
      </w:pPr>
    </w:lvl>
    <w:lvl w:ilvl="2">
      <w:start w:val="1"/>
      <w:numFmt w:val="decimal"/>
      <w:lvlText w:val="%1.%2.%3"/>
      <w:lvlJc w:val="start"/>
      <w:pPr>
        <w:tabs>
          <w:tab w:val="num" w:pos="2475"/>
        </w:tabs>
        <w:ind w:start="3195" w:hanging="720"/>
      </w:pPr>
    </w:lvl>
    <w:lvl w:ilvl="3">
      <w:start w:val="1"/>
      <w:numFmt w:val="decimal"/>
      <w:lvlText w:val="%1.%2.%3.%4"/>
      <w:lvlJc w:val="start"/>
      <w:pPr>
        <w:tabs>
          <w:tab w:val="num" w:pos="2475"/>
        </w:tabs>
        <w:ind w:start="4635" w:hanging="1080"/>
      </w:pPr>
    </w:lvl>
    <w:lvl w:ilvl="4">
      <w:start w:val="1"/>
      <w:numFmt w:val="decimal"/>
      <w:lvlText w:val="%1.%2.%3.%4.%5"/>
      <w:lvlJc w:val="start"/>
      <w:pPr>
        <w:tabs>
          <w:tab w:val="num" w:pos="2475"/>
        </w:tabs>
        <w:ind w:start="4995" w:hanging="1080"/>
      </w:pPr>
    </w:lvl>
    <w:lvl w:ilvl="5">
      <w:start w:val="1"/>
      <w:numFmt w:val="decimal"/>
      <w:lvlText w:val="%1.%2.%3.%4.%5.%6"/>
      <w:lvlJc w:val="start"/>
      <w:pPr>
        <w:tabs>
          <w:tab w:val="num" w:pos="2475"/>
        </w:tabs>
        <w:ind w:start="5715" w:hanging="1440"/>
      </w:pPr>
    </w:lvl>
    <w:lvl w:ilvl="6">
      <w:start w:val="1"/>
      <w:numFmt w:val="decimal"/>
      <w:lvlText w:val="%1.%2.%3.%4.%5.%6.%7"/>
      <w:lvlJc w:val="start"/>
      <w:pPr>
        <w:tabs>
          <w:tab w:val="num" w:pos="2475"/>
        </w:tabs>
        <w:ind w:start="6075" w:hanging="1440"/>
      </w:pPr>
    </w:lvl>
    <w:lvl w:ilvl="7">
      <w:start w:val="1"/>
      <w:numFmt w:val="decimal"/>
      <w:lvlText w:val="%1.%2.%3.%4.%5.%6.%7.%8"/>
      <w:lvlJc w:val="start"/>
      <w:pPr>
        <w:tabs>
          <w:tab w:val="num" w:pos="2475"/>
        </w:tabs>
        <w:ind w:start="6795" w:hanging="1800"/>
      </w:pPr>
    </w:lvl>
    <w:lvl w:ilvl="8">
      <w:start w:val="1"/>
      <w:numFmt w:val="decimal"/>
      <w:lvlText w:val="%1.%2.%3.%4.%5.%6.%7.%8.%9"/>
      <w:lvlJc w:val="start"/>
      <w:pPr>
        <w:tabs>
          <w:tab w:val="num" w:pos="2475"/>
        </w:tabs>
        <w:ind w:start="7155" w:hanging="1800"/>
      </w:p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decimal"/>
      <w:lvlText w:val="%1."/>
      <w:lvlJc w:val="start"/>
      <w:pPr>
        <w:tabs>
          <w:tab w:val="num" w:pos="0"/>
        </w:tabs>
        <w:ind w:start="720" w:hanging="360"/>
      </w:p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9">
    <w:lvl w:ilvl="0">
      <w:start w:val="1"/>
      <w:numFmt w:val="upperRoman"/>
      <w:lvlText w:val="%1."/>
      <w:lvlJc w:val="start"/>
      <w:pPr>
        <w:tabs>
          <w:tab w:val="num" w:pos="0"/>
        </w:tabs>
        <w:ind w:start="1080" w:hanging="720"/>
      </w:pPr>
    </w:lvl>
    <w:lvl w:ilvl="1">
      <w:start w:val="1"/>
      <w:isLgl/>
      <w:numFmt w:val="decimal"/>
      <w:lvlText w:val="%1.%2"/>
      <w:lvlJc w:val="start"/>
      <w:pPr>
        <w:tabs>
          <w:tab w:val="num" w:pos="0"/>
        </w:tabs>
        <w:ind w:start="720" w:hanging="36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440" w:hanging="1080"/>
      </w:pPr>
    </w:lvl>
    <w:lvl w:ilvl="5">
      <w:start w:val="1"/>
      <w:isLgl/>
      <w:numFmt w:val="decimal"/>
      <w:lvlText w:val="%1.%2.%3.%4.%5.%6"/>
      <w:lvlJc w:val="start"/>
      <w:pPr>
        <w:tabs>
          <w:tab w:val="num" w:pos="0"/>
        </w:tabs>
        <w:ind w:start="1800" w:hanging="1440"/>
      </w:pPr>
    </w:lvl>
    <w:lvl w:ilvl="6">
      <w:start w:val="1"/>
      <w:isLgl/>
      <w:numFmt w:val="decimal"/>
      <w:lvlText w:val="%1.%2.%3.%4.%5.%6.%7"/>
      <w:lvlJc w:val="start"/>
      <w:pPr>
        <w:tabs>
          <w:tab w:val="num" w:pos="0"/>
        </w:tabs>
        <w:ind w:start="1800" w:hanging="1440"/>
      </w:pPr>
    </w:lvl>
    <w:lvl w:ilvl="7">
      <w:start w:val="1"/>
      <w:isLgl/>
      <w:numFmt w:val="decimal"/>
      <w:lvlText w:val="%1.%2.%3.%4.%5.%6.%7.%8"/>
      <w:lvlJc w:val="start"/>
      <w:pPr>
        <w:tabs>
          <w:tab w:val="num" w:pos="0"/>
        </w:tabs>
        <w:ind w:start="2160" w:hanging="1800"/>
      </w:pPr>
    </w:lvl>
    <w:lvl w:ilvl="8">
      <w:start w:val="1"/>
      <w:isLgl/>
      <w:numFmt w:val="decimal"/>
      <w:lvlText w:val="%1.%2.%3.%4.%5.%6.%7.%8.%9"/>
      <w:lvlJc w:val="start"/>
      <w:pPr>
        <w:tabs>
          <w:tab w:val="num" w:pos="0"/>
        </w:tabs>
        <w:ind w:start="2160" w:hanging="1800"/>
      </w:p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decimal"/>
      <w:lvlText w:val="%1."/>
      <w:lvlJc w:val="start"/>
      <w:pPr>
        <w:tabs>
          <w:tab w:val="num" w:pos="0"/>
        </w:tabs>
        <w:ind w:start="720" w:hanging="360"/>
      </w:pPr>
    </w:lvl>
    <w:lvl w:ilvl="1">
      <w:start w:val="1"/>
      <w:isLgl/>
      <w:numFmt w:val="decimal"/>
      <w:lvlText w:val="%1.%2"/>
      <w:lvlJc w:val="start"/>
      <w:pPr>
        <w:tabs>
          <w:tab w:val="num" w:pos="0"/>
        </w:tabs>
        <w:ind w:start="1080" w:hanging="72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800" w:hanging="1440"/>
      </w:pPr>
    </w:lvl>
    <w:lvl w:ilvl="5">
      <w:start w:val="1"/>
      <w:isLgl/>
      <w:numFmt w:val="decimal"/>
      <w:lvlText w:val="%1.%2.%3.%4.%5.%6"/>
      <w:lvlJc w:val="start"/>
      <w:pPr>
        <w:tabs>
          <w:tab w:val="num" w:pos="0"/>
        </w:tabs>
        <w:ind w:start="2160" w:hanging="1800"/>
      </w:pPr>
    </w:lvl>
    <w:lvl w:ilvl="6">
      <w:start w:val="1"/>
      <w:isLgl/>
      <w:numFmt w:val="decimal"/>
      <w:lvlText w:val="%1.%2.%3.%4.%5.%6.%7"/>
      <w:lvlJc w:val="start"/>
      <w:pPr>
        <w:tabs>
          <w:tab w:val="num" w:pos="0"/>
        </w:tabs>
        <w:ind w:start="2160" w:hanging="1800"/>
      </w:pPr>
    </w:lvl>
    <w:lvl w:ilvl="7">
      <w:start w:val="1"/>
      <w:isLgl/>
      <w:numFmt w:val="decimal"/>
      <w:lvlText w:val="%1.%2.%3.%4.%5.%6.%7.%8"/>
      <w:lvlJc w:val="start"/>
      <w:pPr>
        <w:tabs>
          <w:tab w:val="num" w:pos="0"/>
        </w:tabs>
        <w:ind w:start="2520" w:hanging="2160"/>
      </w:pPr>
    </w:lvl>
    <w:lvl w:ilvl="8">
      <w:start w:val="1"/>
      <w:isLgl/>
      <w:numFmt w:val="decimal"/>
      <w:lvlText w:val="%1.%2.%3.%4.%5.%6.%7.%8.%9"/>
      <w:lvlJc w:val="start"/>
      <w:pPr>
        <w:tabs>
          <w:tab w:val="num" w:pos="0"/>
        </w:tabs>
        <w:ind w:start="2880" w:hanging="2520"/>
      </w:pPr>
    </w:lvl>
  </w:abstractNum>
  <w:abstractNum w:abstractNumId="13">
    <w:lvl w:ilvl="0">
      <w:start w:val="2"/>
      <w:numFmt w:val="decimal"/>
      <w:lvlText w:val="%1"/>
      <w:lvlJc w:val="start"/>
      <w:pPr>
        <w:tabs>
          <w:tab w:val="num" w:pos="0"/>
        </w:tabs>
        <w:ind w:start="360" w:hanging="360"/>
      </w:pPr>
    </w:lvl>
    <w:lvl w:ilvl="1">
      <w:start w:val="1"/>
      <w:numFmt w:val="decimal"/>
      <w:lvlText w:val="%1.%2"/>
      <w:lvlJc w:val="start"/>
      <w:pPr>
        <w:tabs>
          <w:tab w:val="num" w:pos="0"/>
        </w:tabs>
        <w:ind w:start="1211" w:hanging="360"/>
      </w:pPr>
    </w:lvl>
    <w:lvl w:ilvl="2">
      <w:start w:val="1"/>
      <w:numFmt w:val="decimal"/>
      <w:lvlText w:val="%1.%2.%3"/>
      <w:lvlJc w:val="start"/>
      <w:pPr>
        <w:tabs>
          <w:tab w:val="num" w:pos="0"/>
        </w:tabs>
        <w:ind w:start="2422" w:hanging="720"/>
      </w:pPr>
    </w:lvl>
    <w:lvl w:ilvl="3">
      <w:start w:val="1"/>
      <w:numFmt w:val="decimal"/>
      <w:lvlText w:val="%1.%2.%3.%4"/>
      <w:lvlJc w:val="start"/>
      <w:pPr>
        <w:tabs>
          <w:tab w:val="num" w:pos="0"/>
        </w:tabs>
        <w:ind w:start="3633" w:hanging="1080"/>
      </w:pPr>
    </w:lvl>
    <w:lvl w:ilvl="4">
      <w:start w:val="1"/>
      <w:numFmt w:val="decimal"/>
      <w:lvlText w:val="%1.%2.%3.%4.%5"/>
      <w:lvlJc w:val="start"/>
      <w:pPr>
        <w:tabs>
          <w:tab w:val="num" w:pos="0"/>
        </w:tabs>
        <w:ind w:start="4484" w:hanging="1080"/>
      </w:pPr>
    </w:lvl>
    <w:lvl w:ilvl="5">
      <w:start w:val="1"/>
      <w:numFmt w:val="decimal"/>
      <w:lvlText w:val="%1.%2.%3.%4.%5.%6"/>
      <w:lvlJc w:val="start"/>
      <w:pPr>
        <w:tabs>
          <w:tab w:val="num" w:pos="0"/>
        </w:tabs>
        <w:ind w:start="5695" w:hanging="1440"/>
      </w:pPr>
    </w:lvl>
    <w:lvl w:ilvl="6">
      <w:start w:val="1"/>
      <w:numFmt w:val="decimal"/>
      <w:lvlText w:val="%1.%2.%3.%4.%5.%6.%7"/>
      <w:lvlJc w:val="start"/>
      <w:pPr>
        <w:tabs>
          <w:tab w:val="num" w:pos="0"/>
        </w:tabs>
        <w:ind w:start="6546" w:hanging="1440"/>
      </w:pPr>
    </w:lvl>
    <w:lvl w:ilvl="7">
      <w:start w:val="1"/>
      <w:numFmt w:val="decimal"/>
      <w:lvlText w:val="%1.%2.%3.%4.%5.%6.%7.%8"/>
      <w:lvlJc w:val="start"/>
      <w:pPr>
        <w:tabs>
          <w:tab w:val="num" w:pos="0"/>
        </w:tabs>
        <w:ind w:start="7757" w:hanging="1800"/>
      </w:pPr>
    </w:lvl>
    <w:lvl w:ilvl="8">
      <w:start w:val="1"/>
      <w:numFmt w:val="decimal"/>
      <w:lvlText w:val="%1.%2.%3.%4.%5.%6.%7.%8.%9"/>
      <w:lvlJc w:val="start"/>
      <w:pPr>
        <w:tabs>
          <w:tab w:val="num" w:pos="0"/>
        </w:tabs>
        <w:ind w:start="8608" w:hanging="1800"/>
      </w:pPr>
    </w:lvl>
  </w:abstractNum>
  <w:abstractNum w:abstractNumId="14">
    <w:lvl w:ilvl="0">
      <w:start w:val="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decimal"/>
      <w:lvlText w:val="%1."/>
      <w:lvlJc w:val="start"/>
      <w:pPr>
        <w:tabs>
          <w:tab w:val="num" w:pos="0"/>
        </w:tabs>
        <w:ind w:start="720" w:hanging="360"/>
      </w:pPr>
      <w:rPr>
        <w:b/>
        <w:bCs w:val="false"/>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7">
    <w:lvl w:ilvl="0">
      <w:start w:val="1"/>
      <w:numFmt w:val="bullet"/>
      <w:lvlText w:val=""/>
      <w:lvlJc w:val="start"/>
      <w:pPr>
        <w:tabs>
          <w:tab w:val="num" w:pos="567"/>
        </w:tabs>
        <w:ind w:start="567" w:hanging="283"/>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7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start="432" w:end="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start="432" w:end="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start="432" w:end="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start="432" w:end="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start="432" w:end="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start="432" w:end="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start="432" w:end="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start="432" w:end="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rPr>
  </w:style>
  <w:style w:type="character" w:styleId="WW8Num18z0">
    <w:name w:val="WW8Num18z0"/>
    <w:qFormat/>
    <w:rPr>
      <w:rFonts w:ascii="Symbol" w:hAnsi="Symbol" w:cs="Symbol"/>
      <w:sz w:val="20"/>
    </w:rPr>
  </w:style>
  <w:style w:type="character" w:styleId="WW8Num18z1">
    <w:name w:val="WW8Num18z1"/>
    <w:qFormat/>
    <w:rPr>
      <w:rFonts w:ascii="Courier New" w:hAnsi="Courier New" w:cs="Courier New"/>
      <w:sz w:val="20"/>
    </w:rPr>
  </w:style>
  <w:style w:type="character" w:styleId="WW8Num18z2">
    <w:name w:val="WW8Num18z2"/>
    <w:qFormat/>
    <w:rPr>
      <w:rFonts w:ascii="Wingdings" w:hAnsi="Wingdings" w:cs="Wingdings"/>
      <w:sz w:val="20"/>
    </w:rPr>
  </w:style>
  <w:style w:type="character" w:styleId="WW8Num19z0">
    <w:name w:val="WW8Num19z0"/>
    <w:qFormat/>
    <w:rPr>
      <w:rFonts w:ascii="Symbol" w:hAnsi="Symbol" w:cs="Symbol"/>
      <w:sz w:val="20"/>
    </w:rPr>
  </w:style>
  <w:style w:type="character" w:styleId="WW8Num19z1">
    <w:name w:val="WW8Num19z1"/>
    <w:qFormat/>
    <w:rPr>
      <w:rFonts w:ascii="Courier New" w:hAnsi="Courier New" w:cs="Courier New"/>
      <w:sz w:val="20"/>
    </w:rPr>
  </w:style>
  <w:style w:type="character" w:styleId="WW8Num19z2">
    <w:name w:val="WW8Num19z2"/>
    <w:qFormat/>
    <w:rPr>
      <w:rFonts w:ascii="Wingdings" w:hAnsi="Wingdings" w:cs="Wingdings"/>
      <w:sz w:val="20"/>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1z0">
    <w:name w:val="WW8Num21z0"/>
    <w:qFormat/>
    <w:rPr>
      <w:rFonts w:ascii="Symbol" w:hAnsi="Symbol" w:cs="Symbol"/>
    </w:rPr>
  </w:style>
  <w:style w:type="character" w:styleId="WW8Num23z0">
    <w:name w:val="WW8Num23z0"/>
    <w:qFormat/>
    <w:rPr>
      <w:rFonts w:ascii="Symbol" w:hAnsi="Symbol" w:cs="Symbol"/>
    </w:rPr>
  </w:style>
  <w:style w:type="character" w:styleId="WW8Num25z0">
    <w:name w:val="WW8Num25z0"/>
    <w:qFormat/>
    <w:rPr>
      <w:rFonts w:ascii="Symbol" w:hAnsi="Symbol" w:cs="Symbol"/>
      <w:sz w:val="20"/>
    </w:rPr>
  </w:style>
  <w:style w:type="character" w:styleId="WW8Num25z1">
    <w:name w:val="WW8Num25z1"/>
    <w:qFormat/>
    <w:rPr>
      <w:rFonts w:ascii="Courier New" w:hAnsi="Courier New" w:cs="Courier New"/>
      <w:sz w:val="20"/>
    </w:rPr>
  </w:style>
  <w:style w:type="character" w:styleId="WW8Num25z2">
    <w:name w:val="WW8Num25z2"/>
    <w:qFormat/>
    <w:rPr>
      <w:rFonts w:ascii="Wingdings" w:hAnsi="Wingdings" w:cs="Wingdings"/>
      <w:sz w:val="20"/>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29z0">
    <w:name w:val="WW8Num29z0"/>
    <w:qFormat/>
    <w:rPr>
      <w:b/>
      <w:bCs w:val="false"/>
    </w:rPr>
  </w:style>
  <w:style w:type="character" w:styleId="WW8Num30z0">
    <w:name w:val="WW8Num30z0"/>
    <w:qFormat/>
    <w:rPr>
      <w:rFonts w:ascii="Symbol" w:hAnsi="Symbol" w:cs="Symbol"/>
    </w:rPr>
  </w:style>
  <w:style w:type="character" w:styleId="WW8Num31z0">
    <w:name w:val="WW8Num31z0"/>
    <w:qFormat/>
    <w:rPr>
      <w:rFonts w:ascii="Symbol" w:hAnsi="Symbol" w:cs="Symbol"/>
      <w:sz w:val="20"/>
    </w:rPr>
  </w:style>
  <w:style w:type="character" w:styleId="WW8Num31z1">
    <w:name w:val="WW8Num31z1"/>
    <w:qFormat/>
    <w:rPr>
      <w:rFonts w:ascii="Courier New" w:hAnsi="Courier New" w:cs="Courier New"/>
      <w:sz w:val="20"/>
    </w:rPr>
  </w:style>
  <w:style w:type="character" w:styleId="WW8Num31z2">
    <w:name w:val="WW8Num31z2"/>
    <w:qFormat/>
    <w:rPr>
      <w:rFonts w:ascii="Wingdings" w:hAnsi="Wingdings" w:cs="Wingdings"/>
      <w:sz w:val="20"/>
    </w:rPr>
  </w:style>
  <w:style w:type="character" w:styleId="WW8Num32z0">
    <w:name w:val="WW8Num32z0"/>
    <w:qFormat/>
    <w:rPr>
      <w:rFonts w:ascii="Symbol" w:hAnsi="Symbol" w:cs="Symbol"/>
      <w:sz w:val="20"/>
    </w:rPr>
  </w:style>
  <w:style w:type="character" w:styleId="WW8Num32z1">
    <w:name w:val="WW8Num32z1"/>
    <w:qFormat/>
    <w:rPr>
      <w:rFonts w:ascii="Courier New" w:hAnsi="Courier New" w:cs="Courier New"/>
      <w:sz w:val="20"/>
    </w:rPr>
  </w:style>
  <w:style w:type="character" w:styleId="WW8Num32z2">
    <w:name w:val="WW8Num32z2"/>
    <w:qFormat/>
    <w:rPr>
      <w:rFonts w:ascii="Wingdings" w:hAnsi="Wingdings" w:cs="Wingdings"/>
      <w:sz w:val="20"/>
    </w:rPr>
  </w:style>
  <w:style w:type="character" w:styleId="WW8Num33z0">
    <w:name w:val="WW8Num33z0"/>
    <w:qFormat/>
    <w:rPr>
      <w:rFonts w:ascii="Symbol" w:hAnsi="Symbol" w:cs="Symbol"/>
    </w:rPr>
  </w:style>
  <w:style w:type="character" w:styleId="WW8Num34z0">
    <w:name w:val="WW8Num34z0"/>
    <w:qFormat/>
    <w:rPr>
      <w:rFonts w:ascii="Symbol" w:hAnsi="Symbol" w:cs="Symbol"/>
    </w:rPr>
  </w:style>
  <w:style w:type="character" w:styleId="Policepardfaut">
    <w:name w:val="Police par défaut"/>
    <w:qFormat/>
    <w:rPr/>
  </w:style>
  <w:style w:type="character" w:styleId="WW8Num6z0">
    <w:name w:val="WW8Num6z0"/>
    <w:qFormat/>
    <w:rPr>
      <w:b/>
      <w:bCs w:val="false"/>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start="720" w:end="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pPr>
    <w:rPr>
      <w:rFonts w:ascii="Calibri" w:hAnsi="Calibri" w:eastAsia="Times New Roman" w:cs="Calibri"/>
      <w:color w:val="auto"/>
      <w:sz w:val="22"/>
      <w:szCs w:val="22"/>
      <w:lang w:val="en-US" w:eastAsia="zh-CN" w:bidi="ar-SA"/>
    </w:rPr>
  </w:style>
  <w:style w:type="paragraph" w:styleId="En-ttedetabledesmatires">
    <w:name w:val="En-tête de table des matières"/>
    <w:basedOn w:val="Heading1"/>
    <w:next w:val="Normal"/>
    <w:qFormat/>
    <w:pPr>
      <w:keepLines/>
      <w:numPr>
        <w:ilvl w:val="0"/>
        <w:numId w:val="14"/>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start="240" w:end="0"/>
    </w:pPr>
    <w:rPr>
      <w:rFonts w:ascii="Trebuchet MS" w:hAnsi="Trebuchet MS" w:cs="Trebuchet MS"/>
      <w:lang w:val="en-US"/>
    </w:rPr>
  </w:style>
  <w:style w:type="paragraph" w:styleId="TOC3">
    <w:name w:val="TOC 3"/>
    <w:basedOn w:val="Normal"/>
    <w:next w:val="Normal"/>
    <w:pPr>
      <w:ind w:hanging="0" w:start="480" w:end="0"/>
    </w:pPr>
    <w:rPr>
      <w:rFonts w:ascii="Trebuchet MS" w:hAnsi="Trebuchet MS" w:cs="Trebuchet MS"/>
      <w:lang w:val="en-US"/>
    </w:rPr>
  </w:style>
  <w:style w:type="paragraph" w:styleId="Sansinterligne">
    <w:name w:val="Sans interligne"/>
    <w:qFormat/>
    <w:pPr>
      <w:widowControl/>
      <w:suppressAutoHyphens w:val="true"/>
      <w:bidi w:val="0"/>
    </w:pPr>
    <w:rPr>
      <w:rFonts w:ascii="Aptos;Arial;Calibri" w:hAnsi="Aptos;Arial;Calibri" w:eastAsia="Times New Roman" w:cs="Aptos;Arial;Calibri"/>
      <w:color w:val="auto"/>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2026-10-10T16:11:00Z</dcterms:created>
  <dc:creator>STEP</dc:creator>
  <dc:description/>
  <cp:keywords/>
  <dc:language>en-US</dc:language>
  <cp:lastModifiedBy>DELL</cp:lastModifiedBy>
  <cp:lastPrinted>2025-07-23T09:16:00Z</cp:lastPrinted>
  <dcterms:modified xsi:type="dcterms:W3CDTF">2026-10-10T19:32:00Z</dcterms:modified>
  <cp:revision>6</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