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10">
                <wp:simplePos x="0" y="0"/>
                <wp:positionH relativeFrom="margin">
                  <wp:posOffset>-331470</wp:posOffset>
                </wp:positionH>
                <wp:positionV relativeFrom="page">
                  <wp:posOffset>3060700</wp:posOffset>
                </wp:positionV>
                <wp:extent cx="6555105" cy="131445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6631305" cy="139065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522.15pt;height:109.5pt;mso-wrap-distance-left:14.4pt;mso-wrap-distance-right:14.4pt;mso-wrap-distance-top:0pt;mso-wrap-distance-bottom:0pt;margin-top:241pt;mso-position-vertical-relative:page;margin-left:-26.1pt;mso-position-horizontal-relative:margin">
                <v:shadow on="t" color="#074E69" offset="6pt,6pt"/>
                <v:fill type="gradient" angle="-180" color2="#95DCF7"/>
                <v:textbox inset="0in,0in,0in,0in">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Zangolo Diarra</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223 76 18 86 49 / 66 18 86 49</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Slogan</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i/>
                <w:i/>
                <w:iCs/>
              </w:rPr>
            </w:pPr>
            <w:r>
              <w:rPr>
                <w:i/>
                <w:iCs/>
              </w:rPr>
              <w:t>Le goût naturel des fruits du Mali.</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Email </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w:t>
            </w:r>
            <w:r>
              <w:rPr/>
              <w:t>entreprise.flafla@gmail.com</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Kati-Farada, près du pont – Région de Koulikoro</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Transformation agroalimentaire – Jus et nectars de fruits</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9">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Zangolo Diarra</w:t>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7 800 000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780 000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7 020 000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18 000 000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18 360 000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18 727 200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6 519 662</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6 598 241</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6 525 977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7 794 662</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7 823 241</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7 750 977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96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0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1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6"/>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bookmarkStart w:id="3" w:name="__RefHeading___Toc234831693"/>
    </w:p>
    <w:p>
      <w:pPr>
        <w:pStyle w:val="Heading2"/>
        <w:keepLines/>
        <w:tabs>
          <w:tab w:val="clear" w:pos="0"/>
        </w:tabs>
        <w:spacing w:before="120" w:after="120"/>
        <w:ind w:hanging="0" w:start="0" w:end="0"/>
        <w:jc w:val="both"/>
        <w:rPr>
          <w:rFonts w:ascii="Times New Roman" w:hAnsi="Times New Roman" w:cs="Times New Roman"/>
          <w:i w:val="false"/>
          <w:i w:val="false"/>
          <w:iCs w:val="false"/>
          <w:sz w:val="24"/>
          <w:szCs w:val="24"/>
          <w:lang w:val="fr-CI"/>
        </w:rPr>
      </w:pPr>
      <w:r>
        <w:rPr>
          <w:rFonts w:cs="Times New Roman" w:ascii="Times New Roman" w:hAnsi="Times New Roman"/>
          <w:b w:val="false"/>
          <w:bCs w:val="false"/>
          <w:i w:val="false"/>
          <w:iCs w:val="false"/>
          <w:sz w:val="22"/>
          <w:szCs w:val="22"/>
        </w:rPr>
        <w:t>Je me nomme Zangolo DIARRA, jeune entrepreneur résidant à Kati-Farada, près du pont, dans la région de Koulikoro. Depuis plusieurs années, je pratique la transformation artisanale de fruits locaux et je maîtrise les techniques de production de jus et nectars à base de mangue, d’orange, de tamarin et de zaban. Mon expérience de terrain et ma connaissance du marché local me permettent aujourd’hui d’envisager la création d’une unité de transformation artisanale, puis semi-industrielle, pour répondre à la demande croissante des marchés de Kati, Bamako et de ses environs. C’est dans cette dynamique que je crée mon entreprise FLAFLA, un nom qui exprime à la fois la qualité de mes produits, la nature de mon produit (les fruits locaux) et la promesse de saveurs authentiques.</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r>
        <w:rPr>
          <w:rFonts w:cs="Times New Roman" w:ascii="Times New Roman" w:hAnsi="Times New Roman"/>
          <w:i w:val="false"/>
          <w:iCs w:val="false"/>
          <w:sz w:val="24"/>
          <w:szCs w:val="24"/>
          <w:lang w:val="fr-CI"/>
        </w:rPr>
        <w:t>Description du projet :</w:t>
      </w:r>
      <w:bookmarkEnd w:id="3"/>
    </w:p>
    <w:p>
      <w:pPr>
        <w:pStyle w:val="Normal"/>
        <w:shd w:fill="FFFFFF" w:val="clear"/>
        <w:suppressAutoHyphens w:val="false"/>
        <w:spacing w:before="0" w:after="240"/>
        <w:rPr>
          <w:sz w:val="22"/>
          <w:szCs w:val="22"/>
        </w:rPr>
      </w:pPr>
      <w:bookmarkStart w:id="4" w:name="__RefHeading___Toc234831694"/>
      <w:r>
        <w:rPr>
          <w:rFonts w:cs="Segoe UI" w:ascii="Segoe UI" w:hAnsi="Segoe UI"/>
          <w:color w:val="0F1115"/>
          <w:sz w:val="22"/>
          <w:szCs w:val="22"/>
          <w:lang w:eastAsia="fr-FR"/>
        </w:rPr>
        <w:t xml:space="preserve">Le </w:t>
      </w:r>
      <w:r>
        <w:rPr>
          <w:sz w:val="22"/>
          <w:szCs w:val="22"/>
        </w:rPr>
        <w:t>projet est basé sur la création d’une entreprise de transformation agroalimentaire spécialisée dans la valorisation des fruits locaux, sous la marque FLAFLA. Il s’agit d’aménager une unité artisanale de transformation à Kati-Farada, près du pont, pour produire des jus et nectars 100 % naturels à base de mangue, d’orange et de tamarin/zaban. L’entreprise prévoit l’installation d’équipements de transformation : presse/pulpeuse, pasteurisateur, cuve de mélange, broyeur/mixeur, filtre, balance de précision, réfrigérateur/congélateur et matériel d’emballage pour optimiser la production. Pour cette première campagne, l’entreprise a besoin de s’approvisionner en fruits locaux de variétés adaptées à la transformation. La production sera orientée vers trois produits : jus de mangue (bouteilles 50 cl et 1 L), jus d’orange (bouteilles 50 cl et 1 L) et jus de tamarin/zaban (bouteilles 50 cl et 1 L). Le cycle de transformation est court et permet une commercialisation régulière sur les marchés. Ce projet contribuera à réduire les pertes post-récolte, à approvisionner les marchés de Kati, Bamako et environs en produits transformés sains et nutritifs, tout en créant des emplois pour les jeunes et les femmes de la localité. Il vise un chiffre d’affaires annuel de 18 000 000 F CFA et s’inscrit dans une dynamique de sécurité alimentaire et de valorisation des ressources locales. Pour garantir la réussite de cette transformation, le choix des variétés de fruits est un élément déterminant. La mangue, dont le nom scientifique est Mangifera indica L., l’orange, Citrus sinensis (L.) Osbeck, et le tamarinier, Tamarindus indica L., sont des espèces riches en glucides, en vitamines A et C, et adaptées aux climats chauds. Le tableau ci-dessous présente les variétés recommandées pour la transformation à Kati-Farada, sélectionnées pour leur rendement, leur taux de sucre, leur couleur et leur aptitude à la transformation (jus, nectar</w:t>
      </w:r>
      <w:r>
        <w:rPr>
          <w:rFonts w:cs="Segoe UI" w:ascii="Segoe UI" w:hAnsi="Segoe UI"/>
          <w:color w:val="0F1115"/>
          <w:sz w:val="22"/>
          <w:szCs w:val="22"/>
          <w:lang w:eastAsia="fr-FR"/>
        </w:rPr>
        <w:t>).</w:t>
      </w:r>
    </w:p>
    <w:tbl>
      <w:tblPr>
        <w:tblW w:w="9885" w:type="dxa"/>
        <w:jc w:val="start"/>
        <w:tblInd w:w="-5" w:type="dxa"/>
        <w:tblLayout w:type="fixed"/>
        <w:tblCellMar>
          <w:top w:w="150" w:type="dxa"/>
          <w:start w:w="0" w:type="dxa"/>
          <w:bottom w:w="150" w:type="dxa"/>
          <w:end w:w="240" w:type="dxa"/>
        </w:tblCellMar>
      </w:tblPr>
      <w:tblGrid>
        <w:gridCol w:w="1435"/>
        <w:gridCol w:w="1910"/>
        <w:gridCol w:w="2590"/>
        <w:gridCol w:w="3950"/>
      </w:tblGrid>
      <w:tr>
        <w:trPr>
          <w:tblHeader w:val="true"/>
        </w:trPr>
        <w:tc>
          <w:tcPr>
            <w:tcW w:w="143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sz w:val="22"/>
                <w:szCs w:val="22"/>
              </w:rPr>
            </w:pPr>
            <w:r>
              <w:rPr>
                <w:b/>
                <w:bCs/>
                <w:sz w:val="22"/>
                <w:szCs w:val="22"/>
              </w:rPr>
              <w:t>Fruit</w:t>
            </w:r>
          </w:p>
        </w:tc>
        <w:tc>
          <w:tcPr>
            <w:tcW w:w="191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2"/>
                <w:szCs w:val="22"/>
              </w:rPr>
            </w:pPr>
            <w:r>
              <w:rPr>
                <w:b/>
                <w:bCs/>
                <w:sz w:val="22"/>
                <w:szCs w:val="22"/>
              </w:rPr>
              <w:t>Nom scientifique</w:t>
            </w:r>
          </w:p>
        </w:tc>
        <w:tc>
          <w:tcPr>
            <w:tcW w:w="25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2"/>
                <w:szCs w:val="22"/>
              </w:rPr>
            </w:pPr>
            <w:r>
              <w:rPr>
                <w:b/>
                <w:bCs/>
                <w:sz w:val="22"/>
                <w:szCs w:val="22"/>
              </w:rPr>
              <w:t>Variétés recommandées</w:t>
            </w:r>
          </w:p>
        </w:tc>
        <w:tc>
          <w:tcPr>
            <w:tcW w:w="395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2"/>
                <w:szCs w:val="22"/>
              </w:rPr>
            </w:pPr>
            <w:r>
              <w:rPr>
                <w:b/>
                <w:bCs/>
                <w:sz w:val="22"/>
                <w:szCs w:val="22"/>
              </w:rPr>
              <w:t>Atouts pour la transformation</w:t>
            </w:r>
          </w:p>
        </w:tc>
      </w:tr>
      <w:tr>
        <w:trPr/>
        <w:tc>
          <w:tcPr>
            <w:tcW w:w="143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2"/>
                <w:szCs w:val="22"/>
              </w:rPr>
            </w:pPr>
            <w:r>
              <w:rPr>
                <w:sz w:val="22"/>
                <w:szCs w:val="22"/>
              </w:rPr>
              <w:t>Mangue</w:t>
            </w:r>
          </w:p>
        </w:tc>
        <w:tc>
          <w:tcPr>
            <w:tcW w:w="191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Mangifera indica</w:t>
            </w:r>
          </w:p>
        </w:tc>
        <w:tc>
          <w:tcPr>
            <w:tcW w:w="25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Kent, Keitt, Amélie, local</w:t>
            </w:r>
          </w:p>
        </w:tc>
        <w:tc>
          <w:tcPr>
            <w:tcW w:w="395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2"/>
                <w:szCs w:val="22"/>
              </w:rPr>
            </w:pPr>
            <w:r>
              <w:rPr>
                <w:sz w:val="22"/>
                <w:szCs w:val="22"/>
              </w:rPr>
              <w:t>Chair juteuse, taux de sucre élevé, bonne aptitude au jus</w:t>
            </w:r>
          </w:p>
        </w:tc>
      </w:tr>
      <w:tr>
        <w:trPr/>
        <w:tc>
          <w:tcPr>
            <w:tcW w:w="143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2"/>
                <w:szCs w:val="22"/>
              </w:rPr>
            </w:pPr>
            <w:r>
              <w:rPr>
                <w:sz w:val="22"/>
                <w:szCs w:val="22"/>
              </w:rPr>
              <w:t>Orange</w:t>
            </w:r>
          </w:p>
        </w:tc>
        <w:tc>
          <w:tcPr>
            <w:tcW w:w="191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Citrus sinensis</w:t>
            </w:r>
          </w:p>
        </w:tc>
        <w:tc>
          <w:tcPr>
            <w:tcW w:w="25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Valencia, Washington Navel</w:t>
            </w:r>
          </w:p>
        </w:tc>
        <w:tc>
          <w:tcPr>
            <w:tcW w:w="395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2"/>
                <w:szCs w:val="22"/>
              </w:rPr>
            </w:pPr>
            <w:r>
              <w:rPr>
                <w:sz w:val="22"/>
                <w:szCs w:val="22"/>
              </w:rPr>
              <w:t>Jus abondant, acidité équilibrée, riche en vitamine C</w:t>
            </w:r>
          </w:p>
        </w:tc>
      </w:tr>
      <w:tr>
        <w:trPr/>
        <w:tc>
          <w:tcPr>
            <w:tcW w:w="143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2"/>
                <w:szCs w:val="22"/>
              </w:rPr>
            </w:pPr>
            <w:r>
              <w:rPr>
                <w:sz w:val="22"/>
                <w:szCs w:val="22"/>
              </w:rPr>
              <w:t>Tamarin / Zaban</w:t>
            </w:r>
          </w:p>
        </w:tc>
        <w:tc>
          <w:tcPr>
            <w:tcW w:w="191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Tamarindus indica</w:t>
            </w:r>
          </w:p>
        </w:tc>
        <w:tc>
          <w:tcPr>
            <w:tcW w:w="259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2"/>
                <w:szCs w:val="22"/>
              </w:rPr>
            </w:pPr>
            <w:r>
              <w:rPr>
                <w:sz w:val="22"/>
                <w:szCs w:val="22"/>
              </w:rPr>
              <w:t>Variétés locales</w:t>
            </w:r>
          </w:p>
        </w:tc>
        <w:tc>
          <w:tcPr>
            <w:tcW w:w="395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2"/>
                <w:szCs w:val="22"/>
              </w:rPr>
            </w:pPr>
            <w:r>
              <w:rPr>
                <w:sz w:val="22"/>
                <w:szCs w:val="22"/>
              </w:rPr>
              <w:t>Pulpe parfumée, saveur acidulée, adaptée aux nectars</w:t>
            </w:r>
          </w:p>
        </w:tc>
      </w:tr>
    </w:tbl>
    <w:p>
      <w:pPr>
        <w:pStyle w:val="Normal"/>
        <w:shd w:fill="FFFFFF" w:val="clear"/>
        <w:suppressAutoHyphens w:val="false"/>
        <w:spacing w:before="240" w:after="0"/>
        <w:rPr>
          <w:sz w:val="22"/>
          <w:szCs w:val="22"/>
        </w:rPr>
      </w:pPr>
      <w:r>
        <w:rPr>
          <w:sz w:val="22"/>
          <w:szCs w:val="22"/>
        </w:rPr>
        <w:t>Ces variétés sont soit des variétés locales (landraces) sélectionnées par les agriculteurs maliens pour leur robustesse, soit des variétés améliorées éprouvées dans les conditions sahéliennes. Leur transformation à Kati-Farada, avec un système de pasteurisation maîtrisé, permettra d’obtenir des jus et nectars de qualité supérieure, très appréciés des consommateurs de Kati, Bamako et environs.</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4"/>
      <w:r>
        <w:rPr>
          <w:rFonts w:cs="Times New Roman" w:ascii="Times New Roman" w:hAnsi="Times New Roman"/>
          <w:i w:val="false"/>
          <w:iCs w:val="false"/>
          <w:sz w:val="24"/>
          <w:szCs w:val="24"/>
          <w:lang w:val="fr-CI"/>
        </w:rPr>
        <w:t>Objectifs du projet :</w:t>
      </w:r>
      <w:bookmarkEnd w:id="5"/>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sz w:val="22"/>
          <w:szCs w:val="22"/>
        </w:rPr>
      </w:pPr>
      <w:r>
        <w:rPr>
          <w:bCs/>
          <w:sz w:val="22"/>
          <w:szCs w:val="22"/>
        </w:rPr>
        <w:t xml:space="preserve">Aménager et exploiter une </w:t>
      </w:r>
      <w:r>
        <w:rPr>
          <w:sz w:val="22"/>
          <w:szCs w:val="22"/>
        </w:rPr>
        <w:t xml:space="preserve">unité artisanale de transformation de fruits locaux à Kati-Farada, près du pont (Région de Koulikoro), pour la production et la commercialisation de jus et nectars 100 % naturels à base de mangue, d’orange, de tamarin et de zaban, conditionnés en bouteilles de 50 cl et 1 L, sous la marque FLAFLA, avec comme slogan : </w:t>
      </w:r>
      <w:r>
        <w:rPr>
          <w:i/>
          <w:iCs/>
          <w:sz w:val="22"/>
          <w:szCs w:val="22"/>
        </w:rPr>
        <w:t>Le goût naturel des fruits du Mali.</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bookmarkStart w:id="6" w:name="__RefHeading___Toc234831695"/>
      <w:r>
        <w:rPr>
          <w:sz w:val="22"/>
          <w:szCs w:val="22"/>
        </w:rPr>
        <w:t>Réaliser un chiffre d’affaires de 18 000 000 FCFA la première année d’exploitation de l’unité de transformation ;</w:t>
      </w:r>
    </w:p>
    <w:p>
      <w:pPr>
        <w:pStyle w:val="Normal"/>
        <w:numPr>
          <w:ilvl w:val="0"/>
          <w:numId w:val="7"/>
        </w:numPr>
        <w:rPr>
          <w:sz w:val="22"/>
          <w:szCs w:val="22"/>
        </w:rPr>
      </w:pPr>
      <w:r>
        <w:rPr>
          <w:sz w:val="22"/>
          <w:szCs w:val="22"/>
        </w:rPr>
        <w:t>Offrir sur le marché de Kati, Bamako et environs des jus et nectars 100 % naturels à base de mangue, d’orange, de tamarin et de zaban, de qualité, sains, nutritifs et de conservation facile, conditionnés en bouteilles de 50 cl et 1 L ;</w:t>
      </w:r>
    </w:p>
    <w:p>
      <w:pPr>
        <w:pStyle w:val="Normal"/>
        <w:numPr>
          <w:ilvl w:val="0"/>
          <w:numId w:val="7"/>
        </w:numPr>
        <w:rPr>
          <w:sz w:val="22"/>
          <w:szCs w:val="22"/>
        </w:rPr>
      </w:pPr>
      <w:r>
        <w:rPr>
          <w:sz w:val="22"/>
          <w:szCs w:val="22"/>
        </w:rPr>
        <w:t>Assurer la promotion d’une transformation agroalimentaire durable, valorisant les fruits locaux et limitant les additifs chimiques et les conservateurs ;</w:t>
      </w:r>
    </w:p>
    <w:p>
      <w:pPr>
        <w:pStyle w:val="Normal"/>
        <w:numPr>
          <w:ilvl w:val="0"/>
          <w:numId w:val="7"/>
        </w:numPr>
        <w:rPr>
          <w:sz w:val="22"/>
          <w:szCs w:val="22"/>
        </w:rPr>
      </w:pPr>
      <w:r>
        <w:rPr>
          <w:sz w:val="22"/>
          <w:szCs w:val="22"/>
        </w:rPr>
        <w:t>Produire 18 000 litres de jus naturels dès la première année d’exploitation ;</w:t>
      </w:r>
    </w:p>
    <w:p>
      <w:pPr>
        <w:pStyle w:val="Normal"/>
        <w:numPr>
          <w:ilvl w:val="0"/>
          <w:numId w:val="7"/>
        </w:numPr>
        <w:rPr>
          <w:sz w:val="22"/>
          <w:szCs w:val="22"/>
        </w:rPr>
      </w:pPr>
      <w:r>
        <w:rPr>
          <w:sz w:val="22"/>
          <w:szCs w:val="22"/>
        </w:rPr>
        <w:t>Créer trois (3) emplois permanents (1 promoteur, 2 ouvriers) pour les jeunes et les femmes de la localité ;</w:t>
      </w:r>
    </w:p>
    <w:p>
      <w:pPr>
        <w:pStyle w:val="Normal"/>
        <w:numPr>
          <w:ilvl w:val="0"/>
          <w:numId w:val="7"/>
        </w:numPr>
        <w:rPr>
          <w:sz w:val="22"/>
          <w:szCs w:val="22"/>
        </w:rPr>
      </w:pPr>
      <w:r>
        <w:rPr>
          <w:sz w:val="22"/>
          <w:szCs w:val="22"/>
        </w:rPr>
        <w:t xml:space="preserve">Positionner la marque FLAFLA comme une référence de qualité sur le marché malien des jus et nectars de fruits locaux, avec le slogan : </w:t>
      </w:r>
      <w:r>
        <w:rPr>
          <w:i/>
          <w:iCs/>
          <w:sz w:val="22"/>
          <w:szCs w:val="22"/>
        </w:rPr>
        <w:t>Le goût naturel des fruits du Mali</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7" w:name="__RefHeading___Toc234831695"/>
      <w:r>
        <w:rPr>
          <w:rFonts w:cs="Times New Roman" w:ascii="Times New Roman" w:hAnsi="Times New Roman"/>
          <w:i w:val="false"/>
          <w:iCs w:val="false"/>
          <w:sz w:val="24"/>
          <w:szCs w:val="24"/>
          <w:lang w:val="fr-CI"/>
        </w:rPr>
        <w:t>Localisation du projet</w:t>
      </w:r>
      <w:bookmarkEnd w:id="7"/>
    </w:p>
    <w:p>
      <w:pPr>
        <w:pStyle w:val="Normal"/>
        <w:jc w:val="both"/>
        <w:rPr>
          <w:sz w:val="22"/>
          <w:szCs w:val="22"/>
          <w:lang w:val="fr-CI"/>
        </w:rPr>
      </w:pPr>
      <w:r>
        <w:rPr>
          <w:sz w:val="22"/>
          <w:szCs w:val="22"/>
        </w:rPr>
        <w:t>Le projet est réalisé à Kati-Farada, près du pont, dans la Région de Koulikoro</w:t>
      </w:r>
    </w:p>
    <w:p>
      <w:pPr>
        <w:pStyle w:val="Heading1"/>
        <w:keepLines/>
        <w:numPr>
          <w:ilvl w:val="0"/>
          <w:numId w:val="6"/>
        </w:numPr>
        <w:spacing w:before="240" w:after="0"/>
        <w:ind w:hanging="431" w:start="431" w:end="0"/>
        <w:jc w:val="both"/>
        <w:rPr>
          <w:rFonts w:ascii="Times New Roman" w:hAnsi="Times New Roman" w:cs="Times New Roman"/>
          <w:caps/>
          <w:color w:val="166B7F"/>
          <w:kern w:val="0"/>
          <w:sz w:val="28"/>
          <w:szCs w:val="28"/>
          <w:lang w:eastAsia="en-US"/>
        </w:rPr>
      </w:pPr>
      <w:bookmarkStart w:id="8" w:name="__RefHeading___Toc234831696"/>
      <w:bookmarkEnd w:id="8"/>
      <w:r>
        <w:rPr>
          <w:rFonts w:cs="Times New Roman" w:ascii="Times New Roman" w:hAnsi="Times New Roman"/>
          <w:caps/>
          <w:color w:val="166B7F"/>
          <w:kern w:val="0"/>
          <w:sz w:val="28"/>
          <w:szCs w:val="28"/>
          <w:lang w:eastAsia="en-US"/>
        </w:rPr>
        <w:t>ETUDE DE MARCHE</w:t>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bookmarkStart w:id="9" w:name="__RefHeading___Toc234831697"/>
      <w:bookmarkEnd w:id="9"/>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FLAFLA</w:t>
      </w:r>
      <w:r>
        <w:rPr/>
        <w:t xml:space="preserve"> offre aux clients sont : le </w:t>
      </w:r>
      <w:r>
        <w:rPr>
          <w:b/>
          <w:bCs/>
        </w:rPr>
        <w:t>jus de mangue</w:t>
      </w:r>
      <w:r>
        <w:rPr/>
        <w:t xml:space="preserve">, le </w:t>
      </w:r>
      <w:r>
        <w:rPr>
          <w:b/>
          <w:bCs/>
        </w:rPr>
        <w:t>jus d’orange</w:t>
      </w:r>
      <w:r>
        <w:rPr/>
        <w:t xml:space="preserve"> et le </w:t>
      </w:r>
      <w:r>
        <w:rPr>
          <w:b/>
          <w:bCs/>
        </w:rPr>
        <w:t>jus de tamarin/zaban</w:t>
      </w:r>
      <w:r>
        <w:rPr/>
        <w:t xml:space="preserve">. Il faut noter que la caractéristique fondamentale des produits de l’entreprise est leur </w:t>
      </w:r>
      <w:r>
        <w:rPr>
          <w:b/>
          <w:bCs/>
        </w:rPr>
        <w:t>qualité gustative supérieure</w:t>
      </w:r>
      <w:r>
        <w:rPr/>
        <w:t xml:space="preserve">, leur </w:t>
      </w:r>
      <w:r>
        <w:rPr>
          <w:b/>
          <w:bCs/>
        </w:rPr>
        <w:t>naturalité</w:t>
      </w:r>
      <w:r>
        <w:rPr/>
        <w:t xml:space="preserve"> et leur </w:t>
      </w:r>
      <w:r>
        <w:rPr>
          <w:b/>
          <w:bCs/>
        </w:rPr>
        <w:t>valeur nutritive</w:t>
      </w:r>
      <w:r>
        <w:rPr/>
        <w:t>, gages de satisfaction pour la clientèle.</w:t>
      </w:r>
      <w:r>
        <w:rPr>
          <w:lang w:val="fr-CI"/>
        </w:rPr>
        <w:t xml:space="preserve"> </w:t>
      </w:r>
      <w:r>
        <w:rPr/>
        <w:t>Les caractéristiques des produits qui seront mis sur le marché sont :</w:t>
      </w:r>
    </w:p>
    <w:p>
      <w:pPr>
        <w:pStyle w:val="Normal"/>
        <w:spacing w:before="0" w:after="0"/>
        <w:contextualSpacing/>
        <w:rPr>
          <w:b/>
          <w:lang w:eastAsia="fr-CA"/>
        </w:rPr>
      </w:pPr>
      <w:r>
        <w:rPr>
          <w:b/>
          <w:lang w:eastAsia="fr-CA"/>
        </w:rPr>
        <w:t>Jus de mangue (bouteilles 50 cl et 1 L) :</w:t>
      </w:r>
    </w:p>
    <w:p>
      <w:pPr>
        <w:pStyle w:val="Normal"/>
        <w:numPr>
          <w:ilvl w:val="0"/>
          <w:numId w:val="3"/>
        </w:numPr>
        <w:spacing w:before="0" w:after="0"/>
        <w:contextualSpacing/>
        <w:rPr>
          <w:rStyle w:val="Strong"/>
          <w:b w:val="false"/>
          <w:bCs w:val="false"/>
        </w:rPr>
      </w:pPr>
      <w:r>
        <w:rPr>
          <w:rStyle w:val="Strong"/>
          <w:b w:val="false"/>
          <w:bCs w:val="false"/>
        </w:rPr>
        <w:t>100 % naturel, sans conservateurs ;</w:t>
      </w:r>
    </w:p>
    <w:p>
      <w:pPr>
        <w:pStyle w:val="Normal"/>
        <w:numPr>
          <w:ilvl w:val="0"/>
          <w:numId w:val="3"/>
        </w:numPr>
        <w:spacing w:before="0" w:after="0"/>
        <w:contextualSpacing/>
        <w:rPr>
          <w:rStyle w:val="Strong"/>
          <w:b w:val="false"/>
          <w:bCs w:val="false"/>
        </w:rPr>
      </w:pPr>
      <w:r>
        <w:rPr>
          <w:rStyle w:val="Strong"/>
          <w:b w:val="false"/>
          <w:bCs w:val="false"/>
        </w:rPr>
        <w:t>Chair juteuse et sucrée ;</w:t>
      </w:r>
    </w:p>
    <w:p>
      <w:pPr>
        <w:pStyle w:val="Normal"/>
        <w:numPr>
          <w:ilvl w:val="0"/>
          <w:numId w:val="3"/>
        </w:numPr>
        <w:spacing w:before="0" w:after="0"/>
        <w:contextualSpacing/>
        <w:rPr>
          <w:rStyle w:val="Strong"/>
          <w:b w:val="false"/>
          <w:bCs w:val="false"/>
        </w:rPr>
      </w:pPr>
      <w:r>
        <w:rPr>
          <w:rStyle w:val="Strong"/>
          <w:b w:val="false"/>
          <w:bCs w:val="false"/>
        </w:rPr>
        <w:t>Riche en vitamines A et C ;</w:t>
      </w:r>
    </w:p>
    <w:p>
      <w:pPr>
        <w:pStyle w:val="Normal"/>
        <w:numPr>
          <w:ilvl w:val="0"/>
          <w:numId w:val="3"/>
        </w:numPr>
        <w:spacing w:before="0" w:after="0"/>
        <w:contextualSpacing/>
        <w:rPr>
          <w:rStyle w:val="Strong"/>
          <w:b w:val="false"/>
          <w:bCs w:val="false"/>
        </w:rPr>
      </w:pPr>
      <w:r>
        <w:rPr>
          <w:rStyle w:val="Strong"/>
          <w:b w:val="false"/>
          <w:bCs w:val="false"/>
        </w:rPr>
        <w:t>Emballage moderne et hygiénique ;</w:t>
      </w:r>
    </w:p>
    <w:p>
      <w:pPr>
        <w:pStyle w:val="Normal"/>
        <w:numPr>
          <w:ilvl w:val="0"/>
          <w:numId w:val="3"/>
        </w:numPr>
        <w:spacing w:before="0" w:after="0"/>
        <w:contextualSpacing/>
        <w:rPr>
          <w:rFonts w:ascii="Segoe UI" w:hAnsi="Segoe UI" w:cs="Segoe UI"/>
          <w:color w:val="0F1115"/>
        </w:rPr>
      </w:pPr>
      <w:r>
        <w:rPr>
          <w:rStyle w:val="Strong"/>
          <w:b w:val="false"/>
          <w:bCs w:val="false"/>
        </w:rPr>
        <w:t>Longue durée de conservation grâce à la pasteurisation</w:t>
      </w:r>
      <w:r>
        <w:rPr>
          <w:rFonts w:cs="Segoe UI" w:ascii="Segoe UI" w:hAnsi="Segoe UI"/>
          <w:color w:val="0F1115"/>
        </w:rPr>
        <w:t>.</w:t>
      </w:r>
    </w:p>
    <w:p>
      <w:pPr>
        <w:pStyle w:val="Normal"/>
        <w:numPr>
          <w:ilvl w:val="0"/>
          <w:numId w:val="7"/>
        </w:numPr>
        <w:spacing w:before="0" w:after="0"/>
        <w:contextualSpacing/>
        <w:rPr>
          <w:rStyle w:val="Strong"/>
        </w:rPr>
      </w:pPr>
      <w:r>
        <w:rPr>
          <w:rStyle w:val="Strong"/>
          <w:b w:val="false"/>
          <w:sz w:val="22"/>
          <w:szCs w:val="22"/>
        </w:rPr>
        <w:t>.</w:t>
      </w:r>
    </w:p>
    <w:p>
      <w:pPr>
        <w:pStyle w:val="Normal"/>
        <w:spacing w:before="0" w:after="0"/>
        <w:contextualSpacing/>
        <w:rPr>
          <w:b/>
          <w:lang w:eastAsia="fr-CA"/>
        </w:rPr>
      </w:pPr>
      <w:r>
        <w:rPr>
          <w:b/>
          <w:lang w:eastAsia="fr-CA"/>
        </w:rPr>
        <w:t>Jus d’orange (bouteilles 50 cl et 1 L) :</w:t>
      </w:r>
    </w:p>
    <w:p>
      <w:pPr>
        <w:pStyle w:val="Normal"/>
        <w:numPr>
          <w:ilvl w:val="0"/>
          <w:numId w:val="10"/>
        </w:numPr>
        <w:spacing w:before="0" w:after="0"/>
        <w:contextualSpacing/>
        <w:rPr>
          <w:bCs/>
          <w:lang w:eastAsia="fr-CA"/>
        </w:rPr>
      </w:pPr>
      <w:r>
        <w:rPr>
          <w:bCs/>
          <w:lang w:eastAsia="fr-CA"/>
        </w:rPr>
        <w:t>100 % naturel, sans conservateurs ;</w:t>
      </w:r>
    </w:p>
    <w:p>
      <w:pPr>
        <w:pStyle w:val="Normal"/>
        <w:numPr>
          <w:ilvl w:val="0"/>
          <w:numId w:val="10"/>
        </w:numPr>
        <w:spacing w:before="0" w:after="0"/>
        <w:contextualSpacing/>
        <w:rPr>
          <w:bCs/>
          <w:lang w:eastAsia="fr-CA"/>
        </w:rPr>
      </w:pPr>
      <w:r>
        <w:rPr>
          <w:bCs/>
          <w:lang w:eastAsia="fr-CA"/>
        </w:rPr>
        <w:t>Acidité équilibrée, goût frais ;</w:t>
      </w:r>
    </w:p>
    <w:p>
      <w:pPr>
        <w:pStyle w:val="Normal"/>
        <w:numPr>
          <w:ilvl w:val="0"/>
          <w:numId w:val="10"/>
        </w:numPr>
        <w:spacing w:before="0" w:after="0"/>
        <w:contextualSpacing/>
        <w:rPr>
          <w:bCs/>
          <w:lang w:eastAsia="fr-CA"/>
        </w:rPr>
      </w:pPr>
      <w:r>
        <w:rPr>
          <w:bCs/>
          <w:lang w:eastAsia="fr-CA"/>
        </w:rPr>
        <w:t>Riche en vitamine C ;</w:t>
      </w:r>
    </w:p>
    <w:p>
      <w:pPr>
        <w:pStyle w:val="Normal"/>
        <w:numPr>
          <w:ilvl w:val="0"/>
          <w:numId w:val="10"/>
        </w:numPr>
        <w:spacing w:before="0" w:after="0"/>
        <w:contextualSpacing/>
        <w:rPr>
          <w:bCs/>
          <w:lang w:eastAsia="fr-CA"/>
        </w:rPr>
      </w:pPr>
      <w:r>
        <w:rPr>
          <w:bCs/>
          <w:lang w:eastAsia="fr-CA"/>
        </w:rPr>
        <w:t>Emballage moderne et hygiénique ;</w:t>
      </w:r>
    </w:p>
    <w:p>
      <w:pPr>
        <w:pStyle w:val="Normal"/>
        <w:numPr>
          <w:ilvl w:val="0"/>
          <w:numId w:val="10"/>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
          <w:lang w:eastAsia="fr-CA"/>
        </w:rPr>
        <w:t>Jus de tamarin/zaban (bouteilles 50 cl et 1 L) :</w:t>
      </w:r>
    </w:p>
    <w:p>
      <w:pPr>
        <w:pStyle w:val="Normal"/>
        <w:numPr>
          <w:ilvl w:val="0"/>
          <w:numId w:val="14"/>
        </w:numPr>
        <w:spacing w:before="0" w:after="0"/>
        <w:contextualSpacing/>
        <w:rPr>
          <w:bCs/>
          <w:lang w:eastAsia="fr-CA"/>
        </w:rPr>
      </w:pPr>
      <w:r>
        <w:rPr>
          <w:bCs/>
          <w:lang w:eastAsia="fr-CA"/>
        </w:rPr>
        <w:t>100 % naturel, sans conservateurs ;</w:t>
      </w:r>
    </w:p>
    <w:p>
      <w:pPr>
        <w:pStyle w:val="Normal"/>
        <w:numPr>
          <w:ilvl w:val="0"/>
          <w:numId w:val="14"/>
        </w:numPr>
        <w:spacing w:before="0" w:after="0"/>
        <w:contextualSpacing/>
        <w:rPr>
          <w:bCs/>
          <w:lang w:eastAsia="fr-CA"/>
        </w:rPr>
      </w:pPr>
      <w:r>
        <w:rPr>
          <w:bCs/>
          <w:lang w:eastAsia="fr-CA"/>
        </w:rPr>
        <w:t>Saveur acidulée et parfumée ;</w:t>
      </w:r>
    </w:p>
    <w:p>
      <w:pPr>
        <w:pStyle w:val="Normal"/>
        <w:numPr>
          <w:ilvl w:val="0"/>
          <w:numId w:val="14"/>
        </w:numPr>
        <w:spacing w:before="0" w:after="0"/>
        <w:contextualSpacing/>
        <w:rPr>
          <w:bCs/>
          <w:lang w:eastAsia="fr-CA"/>
        </w:rPr>
      </w:pPr>
      <w:r>
        <w:rPr>
          <w:bCs/>
          <w:lang w:eastAsia="fr-CA"/>
        </w:rPr>
        <w:t>Riche en minéraux et vitamines ;</w:t>
      </w:r>
    </w:p>
    <w:p>
      <w:pPr>
        <w:pStyle w:val="Normal"/>
        <w:numPr>
          <w:ilvl w:val="0"/>
          <w:numId w:val="14"/>
        </w:numPr>
        <w:spacing w:before="0" w:after="0"/>
        <w:contextualSpacing/>
        <w:rPr>
          <w:bCs/>
          <w:lang w:eastAsia="fr-CA"/>
        </w:rPr>
      </w:pPr>
      <w:r>
        <w:rPr>
          <w:bCs/>
          <w:lang w:eastAsia="fr-CA"/>
        </w:rPr>
        <w:t>Emballage moderne et hygiénique ;</w:t>
      </w:r>
    </w:p>
    <w:p>
      <w:pPr>
        <w:pStyle w:val="Normal"/>
        <w:numPr>
          <w:ilvl w:val="0"/>
          <w:numId w:val="14"/>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Cs/>
          <w:lang w:eastAsia="fr-CA"/>
        </w:rPr>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bookmarkStart w:id="10" w:name="__RefHeading___Toc234831698"/>
      <w:r>
        <w:rPr>
          <w:rFonts w:cs="Times New Roman" w:ascii="Times New Roman" w:hAnsi="Times New Roman"/>
          <w:i w:val="false"/>
          <w:iCs w:val="false"/>
          <w:sz w:val="24"/>
          <w:szCs w:val="24"/>
          <w:lang w:val="fr-CI"/>
        </w:rPr>
        <w:t>Le marché cible / secteur d’activité</w:t>
      </w:r>
      <w:bookmarkEnd w:id="10"/>
      <w:r>
        <w:rPr>
          <w:rFonts w:cs="Times New Roman" w:ascii="Times New Roman" w:hAnsi="Times New Roman"/>
          <w:i w:val="false"/>
          <w:iCs w:val="false"/>
          <w:sz w:val="24"/>
          <w:szCs w:val="24"/>
          <w:lang w:val="fr-CI"/>
        </w:rPr>
        <w:tab/>
      </w:r>
    </w:p>
    <w:p>
      <w:pPr>
        <w:pStyle w:val="Normal"/>
        <w:rPr>
          <w:sz w:val="22"/>
          <w:szCs w:val="22"/>
        </w:rPr>
      </w:pPr>
      <w:r>
        <w:rPr>
          <w:sz w:val="22"/>
          <w:szCs w:val="22"/>
        </w:rPr>
        <w:t xml:space="preserve">Le marché cible de l’entreprise est constitué par les ménages, les restaurants, les supermarchés (Kati, Bamako), les grossistes, les détaillants et les revendeurs de boissons de Kati-Farada, Bamako et environs.. </w:t>
      </w:r>
    </w:p>
    <w:p>
      <w:pPr>
        <w:pStyle w:val="Normal"/>
        <w:rPr>
          <w:sz w:val="22"/>
          <w:szCs w:val="22"/>
        </w:rPr>
      </w:pPr>
      <w:r>
        <w:rPr>
          <w:sz w:val="22"/>
          <w:szCs w:val="22"/>
        </w:rPr>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bookmarkStart w:id="11" w:name="__RefHeading___Toc234831699"/>
      <w:bookmarkEnd w:id="11"/>
      <w:r>
        <w:rPr>
          <w:rFonts w:cs="Times New Roman" w:ascii="Times New Roman" w:hAnsi="Times New Roman"/>
          <w:i w:val="false"/>
          <w:iCs w:val="false"/>
          <w:sz w:val="24"/>
          <w:szCs w:val="24"/>
          <w:lang w:val="fr-CI"/>
        </w:rPr>
        <w:t>Analyse de l’offre :</w:t>
      </w:r>
    </w:p>
    <w:p>
      <w:pPr>
        <w:pStyle w:val="Normal"/>
        <w:rPr>
          <w:sz w:val="22"/>
          <w:szCs w:val="22"/>
        </w:rPr>
      </w:pPr>
      <w:r>
        <w:rPr>
          <w:sz w:val="22"/>
          <w:szCs w:val="22"/>
        </w:rPr>
        <w:t>L’offre en jus et nectars de fruits au Mali est dominée par les jus importés industriels (chers, riches en conservateurs) et par des jus artisanaux informels (problèmes d’hygiène et de conservation). Le secteur souffre d’un manque d’unités de transformation locales modernes, ce qui entraîne des pertes post-récolte importantes. Les offres concurrentielles proposent des produits standard à des prix élevés, sans contrôle rigoureux de la qualité</w:t>
      </w:r>
    </w:p>
    <w:p>
      <w:pPr>
        <w:pStyle w:val="Heading3"/>
        <w:numPr>
          <w:ilvl w:val="1"/>
          <w:numId w:val="5"/>
        </w:numPr>
        <w:spacing w:before="0" w:after="60"/>
        <w:ind w:hanging="1200" w:start="1560" w:end="0"/>
        <w:rPr>
          <w:rFonts w:ascii="Times New Roman" w:hAnsi="Times New Roman" w:cs="Times New Roman"/>
          <w:sz w:val="24"/>
          <w:szCs w:val="24"/>
        </w:rPr>
      </w:pPr>
      <w:bookmarkStart w:id="12" w:name="__RefHeading___Toc234831701"/>
      <w:bookmarkEnd w:id="12"/>
      <w:r>
        <w:rPr>
          <w:rFonts w:cs="Times New Roman" w:ascii="Times New Roman" w:hAnsi="Times New Roman"/>
          <w:sz w:val="24"/>
          <w:szCs w:val="24"/>
        </w:rPr>
        <w:t>L’approvisionnement en matières premières :</w:t>
      </w:r>
    </w:p>
    <w:p>
      <w:pPr>
        <w:pStyle w:val="Normal"/>
        <w:rPr>
          <w:sz w:val="22"/>
          <w:szCs w:val="22"/>
        </w:rPr>
      </w:pPr>
      <w:bookmarkStart w:id="13" w:name="__RefHeading___Toc234831702"/>
      <w:r>
        <w:rPr>
          <w:sz w:val="22"/>
          <w:szCs w:val="22"/>
        </w:rPr>
        <w:t xml:space="preserve">Les besoins en matières premières nécessaires à la production sont : les </w:t>
      </w:r>
      <w:r>
        <w:rPr>
          <w:b/>
          <w:bCs/>
          <w:sz w:val="22"/>
          <w:szCs w:val="22"/>
        </w:rPr>
        <w:t>fruits locaux</w:t>
      </w:r>
      <w:r>
        <w:rPr>
          <w:sz w:val="22"/>
          <w:szCs w:val="22"/>
        </w:rPr>
        <w:t xml:space="preserve"> (mangue, orange, tamarin, zaban) de variétés adaptées à la transformation, le </w:t>
      </w:r>
      <w:r>
        <w:rPr>
          <w:b/>
          <w:bCs/>
          <w:sz w:val="22"/>
          <w:szCs w:val="22"/>
        </w:rPr>
        <w:t>sucre</w:t>
      </w:r>
      <w:r>
        <w:rPr>
          <w:sz w:val="22"/>
          <w:szCs w:val="22"/>
        </w:rPr>
        <w:t xml:space="preserve">, les </w:t>
      </w:r>
      <w:r>
        <w:rPr>
          <w:b/>
          <w:bCs/>
          <w:sz w:val="22"/>
          <w:szCs w:val="22"/>
        </w:rPr>
        <w:t>emballages</w:t>
      </w:r>
      <w:r>
        <w:rPr>
          <w:sz w:val="22"/>
          <w:szCs w:val="22"/>
        </w:rPr>
        <w:t xml:space="preserve"> (bouteilles, étiquettes) et les </w:t>
      </w:r>
      <w:r>
        <w:rPr>
          <w:b/>
          <w:bCs/>
          <w:sz w:val="22"/>
          <w:szCs w:val="22"/>
        </w:rPr>
        <w:t>additifs naturels</w:t>
      </w:r>
      <w:r>
        <w:rPr>
          <w:sz w:val="22"/>
          <w:szCs w:val="22"/>
        </w:rPr>
        <w:t xml:space="preserve"> (arômes).</w:t>
      </w:r>
    </w:p>
    <w:p>
      <w:pPr>
        <w:pStyle w:val="Normal"/>
        <w:rPr>
          <w:rFonts w:ascii="Segoe UI" w:hAnsi="Segoe UI" w:cs="Segoe UI"/>
          <w:color w:val="0F1115"/>
        </w:rPr>
      </w:pPr>
      <w:r>
        <w:rPr>
          <w:sz w:val="22"/>
          <w:szCs w:val="22"/>
        </w:rPr>
        <w:t xml:space="preserve">L’approvisionnement en matières premières se fera essentiellement auprès des </w:t>
      </w:r>
      <w:r>
        <w:rPr>
          <w:b/>
          <w:bCs/>
          <w:sz w:val="22"/>
          <w:szCs w:val="22"/>
        </w:rPr>
        <w:t>producteurs locaux</w:t>
      </w:r>
      <w:r>
        <w:rPr>
          <w:sz w:val="22"/>
          <w:szCs w:val="22"/>
        </w:rPr>
        <w:t xml:space="preserve"> de Kati, Bougouni, Sikasso et Kita pour les fruits, ainsi qu’auprès des fournisseurs spécialisés de Bamako pour le sucre et les emballages</w:t>
      </w:r>
      <w:r>
        <w:rPr>
          <w:rFonts w:cs="Segoe UI" w:ascii="Segoe UI" w:hAnsi="Segoe UI"/>
          <w:color w:val="0F1115"/>
        </w:rPr>
        <w:t>.</w:t>
      </w:r>
    </w:p>
    <w:p>
      <w:pPr>
        <w:pStyle w:val="Heading3"/>
        <w:numPr>
          <w:ilvl w:val="1"/>
          <w:numId w:val="5"/>
        </w:numPr>
        <w:spacing w:before="0" w:after="60"/>
        <w:ind w:hanging="491" w:start="851" w:end="0"/>
        <w:rPr>
          <w:sz w:val="24"/>
          <w:szCs w:val="24"/>
        </w:rPr>
      </w:pPr>
      <w:bookmarkStart w:id="14" w:name="__RefHeading___Toc234831702"/>
      <w:r>
        <w:rPr>
          <w:sz w:val="24"/>
          <w:szCs w:val="24"/>
        </w:rPr>
        <w:t>La politique de distribution :</w:t>
      </w:r>
      <w:bookmarkEnd w:id="14"/>
    </w:p>
    <w:p>
      <w:pPr>
        <w:pStyle w:val="Normal"/>
        <w:rPr>
          <w:sz w:val="22"/>
          <w:szCs w:val="22"/>
        </w:rPr>
      </w:pPr>
      <w:bookmarkStart w:id="15" w:name="__RefHeading___Toc234831703"/>
      <w:r>
        <w:rPr>
          <w:sz w:val="22"/>
          <w:szCs w:val="22"/>
        </w:rPr>
        <w:t>La politique de distribution de FLAFLA est structurée autour de trois axes principaux :</w:t>
      </w:r>
    </w:p>
    <w:p>
      <w:pPr>
        <w:pStyle w:val="Normal"/>
        <w:rPr>
          <w:sz w:val="22"/>
          <w:szCs w:val="22"/>
        </w:rPr>
      </w:pPr>
      <w:r>
        <w:rPr>
          <w:sz w:val="22"/>
          <w:szCs w:val="22"/>
        </w:rPr>
        <w:t>La vente directe dans l’unité de transformation aux commerçants grossistes ;</w:t>
      </w:r>
    </w:p>
    <w:p>
      <w:pPr>
        <w:pStyle w:val="Normal"/>
        <w:rPr>
          <w:sz w:val="22"/>
          <w:szCs w:val="22"/>
        </w:rPr>
      </w:pPr>
      <w:r>
        <w:rPr>
          <w:sz w:val="22"/>
          <w:szCs w:val="22"/>
        </w:rPr>
        <w:t>La livraison aux supermarchés, restaurants et boutiques ;</w:t>
      </w:r>
    </w:p>
    <w:p>
      <w:pPr>
        <w:pStyle w:val="Normal"/>
        <w:rPr>
          <w:sz w:val="22"/>
          <w:szCs w:val="22"/>
        </w:rPr>
      </w:pPr>
      <w:r>
        <w:rPr>
          <w:sz w:val="22"/>
          <w:szCs w:val="22"/>
        </w:rPr>
        <w:t>La vente via des revendeurs dans les marchés locaux.</w:t>
      </w:r>
    </w:p>
    <w:p>
      <w:pPr>
        <w:pStyle w:val="Normal"/>
        <w:rPr>
          <w:sz w:val="22"/>
          <w:szCs w:val="22"/>
        </w:rPr>
      </w:pPr>
      <w:r>
        <w:rPr>
          <w:sz w:val="22"/>
          <w:szCs w:val="22"/>
        </w:rPr>
        <w:t>Cela permettra de satisfaire chaque type de client en fonction de leurs besoins</w:t>
      </w:r>
    </w:p>
    <w:p>
      <w:pPr>
        <w:pStyle w:val="Heading3"/>
        <w:numPr>
          <w:ilvl w:val="1"/>
          <w:numId w:val="5"/>
        </w:numPr>
        <w:spacing w:before="240" w:after="0"/>
        <w:ind w:hanging="633" w:start="993" w:end="0"/>
        <w:rPr>
          <w:rFonts w:ascii="Times New Roman" w:hAnsi="Times New Roman" w:cs="Times New Roman"/>
          <w:sz w:val="24"/>
          <w:szCs w:val="24"/>
        </w:rPr>
      </w:pPr>
      <w:bookmarkStart w:id="16" w:name="__RefHeading___Toc234831703"/>
      <w:r>
        <w:rPr>
          <w:rFonts w:cs="Times New Roman" w:ascii="Times New Roman" w:hAnsi="Times New Roman"/>
          <w:sz w:val="24"/>
          <w:szCs w:val="24"/>
        </w:rPr>
        <w:t>La politique tarifaire</w:t>
      </w:r>
      <w:bookmarkEnd w:id="16"/>
    </w:p>
    <w:p>
      <w:pPr>
        <w:pStyle w:val="Normal"/>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rPr>
          <w:sz w:val="22"/>
          <w:szCs w:val="22"/>
        </w:rPr>
      </w:pPr>
      <w:r>
        <w:rPr>
          <w:sz w:val="22"/>
          <w:szCs w:val="22"/>
        </w:rPr>
        <w:t>Les prix proposés par FLAFLA :</w:t>
      </w:r>
    </w:p>
    <w:tbl>
      <w:tblPr>
        <w:tblW w:w="9441" w:type="dxa"/>
        <w:jc w:val="start"/>
        <w:tblInd w:w="-5" w:type="dxa"/>
        <w:tblLayout w:type="fixed"/>
        <w:tblCellMar>
          <w:top w:w="150" w:type="dxa"/>
          <w:start w:w="0" w:type="dxa"/>
          <w:bottom w:w="150" w:type="dxa"/>
          <w:end w:w="240" w:type="dxa"/>
        </w:tblCellMar>
      </w:tblPr>
      <w:tblGrid>
        <w:gridCol w:w="4399"/>
        <w:gridCol w:w="2097"/>
        <w:gridCol w:w="2945"/>
      </w:tblGrid>
      <w:tr>
        <w:trPr>
          <w:tblHeader w:val="true"/>
          <w:trHeight w:val="360" w:hRule="atLeast"/>
        </w:trPr>
        <w:tc>
          <w:tcPr>
            <w:tcW w:w="4399" w:type="dxa"/>
            <w:tcBorders>
              <w:top w:val="single" w:sz="4" w:space="0" w:color="000000"/>
              <w:start w:val="single" w:sz="4" w:space="0" w:color="000000"/>
              <w:bottom w:val="single" w:sz="4" w:space="0" w:color="000000"/>
              <w:end w:val="single" w:sz="4" w:space="0" w:color="000000"/>
            </w:tcBorders>
            <w:vAlign w:val="center"/>
          </w:tcPr>
          <w:p>
            <w:pPr>
              <w:pStyle w:val="Normal"/>
              <w:rPr>
                <w:b/>
                <w:bCs/>
                <w:sz w:val="22"/>
                <w:szCs w:val="22"/>
              </w:rPr>
            </w:pPr>
            <w:r>
              <w:rPr>
                <w:b/>
                <w:bCs/>
                <w:sz w:val="22"/>
                <w:szCs w:val="22"/>
              </w:rPr>
              <w:t>Désignation</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Unité</w:t>
            </w:r>
          </w:p>
        </w:tc>
        <w:tc>
          <w:tcPr>
            <w:tcW w:w="294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Prix</w:t>
            </w:r>
          </w:p>
        </w:tc>
      </w:tr>
      <w:tr>
        <w:trPr>
          <w:trHeight w:val="377" w:hRule="atLeast"/>
        </w:trPr>
        <w:tc>
          <w:tcPr>
            <w:tcW w:w="4399"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Jus de mangue</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Litre</w:t>
            </w:r>
          </w:p>
        </w:tc>
        <w:tc>
          <w:tcPr>
            <w:tcW w:w="294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1 000 F CFA</w:t>
            </w:r>
          </w:p>
        </w:tc>
      </w:tr>
      <w:tr>
        <w:trPr>
          <w:trHeight w:val="360" w:hRule="atLeast"/>
        </w:trPr>
        <w:tc>
          <w:tcPr>
            <w:tcW w:w="4399"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Jus d’orange</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Litre</w:t>
            </w:r>
          </w:p>
        </w:tc>
        <w:tc>
          <w:tcPr>
            <w:tcW w:w="294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1 000 F CFA</w:t>
            </w:r>
          </w:p>
        </w:tc>
      </w:tr>
      <w:tr>
        <w:trPr>
          <w:trHeight w:val="377" w:hRule="atLeast"/>
        </w:trPr>
        <w:tc>
          <w:tcPr>
            <w:tcW w:w="4399"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Jus de tamarin/zaban</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Litre</w:t>
            </w:r>
          </w:p>
        </w:tc>
        <w:tc>
          <w:tcPr>
            <w:tcW w:w="294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1 000 F CFA</w:t>
            </w:r>
          </w:p>
        </w:tc>
      </w:tr>
    </w:tbl>
    <w:p>
      <w:pPr>
        <w:pStyle w:val="Normal"/>
        <w:rPr>
          <w:sz w:val="22"/>
          <w:szCs w:val="22"/>
        </w:rPr>
      </w:pPr>
      <w:r>
        <w:rPr>
          <w:sz w:val="22"/>
          <w:szCs w:val="22"/>
        </w:rPr>
        <w:t>Les prix proposés par les concurrents de l’entreprise :</w:t>
      </w:r>
    </w:p>
    <w:tbl>
      <w:tblPr>
        <w:tblW w:w="9647" w:type="dxa"/>
        <w:jc w:val="start"/>
        <w:tblInd w:w="-5" w:type="dxa"/>
        <w:tblLayout w:type="fixed"/>
        <w:tblCellMar>
          <w:top w:w="150" w:type="dxa"/>
          <w:start w:w="0" w:type="dxa"/>
          <w:bottom w:w="150" w:type="dxa"/>
          <w:end w:w="240" w:type="dxa"/>
        </w:tblCellMar>
      </w:tblPr>
      <w:tblGrid>
        <w:gridCol w:w="3124"/>
        <w:gridCol w:w="2097"/>
        <w:gridCol w:w="4426"/>
      </w:tblGrid>
      <w:tr>
        <w:trPr>
          <w:tblHeader w:val="true"/>
          <w:trHeight w:val="265" w:hRule="atLeast"/>
        </w:trPr>
        <w:tc>
          <w:tcPr>
            <w:tcW w:w="3124" w:type="dxa"/>
            <w:tcBorders>
              <w:top w:val="single" w:sz="4" w:space="0" w:color="000000"/>
              <w:start w:val="single" w:sz="4" w:space="0" w:color="000000"/>
              <w:bottom w:val="single" w:sz="4" w:space="0" w:color="000000"/>
              <w:end w:val="single" w:sz="4" w:space="0" w:color="000000"/>
            </w:tcBorders>
            <w:vAlign w:val="center"/>
          </w:tcPr>
          <w:p>
            <w:pPr>
              <w:pStyle w:val="Normal"/>
              <w:rPr>
                <w:b/>
                <w:bCs/>
                <w:sz w:val="22"/>
                <w:szCs w:val="22"/>
              </w:rPr>
            </w:pPr>
            <w:r>
              <w:rPr>
                <w:b/>
                <w:bCs/>
                <w:sz w:val="22"/>
                <w:szCs w:val="22"/>
              </w:rPr>
              <w:t>Désignation</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Unité</w:t>
            </w:r>
          </w:p>
        </w:tc>
        <w:tc>
          <w:tcPr>
            <w:tcW w:w="44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Prix</w:t>
            </w:r>
          </w:p>
        </w:tc>
      </w:tr>
      <w:tr>
        <w:trPr>
          <w:trHeight w:val="283" w:hRule="atLeast"/>
        </w:trPr>
        <w:tc>
          <w:tcPr>
            <w:tcW w:w="3124"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Jus importés</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Litre</w:t>
            </w:r>
          </w:p>
        </w:tc>
        <w:tc>
          <w:tcPr>
            <w:tcW w:w="44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1 500 à 2 500 F CFA</w:t>
            </w:r>
          </w:p>
        </w:tc>
      </w:tr>
      <w:tr>
        <w:trPr>
          <w:trHeight w:val="265" w:hRule="atLeast"/>
        </w:trPr>
        <w:tc>
          <w:tcPr>
            <w:tcW w:w="3124"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Jus artisanaux</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Litre</w:t>
            </w:r>
          </w:p>
        </w:tc>
        <w:tc>
          <w:tcPr>
            <w:tcW w:w="442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700 à 1 200 F CFA</w:t>
            </w:r>
          </w:p>
        </w:tc>
      </w:tr>
    </w:tbl>
    <w:p>
      <w:pPr>
        <w:pStyle w:val="Normal"/>
        <w:rPr>
          <w:sz w:val="22"/>
          <w:szCs w:val="22"/>
        </w:rPr>
      </w:pPr>
      <w:r>
        <w:rPr>
          <w:sz w:val="22"/>
          <w:szCs w:val="22"/>
        </w:rPr>
        <w:t>Les concurrents de l’entreprise dans la zone :</w:t>
      </w:r>
    </w:p>
    <w:tbl>
      <w:tblPr>
        <w:tblW w:w="11280" w:type="dxa"/>
        <w:jc w:val="start"/>
        <w:tblInd w:w="-5" w:type="dxa"/>
        <w:tblLayout w:type="fixed"/>
        <w:tblCellMar>
          <w:top w:w="150" w:type="dxa"/>
          <w:start w:w="0" w:type="dxa"/>
          <w:bottom w:w="150" w:type="dxa"/>
          <w:end w:w="240" w:type="dxa"/>
        </w:tblCellMar>
      </w:tblPr>
      <w:tblGrid>
        <w:gridCol w:w="698"/>
        <w:gridCol w:w="7035"/>
        <w:gridCol w:w="3547"/>
      </w:tblGrid>
      <w:tr>
        <w:trPr>
          <w:tblHeader w:val="true"/>
        </w:trPr>
        <w:tc>
          <w:tcPr>
            <w:tcW w:w="698"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N°</w:t>
            </w:r>
          </w:p>
        </w:tc>
        <w:tc>
          <w:tcPr>
            <w:tcW w:w="703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Noms des concurrents</w:t>
            </w:r>
          </w:p>
        </w:tc>
        <w:tc>
          <w:tcPr>
            <w:tcW w:w="354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sz w:val="22"/>
                <w:szCs w:val="22"/>
              </w:rPr>
            </w:pPr>
            <w:r>
              <w:rPr>
                <w:b/>
                <w:bCs/>
                <w:sz w:val="22"/>
                <w:szCs w:val="22"/>
              </w:rPr>
              <w:t>Localisation</w:t>
            </w:r>
          </w:p>
        </w:tc>
      </w:tr>
      <w:tr>
        <w:trPr/>
        <w:tc>
          <w:tcPr>
            <w:tcW w:w="698"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1</w:t>
            </w:r>
          </w:p>
        </w:tc>
        <w:tc>
          <w:tcPr>
            <w:tcW w:w="703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AMI JUS, Mali-lait, Zaban holding, Jus Bougouni</w:t>
            </w:r>
          </w:p>
        </w:tc>
        <w:tc>
          <w:tcPr>
            <w:tcW w:w="354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Bamako et environs</w:t>
            </w:r>
          </w:p>
        </w:tc>
      </w:tr>
      <w:tr>
        <w:trPr/>
        <w:tc>
          <w:tcPr>
            <w:tcW w:w="698"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2</w:t>
            </w:r>
          </w:p>
        </w:tc>
        <w:tc>
          <w:tcPr>
            <w:tcW w:w="703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sz w:val="22"/>
                <w:szCs w:val="22"/>
              </w:rPr>
            </w:pPr>
            <w:r>
              <w:rPr>
                <w:sz w:val="22"/>
                <w:szCs w:val="22"/>
              </w:rPr>
              <w:t>Jus importés (Ivoirio, Dafani)</w:t>
            </w:r>
          </w:p>
        </w:tc>
        <w:tc>
          <w:tcPr>
            <w:tcW w:w="354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sz w:val="22"/>
                <w:szCs w:val="22"/>
              </w:rPr>
            </w:pPr>
            <w:r>
              <w:rPr>
                <w:sz w:val="22"/>
                <w:szCs w:val="22"/>
              </w:rPr>
              <w:t>Marchés et supermarchés</w:t>
            </w:r>
          </w:p>
        </w:tc>
      </w:tr>
    </w:tbl>
    <w:p>
      <w:pPr>
        <w:pStyle w:val="Normal"/>
        <w:rPr/>
      </w:pPr>
      <w:r>
        <w:rPr/>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bookmarkStart w:id="17" w:name="__RefHeading___Toc234831704"/>
      <w:bookmarkEnd w:id="17"/>
      <w:r>
        <w:rPr>
          <w:rFonts w:cs="Times New Roman" w:ascii="Times New Roman" w:hAnsi="Times New Roman"/>
          <w:i w:val="false"/>
          <w:iCs w:val="false"/>
          <w:sz w:val="24"/>
          <w:szCs w:val="24"/>
          <w:lang w:val="fr-CI"/>
        </w:rPr>
        <w:t>L’analyse de la concurrence :</w:t>
      </w:r>
    </w:p>
    <w:p>
      <w:pPr>
        <w:pStyle w:val="Normal"/>
        <w:jc w:val="both"/>
        <w:rPr>
          <w:sz w:val="22"/>
          <w:szCs w:val="22"/>
        </w:rPr>
      </w:pPr>
      <w:bookmarkStart w:id="18" w:name="__RefHeading___Toc234831705"/>
      <w:r>
        <w:rPr>
          <w:sz w:val="22"/>
          <w:szCs w:val="22"/>
        </w:rPr>
        <w:t>L’entreprise est face à des concurrents très expérimentés mais non formels dans la zone du projet, c’est-à-dire quelques transformateurs artisanaux. Mais c’est le respect des normes d’hygiène et l’application des techniques modernes de pasteurisation qui permet à FLAFLA de fournir sur le marché des produits de très bonne qualité qui sont appréciés par les clients.</w:t>
      </w:r>
    </w:p>
    <w:p>
      <w:pPr>
        <w:pStyle w:val="Normal"/>
        <w:jc w:val="both"/>
        <w:rPr>
          <w:sz w:val="22"/>
          <w:szCs w:val="22"/>
        </w:rPr>
      </w:pPr>
      <w:r>
        <w:rPr>
          <w:sz w:val="22"/>
          <w:szCs w:val="22"/>
        </w:rPr>
        <w:t>Les concurrents qui fournissent des produits de même qualité que ceux de notre entreprise pratiquent généralement des prix plus élevés que les nôtres (produits importés).</w:t>
      </w:r>
    </w:p>
    <w:p>
      <w:pPr>
        <w:pStyle w:val="Normal"/>
        <w:jc w:val="both"/>
        <w:rPr>
          <w:sz w:val="22"/>
          <w:szCs w:val="22"/>
        </w:rPr>
      </w:pPr>
      <w:r>
        <w:rPr>
          <w:sz w:val="22"/>
          <w:szCs w:val="22"/>
        </w:rPr>
        <w:t>Cependant notre entreprise développera des stratégies pour mieux se positionner sur le marché en :</w:t>
      </w:r>
    </w:p>
    <w:p>
      <w:pPr>
        <w:pStyle w:val="Normal"/>
        <w:jc w:val="both"/>
        <w:rPr>
          <w:sz w:val="22"/>
          <w:szCs w:val="22"/>
        </w:rPr>
      </w:pPr>
      <w:r>
        <w:rPr>
          <w:sz w:val="22"/>
          <w:szCs w:val="22"/>
        </w:rPr>
        <w:t>Fidélisant nos clients afin d’étendre notre part de marché ;</w:t>
      </w:r>
    </w:p>
    <w:p>
      <w:pPr>
        <w:pStyle w:val="Normal"/>
        <w:jc w:val="both"/>
        <w:rPr>
          <w:sz w:val="22"/>
          <w:szCs w:val="22"/>
        </w:rPr>
      </w:pPr>
      <w:r>
        <w:rPr>
          <w:sz w:val="22"/>
          <w:szCs w:val="22"/>
        </w:rPr>
        <w:t>Renforçant notre capacité de transformation et de distribution avec de nouveaux équipements pour mieux satisfaire la demande croissante des clients.</w:t>
      </w:r>
    </w:p>
    <w:p>
      <w:pPr>
        <w:pStyle w:val="Normal"/>
        <w:jc w:val="both"/>
        <w:rPr>
          <w:sz w:val="22"/>
          <w:szCs w:val="22"/>
        </w:rPr>
      </w:pPr>
      <w:r>
        <w:rPr>
          <w:sz w:val="22"/>
          <w:szCs w:val="22"/>
        </w:rPr>
        <w:t>Nous prévoyons également la participation de notre entreprise aux foires agricoles et commerciales et le développement des actions de promotion pour toucher le maximum de prospects.</w:t>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bookmarkEnd w:id="18"/>
    </w:p>
    <w:p>
      <w:pPr>
        <w:pStyle w:val="Normal"/>
        <w:jc w:val="both"/>
        <w:rPr>
          <w:sz w:val="22"/>
          <w:szCs w:val="22"/>
        </w:rPr>
      </w:pPr>
      <w:bookmarkStart w:id="19" w:name="__RefHeading___Toc234831706"/>
      <w:r>
        <w:rPr>
          <w:sz w:val="22"/>
          <w:szCs w:val="22"/>
        </w:rPr>
        <w:t>La clientèle cible est constituée par les ménages, les restaurants, les supermarchés, les grossistes, les détaillants et les revendeurs de Kati-Farada, Bamako et environs. En général, les clients sont exigeants sur certains éléments clés : la qualité du produit, l’absence de conservateurs chimiques, la valeur nutritive, le prix et la disponibilité.</w:t>
      </w:r>
    </w:p>
    <w:p>
      <w:pPr>
        <w:pStyle w:val="Normal"/>
        <w:jc w:val="both"/>
        <w:rPr>
          <w:sz w:val="22"/>
          <w:szCs w:val="22"/>
        </w:rPr>
      </w:pPr>
      <w:r>
        <w:rPr>
          <w:sz w:val="22"/>
          <w:szCs w:val="22"/>
        </w:rPr>
        <w:t>En tenant compte de ces critères de qualité, notre entreprise se distingue par le fait qu’on n’utilise pas de conservateurs ni d’additifs chimiques. Le respect des normes d’hygiène et la naturalité des produits attirent les clients.</w:t>
      </w:r>
    </w:p>
    <w:p>
      <w:pPr>
        <w:pStyle w:val="Normal"/>
        <w:jc w:val="both"/>
        <w:rPr>
          <w:sz w:val="22"/>
          <w:szCs w:val="22"/>
        </w:rPr>
      </w:pPr>
      <w:r>
        <w:rPr>
          <w:sz w:val="22"/>
          <w:szCs w:val="22"/>
        </w:rPr>
        <w:t>Cela permet également d’avoir une longue durée de conservation des produits transformés.</w:t>
      </w:r>
    </w:p>
    <w:p>
      <w:pPr>
        <w:pStyle w:val="Normal"/>
        <w:jc w:val="both"/>
        <w:rPr>
          <w:rFonts w:ascii="Segoe UI" w:hAnsi="Segoe UI" w:cs="Segoe UI"/>
          <w:color w:val="0F1115"/>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5"/>
        </w:numPr>
        <w:spacing w:before="120" w:after="120"/>
        <w:ind w:hanging="426" w:start="426" w:end="0"/>
        <w:jc w:val="both"/>
        <w:rPr>
          <w:rFonts w:ascii="Times New Roman" w:hAnsi="Times New Roman" w:cs="Times New Roman"/>
          <w:i w:val="false"/>
          <w:i w:val="false"/>
          <w:iCs w:val="false"/>
          <w:sz w:val="24"/>
          <w:szCs w:val="24"/>
          <w:lang w:val="fr-CI"/>
        </w:rPr>
      </w:pPr>
      <w:bookmarkStart w:id="20" w:name="__RefHeading___Toc234831706"/>
      <w:r>
        <w:rPr>
          <w:rFonts w:cs="Times New Roman" w:ascii="Times New Roman" w:hAnsi="Times New Roman"/>
          <w:i w:val="false"/>
          <w:iCs w:val="false"/>
          <w:sz w:val="24"/>
          <w:szCs w:val="24"/>
          <w:lang w:val="fr-CI"/>
        </w:rPr>
        <w:t>Stratégies marketing :</w:t>
      </w:r>
      <w:bookmarkEnd w:id="20"/>
    </w:p>
    <w:p>
      <w:pPr>
        <w:pStyle w:val="Normal"/>
        <w:numPr>
          <w:ilvl w:val="1"/>
          <w:numId w:val="2"/>
        </w:numPr>
        <w:rPr>
          <w:b/>
          <w:bCs/>
          <w:sz w:val="22"/>
          <w:szCs w:val="22"/>
          <w:lang w:val="fr-CI"/>
        </w:rPr>
      </w:pPr>
      <w:r>
        <w:rPr>
          <w:b/>
          <w:bCs/>
          <w:sz w:val="22"/>
          <w:szCs w:val="22"/>
          <w:lang w:val="fr-CI"/>
        </w:rPr>
        <w:t xml:space="preserve">Politique de Produit : </w:t>
      </w:r>
    </w:p>
    <w:p>
      <w:pPr>
        <w:pStyle w:val="Normal"/>
        <w:jc w:val="both"/>
        <w:rPr>
          <w:sz w:val="22"/>
          <w:szCs w:val="22"/>
          <w:lang w:val="fr-CI"/>
        </w:rPr>
      </w:pPr>
      <w:r>
        <w:rPr>
          <w:sz w:val="22"/>
          <w:szCs w:val="22"/>
        </w:rPr>
        <w:t xml:space="preserve">La politique de produit de </w:t>
      </w:r>
      <w:r>
        <w:rPr>
          <w:b/>
          <w:bCs/>
          <w:sz w:val="22"/>
          <w:szCs w:val="22"/>
        </w:rPr>
        <w:t>FLAFLA</w:t>
      </w:r>
      <w:r>
        <w:rPr>
          <w:sz w:val="22"/>
          <w:szCs w:val="22"/>
        </w:rPr>
        <w:t xml:space="preserve"> est axée sur la production de </w:t>
      </w:r>
      <w:r>
        <w:rPr>
          <w:b/>
          <w:bCs/>
          <w:sz w:val="22"/>
          <w:szCs w:val="22"/>
        </w:rPr>
        <w:t>jus et nectars 100 % naturels</w:t>
      </w:r>
      <w:r>
        <w:rPr>
          <w:sz w:val="22"/>
          <w:szCs w:val="22"/>
        </w:rPr>
        <w:t xml:space="preserve"> de haute qualité, disponibles tout au long de l’année et répondant aux attentes des consommateurs exigeants. La marque véhicule une image de </w:t>
      </w:r>
      <w:r>
        <w:rPr>
          <w:b/>
          <w:bCs/>
          <w:sz w:val="22"/>
          <w:szCs w:val="22"/>
        </w:rPr>
        <w:t>naturalité</w:t>
      </w:r>
      <w:r>
        <w:rPr>
          <w:sz w:val="22"/>
          <w:szCs w:val="22"/>
        </w:rPr>
        <w:t xml:space="preserve">, de </w:t>
      </w:r>
      <w:r>
        <w:rPr>
          <w:b/>
          <w:bCs/>
          <w:sz w:val="22"/>
          <w:szCs w:val="22"/>
        </w:rPr>
        <w:t>santé</w:t>
      </w:r>
      <w:r>
        <w:rPr>
          <w:sz w:val="22"/>
          <w:szCs w:val="22"/>
        </w:rPr>
        <w:t xml:space="preserve"> et de </w:t>
      </w:r>
      <w:r>
        <w:rPr>
          <w:b/>
          <w:bCs/>
          <w:sz w:val="22"/>
          <w:szCs w:val="22"/>
        </w:rPr>
        <w:t>plaisir</w:t>
      </w:r>
      <w:r>
        <w:rPr>
          <w:sz w:val="22"/>
          <w:szCs w:val="22"/>
        </w:rPr>
        <w:t>. Les produits sont proposés en trois gammes : jus de mangue, jus d’orange et jus de tamarin/zaban, conditionnés en bouteilles de 50 cl et 1 L. Cette politique permet de rassurer l’entreprise et de soutenir la production tout au long de l’année.</w:t>
      </w:r>
    </w:p>
    <w:p>
      <w:pPr>
        <w:pStyle w:val="Normal"/>
        <w:numPr>
          <w:ilvl w:val="1"/>
          <w:numId w:val="2"/>
        </w:numPr>
        <w:rPr>
          <w:b/>
          <w:bCs/>
          <w:sz w:val="22"/>
          <w:szCs w:val="22"/>
          <w:lang w:val="fr-CI"/>
        </w:rPr>
      </w:pPr>
      <w:r>
        <w:rPr>
          <w:b/>
          <w:bCs/>
          <w:sz w:val="22"/>
          <w:szCs w:val="22"/>
          <w:lang w:val="fr-CI"/>
        </w:rPr>
        <w:t>Politique de prix :</w:t>
      </w:r>
    </w:p>
    <w:p>
      <w:pPr>
        <w:pStyle w:val="Normal"/>
        <w:rPr>
          <w:b/>
          <w:bCs/>
          <w:sz w:val="22"/>
          <w:szCs w:val="22"/>
          <w:lang w:val="fr-CI"/>
        </w:rPr>
      </w:pPr>
      <w:r>
        <w:rPr>
          <w:b/>
          <w:bCs/>
          <w:sz w:val="22"/>
          <w:szCs w:val="22"/>
          <w:lang w:val="fr-CI"/>
        </w:rPr>
      </w:r>
    </w:p>
    <w:p>
      <w:pPr>
        <w:pStyle w:val="Normal"/>
        <w:rPr>
          <w:sz w:val="22"/>
          <w:szCs w:val="22"/>
          <w:lang w:val="fr-CI"/>
        </w:rPr>
      </w:pPr>
      <w:r>
        <w:rPr>
          <w:sz w:val="22"/>
          <w:szCs w:val="22"/>
        </w:rPr>
        <w:t xml:space="preserve">La politique de prix a consisté à fixer un prix incitatif pour les clients afin de les fidéliser, augmenter le chiffre d’affaires de l’entreprise et mieux se positionner face à la concurrence. Le prix de vente est fixé à </w:t>
      </w:r>
      <w:r>
        <w:rPr>
          <w:b/>
          <w:bCs/>
          <w:sz w:val="22"/>
          <w:szCs w:val="22"/>
        </w:rPr>
        <w:t>1 000 F CFA le litre</w:t>
      </w:r>
      <w:r>
        <w:rPr>
          <w:sz w:val="22"/>
          <w:szCs w:val="22"/>
        </w:rPr>
        <w:t xml:space="preserve"> pour tous les jus. Des conditions favorables de livraison sont proposées pour les clients qui passent des commandes importantes.</w:t>
      </w:r>
    </w:p>
    <w:p>
      <w:pPr>
        <w:pStyle w:val="Normal"/>
        <w:numPr>
          <w:ilvl w:val="1"/>
          <w:numId w:val="2"/>
        </w:numPr>
        <w:rPr>
          <w:b/>
          <w:bCs/>
          <w:sz w:val="22"/>
          <w:szCs w:val="22"/>
          <w:lang w:val="fr-CI"/>
        </w:rPr>
      </w:pPr>
      <w:r>
        <w:rPr>
          <w:b/>
          <w:bCs/>
          <w:sz w:val="22"/>
          <w:szCs w:val="22"/>
          <w:lang w:val="fr-CI"/>
        </w:rPr>
        <w:t>Politique de place</w:t>
      </w:r>
    </w:p>
    <w:p>
      <w:pPr>
        <w:pStyle w:val="Normal"/>
        <w:jc w:val="both"/>
        <w:rPr>
          <w:sz w:val="22"/>
          <w:szCs w:val="22"/>
          <w:lang w:val="fr-CI"/>
        </w:rPr>
      </w:pPr>
      <w:r>
        <w:rPr>
          <w:sz w:val="22"/>
          <w:szCs w:val="22"/>
          <w:lang w:val="fr-CI"/>
        </w:rPr>
        <w:t xml:space="preserve">. </w:t>
      </w:r>
    </w:p>
    <w:p>
      <w:pPr>
        <w:pStyle w:val="Normal"/>
        <w:jc w:val="both"/>
        <w:rPr/>
      </w:pPr>
      <w:r>
        <w:rPr/>
        <w:t xml:space="preserve">La localisation de l’unité de transformation à </w:t>
      </w:r>
      <w:r>
        <w:rPr>
          <w:b/>
          <w:bCs/>
        </w:rPr>
        <w:t>Kati-Farada, près du pont (Région de Koulikoro)</w:t>
      </w:r>
      <w:r>
        <w:rPr/>
        <w:t>,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color w:val="FF0000"/>
          <w:sz w:val="22"/>
          <w:szCs w:val="22"/>
          <w:lang w:val="fr-CI"/>
        </w:rPr>
      </w:pPr>
      <w:r>
        <w:rPr>
          <w:color w:val="FF0000"/>
          <w:sz w:val="22"/>
          <w:szCs w:val="22"/>
          <w:lang w:val="fr-CI"/>
        </w:rPr>
      </w:r>
    </w:p>
    <w:p>
      <w:pPr>
        <w:pStyle w:val="Normal"/>
        <w:numPr>
          <w:ilvl w:val="1"/>
          <w:numId w:val="2"/>
        </w:numPr>
        <w:rPr>
          <w:b/>
          <w:bCs/>
          <w:sz w:val="22"/>
          <w:szCs w:val="22"/>
          <w:lang w:val="fr-CI"/>
        </w:rPr>
      </w:pPr>
      <w:r>
        <w:rPr>
          <w:b/>
          <w:bCs/>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start="431" w:end="0"/>
        <w:jc w:val="both"/>
        <w:rPr>
          <w:rFonts w:ascii="Times New Roman" w:hAnsi="Times New Roman" w:cs="Times New Roman"/>
          <w:caps/>
          <w:color w:val="166B7F"/>
          <w:kern w:val="0"/>
          <w:lang w:eastAsia="en-US"/>
        </w:rPr>
      </w:pPr>
      <w:bookmarkStart w:id="21" w:name="__RefHeading___Toc234831707"/>
      <w:bookmarkEnd w:id="21"/>
      <w:r>
        <w:rPr>
          <w:rFonts w:cs="Times New Roman" w:ascii="Times New Roman" w:hAnsi="Times New Roman"/>
          <w:caps/>
          <w:color w:val="166B7F"/>
          <w:kern w:val="0"/>
          <w:lang w:eastAsia="en-US"/>
        </w:rPr>
        <w:t>ETUDE TECHNIQUE</w:t>
      </w:r>
    </w:p>
    <w:p>
      <w:pPr>
        <w:pStyle w:val="Heading2"/>
        <w:keepLines/>
        <w:numPr>
          <w:ilvl w:val="0"/>
          <w:numId w:val="12"/>
        </w:numPr>
        <w:spacing w:before="120" w:after="120"/>
        <w:jc w:val="both"/>
        <w:rPr>
          <w:rFonts w:ascii="Times New Roman" w:hAnsi="Times New Roman" w:cs="Times New Roman"/>
          <w:i w:val="false"/>
          <w:i w:val="false"/>
          <w:iCs w:val="false"/>
          <w:sz w:val="24"/>
          <w:szCs w:val="24"/>
          <w:lang w:val="fr-CI"/>
        </w:rPr>
      </w:pPr>
      <w:bookmarkStart w:id="22" w:name="__RefHeading___Toc234831708"/>
      <w:r>
        <w:rPr>
          <w:rFonts w:cs="Times New Roman" w:ascii="Times New Roman" w:hAnsi="Times New Roman"/>
          <w:i w:val="false"/>
          <w:iCs w:val="false"/>
          <w:sz w:val="24"/>
          <w:szCs w:val="24"/>
          <w:lang w:val="fr-CI"/>
        </w:rPr>
        <w:t>Site d’implantation :</w:t>
      </w:r>
      <w:bookmarkEnd w:id="22"/>
      <w:r>
        <w:rPr>
          <w:rFonts w:cs="Times New Roman" w:ascii="Times New Roman" w:hAnsi="Times New Roman"/>
          <w:i w:val="false"/>
          <w:iCs w:val="false"/>
          <w:sz w:val="24"/>
          <w:szCs w:val="24"/>
          <w:lang w:val="fr-CI"/>
        </w:rPr>
        <w:t xml:space="preserve"> </w:t>
      </w:r>
    </w:p>
    <w:p>
      <w:pPr>
        <w:pStyle w:val="Normal"/>
        <w:autoSpaceDE w:val="false"/>
        <w:jc w:val="both"/>
        <w:rPr>
          <w:iCs/>
          <w:sz w:val="22"/>
          <w:szCs w:val="22"/>
        </w:rPr>
      </w:pPr>
      <w:r>
        <w:rPr>
          <w:iCs/>
          <w:sz w:val="22"/>
          <w:szCs w:val="22"/>
        </w:rPr>
        <w:t xml:space="preserve">Le projet sera réalisé à </w:t>
      </w:r>
      <w:r>
        <w:rPr>
          <w:b/>
          <w:bCs/>
          <w:iCs/>
          <w:sz w:val="22"/>
          <w:szCs w:val="22"/>
        </w:rPr>
        <w:t>Kati-Farada, près du pont</w:t>
      </w:r>
      <w:r>
        <w:rPr>
          <w:iCs/>
          <w:sz w:val="22"/>
          <w:szCs w:val="22"/>
        </w:rPr>
        <w:t xml:space="preserve">, dans la </w:t>
      </w:r>
      <w:r>
        <w:rPr>
          <w:b/>
          <w:bCs/>
          <w:iCs/>
          <w:sz w:val="22"/>
          <w:szCs w:val="22"/>
        </w:rPr>
        <w:t>Région de Koulikoro</w:t>
      </w:r>
      <w:r>
        <w:rPr>
          <w:iCs/>
          <w:sz w:val="22"/>
          <w:szCs w:val="22"/>
        </w:rPr>
        <w:t>. Le site du projet est accessible avec des routes praticables en toute saison, cela facilitera le transport de la production pour la livraison aux clients.</w:t>
      </w:r>
    </w:p>
    <w:p>
      <w:pPr>
        <w:pStyle w:val="Normal"/>
        <w:autoSpaceDE w:val="false"/>
        <w:jc w:val="both"/>
        <w:rPr>
          <w:iCs/>
          <w:sz w:val="22"/>
          <w:szCs w:val="22"/>
        </w:rPr>
      </w:pPr>
      <w:r>
        <w:rPr>
          <w:iCs/>
          <w:sz w:val="22"/>
          <w:szCs w:val="22"/>
        </w:rPr>
        <w:t xml:space="preserve">Le local est détenu par un membre de la famille qui autorise l’exploitation pour une durée de </w:t>
      </w:r>
      <w:r>
        <w:rPr>
          <w:b/>
          <w:bCs/>
          <w:iCs/>
          <w:sz w:val="22"/>
          <w:szCs w:val="22"/>
        </w:rPr>
        <w:t>7 ans</w:t>
      </w:r>
      <w:r>
        <w:rPr>
          <w:iCs/>
          <w:sz w:val="22"/>
          <w:szCs w:val="22"/>
        </w:rPr>
        <w:t>, renouvelable. Le document officiel vous sera soumis très prochainement</w:t>
      </w:r>
    </w:p>
    <w:p>
      <w:pPr>
        <w:pStyle w:val="Normal"/>
        <w:autoSpaceDE w:val="false"/>
        <w:jc w:val="both"/>
        <w:rPr>
          <w:rFonts w:ascii="Cambria" w:hAnsi="Cambria" w:cs="Calibri"/>
          <w:i/>
          <w:i/>
          <w:iCs/>
          <w:sz w:val="20"/>
          <w:szCs w:val="20"/>
        </w:rPr>
      </w:pPr>
      <w:r>
        <w:rPr>
          <w:rFonts w:cs="Calibri" w:ascii="Cambria" w:hAnsi="Cambria"/>
          <w:i/>
          <w:iCs/>
          <w:sz w:val="20"/>
          <w:szCs w:val="20"/>
        </w:rPr>
      </w:r>
    </w:p>
    <w:p>
      <w:pPr>
        <w:pStyle w:val="Heading2"/>
        <w:keepLines/>
        <w:numPr>
          <w:ilvl w:val="0"/>
          <w:numId w:val="12"/>
        </w:numPr>
        <w:spacing w:before="120" w:after="0"/>
        <w:jc w:val="both"/>
        <w:rPr>
          <w:rFonts w:ascii="Times New Roman" w:hAnsi="Times New Roman" w:cs="Times New Roman"/>
          <w:i w:val="false"/>
          <w:i w:val="false"/>
          <w:iCs w:val="false"/>
          <w:sz w:val="24"/>
          <w:szCs w:val="24"/>
          <w:lang w:val="fr-CI"/>
        </w:rPr>
      </w:pPr>
      <w:bookmarkStart w:id="23" w:name="__RefHeading___Toc234831709"/>
      <w:bookmarkEnd w:id="23"/>
      <w:r>
        <w:rPr>
          <w:rFonts w:cs="Times New Roman" w:ascii="Times New Roman" w:hAnsi="Times New Roman"/>
          <w:i w:val="false"/>
          <w:iCs w:val="false"/>
          <w:sz w:val="24"/>
          <w:szCs w:val="24"/>
          <w:lang w:val="fr-CI"/>
        </w:rPr>
        <w:t>Locaux, aménagements / installations et équipements</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local artisanal</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1 500 000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1 500 000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20"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1 500 000</w:t>
            </w:r>
          </w:p>
        </w:tc>
      </w:tr>
    </w:tbl>
    <w:p>
      <w:pPr>
        <w:pStyle w:val="Heading3"/>
        <w:numPr>
          <w:ilvl w:val="1"/>
          <w:numId w:val="9"/>
        </w:numPr>
        <w:rPr>
          <w:rFonts w:ascii="Times New Roman" w:hAnsi="Times New Roman" w:cs="Times New Roman"/>
          <w:sz w:val="24"/>
          <w:szCs w:val="24"/>
        </w:rPr>
      </w:pPr>
      <w:bookmarkStart w:id="24" w:name="__RefHeading___Toc234831710"/>
      <w:bookmarkEnd w:id="24"/>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Presse / pulpeuse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800 000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Pasteurisateur</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1 200 000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Cuve de mélange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Broyeur / mixeur</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Filtre, balance et petit matériel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Réfrigérateur / congélateur</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1 000 000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4 250 000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2"/>
        </w:numPr>
        <w:spacing w:before="120" w:after="120"/>
        <w:jc w:val="both"/>
        <w:rPr>
          <w:rFonts w:ascii="Times New Roman" w:hAnsi="Times New Roman" w:cs="Times New Roman"/>
          <w:b w:val="false"/>
          <w:bCs w:val="false"/>
          <w:i w:val="false"/>
          <w:i w:val="false"/>
          <w:sz w:val="22"/>
          <w:szCs w:val="22"/>
          <w:lang w:val="fr-CI"/>
        </w:rPr>
      </w:pPr>
      <w:bookmarkStart w:id="25" w:name="__RefHeading___Toc234831711"/>
      <w:bookmarkEnd w:id="25"/>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jc w:val="both"/>
        <w:rPr>
          <w:bCs/>
          <w:sz w:val="22"/>
          <w:szCs w:val="22"/>
        </w:rPr>
      </w:pPr>
      <w:r>
        <w:rPr>
          <w:b/>
          <w:bCs/>
          <w:sz w:val="22"/>
          <w:szCs w:val="22"/>
        </w:rPr>
        <w:t>Étapes de transformation des fruits locaux :</w:t>
      </w:r>
    </w:p>
    <w:p>
      <w:pPr>
        <w:pStyle w:val="ds-markdown-paragraph"/>
        <w:shd w:fill="FFFFFF" w:val="clear"/>
        <w:spacing w:before="0" w:after="0"/>
        <w:ind w:start="360" w:end="0"/>
        <w:rPr>
          <w:rStyle w:val="Strong"/>
          <w:b w:val="false"/>
          <w:color w:val="0F1115"/>
        </w:rPr>
      </w:pPr>
      <w:r>
        <w:rPr>
          <w:rStyle w:val="Strong"/>
          <w:b w:val="false"/>
          <w:color w:val="0F1115"/>
        </w:rPr>
        <w:t>Approvisionnement et tri → Lavage → Épluchage / Dénoyautage → Pressage → Pasteurisation → Conditionnement → Contrôle qualité → Stockage.</w:t>
      </w:r>
    </w:p>
    <w:p>
      <w:pPr>
        <w:pStyle w:val="ds-markdown-paragraph"/>
        <w:shd w:fill="FFFFFF" w:val="clear"/>
        <w:spacing w:before="0" w:after="0"/>
        <w:ind w:start="360" w:end="0"/>
        <w:rPr>
          <w:rStyle w:val="Strong"/>
          <w:bCs w:val="false"/>
          <w:color w:val="0F1115"/>
        </w:rPr>
      </w:pPr>
      <w:r>
        <w:rPr>
          <w:rStyle w:val="Strong"/>
          <w:b w:val="false"/>
          <w:color w:val="0F1115"/>
        </w:rPr>
        <w:t>Le processus de production au niveau de l’unité de transformation FLAFLA comprend</w:t>
      </w:r>
      <w:r>
        <w:rPr>
          <w:rStyle w:val="Strong"/>
          <w:bCs w:val="false"/>
          <w:color w:val="0F1115"/>
        </w:rPr>
        <w:t xml:space="preserve"> :</w:t>
      </w:r>
    </w:p>
    <w:p>
      <w:pPr>
        <w:pStyle w:val="ds-markdown-paragraph"/>
        <w:shd w:fill="FFFFFF" w:val="clear"/>
        <w:spacing w:before="0" w:after="0"/>
        <w:ind w:start="360" w:end="0"/>
        <w:rPr>
          <w:rStyle w:val="Strong"/>
          <w:b w:val="false"/>
          <w:color w:val="0F1115"/>
        </w:rPr>
      </w:pPr>
      <w:r>
        <w:rPr>
          <w:rStyle w:val="Strong"/>
          <w:color w:val="0F1115"/>
        </w:rPr>
        <w:t>Approvisionnement et tri des fruits</w:t>
      </w:r>
      <w:r>
        <w:rPr>
          <w:rStyle w:val="Strong"/>
          <w:bCs w:val="false"/>
          <w:color w:val="0F1115"/>
        </w:rPr>
        <w:br/>
      </w:r>
      <w:r>
        <w:rPr>
          <w:rStyle w:val="Strong"/>
          <w:b w:val="false"/>
          <w:color w:val="0F1115"/>
        </w:rPr>
        <w:t>Les fruits (mangue, orange, tamarin, zaban) sont achetés auprès des producteurs locaux de Kati, Bougouni, Sikasso et Kita. Ils sont triés pour éliminer les fruits abîmés ou non conformes, garantissant ainsi la qualité des produits finis.</w:t>
      </w:r>
    </w:p>
    <w:p>
      <w:pPr>
        <w:pStyle w:val="ds-markdown-paragraph"/>
        <w:shd w:fill="FFFFFF" w:val="clear"/>
        <w:spacing w:before="0" w:after="0"/>
        <w:ind w:start="360" w:end="0"/>
        <w:rPr>
          <w:rStyle w:val="Strong"/>
          <w:bCs w:val="false"/>
          <w:color w:val="0F1115"/>
        </w:rPr>
      </w:pPr>
      <w:r>
        <w:rPr>
          <w:rStyle w:val="Strong"/>
          <w:b w:val="false"/>
          <w:color w:val="0F1115"/>
        </w:rPr>
        <w:t>Lavage et épluchage / dénoyautage</w:t>
        <w:br/>
        <w:t>Les fruits sont lavés à l’eau propre puis épluchés et dénoyautés manuellement ou à l’aide d’équipements adaptés, selon le type de fruit à transformer</w:t>
      </w:r>
      <w:r>
        <w:rPr>
          <w:rStyle w:val="Strong"/>
          <w:bCs w:val="false"/>
          <w:color w:val="0F1115"/>
        </w:rPr>
        <w:t>.</w:t>
      </w:r>
    </w:p>
    <w:p>
      <w:pPr>
        <w:pStyle w:val="ds-markdown-paragraph"/>
        <w:shd w:fill="FFFFFF" w:val="clear"/>
        <w:spacing w:before="0" w:after="0"/>
        <w:ind w:start="360" w:end="0"/>
        <w:rPr>
          <w:rStyle w:val="Strong"/>
          <w:color w:val="0F1115"/>
        </w:rPr>
      </w:pPr>
      <w:r>
        <w:rPr>
          <w:rStyle w:val="Strong"/>
          <w:color w:val="0F1115"/>
        </w:rPr>
        <w:t>Transformation selon le produit</w:t>
      </w:r>
    </w:p>
    <w:p>
      <w:pPr>
        <w:pStyle w:val="ds-markdown-paragraph"/>
        <w:shd w:fill="FFFFFF" w:val="clear"/>
        <w:spacing w:before="0" w:after="0"/>
        <w:ind w:start="360" w:end="0"/>
        <w:rPr>
          <w:rStyle w:val="Strong"/>
          <w:b w:val="false"/>
          <w:color w:val="0F1115"/>
        </w:rPr>
      </w:pPr>
      <w:r>
        <w:rPr>
          <w:rStyle w:val="Strong"/>
          <w:b w:val="false"/>
          <w:bCs w:val="false"/>
          <w:color w:val="0F1115"/>
        </w:rPr>
        <w:t>Jus de mangue</w:t>
      </w:r>
      <w:r>
        <w:rPr>
          <w:rStyle w:val="Strong"/>
          <w:bCs w:val="false"/>
          <w:color w:val="0F1115"/>
        </w:rPr>
        <w:t xml:space="preserve"> : </w:t>
      </w:r>
      <w:r>
        <w:rPr>
          <w:rStyle w:val="Strong"/>
          <w:b w:val="false"/>
          <w:color w:val="0F1115"/>
        </w:rPr>
        <w:t>lavage → épluchage → dénoyautage → pressage → filtration → pasteurisation (75 °C) → conditionnement à chaud en bouteilles de 50 cl et 1 L.</w:t>
      </w:r>
    </w:p>
    <w:p>
      <w:pPr>
        <w:pStyle w:val="ds-markdown-paragraph"/>
        <w:shd w:fill="FFFFFF" w:val="clear"/>
        <w:spacing w:before="0" w:after="0"/>
        <w:ind w:start="360" w:end="0"/>
        <w:rPr>
          <w:rStyle w:val="Strong"/>
          <w:b w:val="false"/>
          <w:color w:val="0F1115"/>
        </w:rPr>
      </w:pPr>
      <w:r>
        <w:rPr>
          <w:rStyle w:val="Strong"/>
          <w:b w:val="false"/>
          <w:bCs w:val="false"/>
          <w:color w:val="0F1115"/>
        </w:rPr>
        <w:t>Jus d’orange</w:t>
      </w:r>
      <w:r>
        <w:rPr>
          <w:rStyle w:val="Strong"/>
          <w:bCs w:val="false"/>
          <w:color w:val="0F1115"/>
        </w:rPr>
        <w:t xml:space="preserve"> : </w:t>
      </w:r>
      <w:r>
        <w:rPr>
          <w:rStyle w:val="Strong"/>
          <w:b w:val="false"/>
          <w:color w:val="0F1115"/>
        </w:rPr>
        <w:t>lavage → épluchage → pressage → filtration → pasteurisation → conditionnement en bouteilles de 50 cl et 1 L.</w:t>
      </w:r>
    </w:p>
    <w:p>
      <w:pPr>
        <w:pStyle w:val="ds-markdown-paragraph"/>
        <w:shd w:fill="FFFFFF" w:val="clear"/>
        <w:spacing w:before="0" w:after="0"/>
        <w:ind w:start="360" w:end="0"/>
        <w:rPr>
          <w:rStyle w:val="Strong"/>
          <w:b w:val="false"/>
          <w:color w:val="0F1115"/>
        </w:rPr>
      </w:pPr>
      <w:r>
        <w:rPr>
          <w:rStyle w:val="Strong"/>
          <w:b w:val="false"/>
          <w:bCs w:val="false"/>
          <w:color w:val="0F1115"/>
        </w:rPr>
        <w:t>Jus de tamarin/zaban</w:t>
      </w:r>
      <w:r>
        <w:rPr>
          <w:rStyle w:val="Strong"/>
          <w:bCs w:val="false"/>
          <w:color w:val="0F1115"/>
        </w:rPr>
        <w:t xml:space="preserve"> : </w:t>
      </w:r>
      <w:r>
        <w:rPr>
          <w:rStyle w:val="Strong"/>
          <w:b w:val="false"/>
          <w:color w:val="0F1115"/>
        </w:rPr>
        <w:t>lavage → décorticage → trempage → extraction de la pulpe → filtration → pasteurisation → conditionnement en bouteilles de 50 cl et 1 L.</w:t>
      </w:r>
    </w:p>
    <w:p>
      <w:pPr>
        <w:pStyle w:val="ds-markdown-paragraph"/>
        <w:shd w:fill="FFFFFF" w:val="clear"/>
        <w:spacing w:before="0" w:after="0"/>
        <w:ind w:start="360" w:end="0"/>
        <w:rPr>
          <w:rStyle w:val="Strong"/>
          <w:bCs w:val="false"/>
          <w:color w:val="0F1115"/>
        </w:rPr>
      </w:pPr>
      <w:r>
        <w:rPr>
          <w:rStyle w:val="Strong"/>
          <w:bCs w:val="false"/>
          <w:color w:val="0F1115"/>
        </w:rPr>
        <w:t>Contrôle qualité et conditionnement</w:t>
      </w:r>
      <w:r>
        <w:rPr>
          <w:rStyle w:val="Strong"/>
          <w:b w:val="false"/>
          <w:color w:val="0F1115"/>
        </w:rPr>
        <w:br/>
        <w:t>Chaque lot est contrôlé avant emballage</w:t>
      </w:r>
      <w:r>
        <w:rPr>
          <w:rStyle w:val="Strong"/>
          <w:bCs w:val="false"/>
          <w:color w:val="0F1115"/>
        </w:rPr>
        <w:t xml:space="preserve"> </w:t>
      </w:r>
      <w:r>
        <w:rPr>
          <w:rStyle w:val="Strong"/>
          <w:b w:val="false"/>
          <w:color w:val="0F1115"/>
        </w:rPr>
        <w:t>: vérification de l’hygiène, du goût, de la texture et de la conformité du poids. L’emballage est moderne et porte la marque FLAFLA</w:t>
      </w:r>
      <w:r>
        <w:rPr>
          <w:rStyle w:val="Strong"/>
          <w:bCs w:val="false"/>
          <w:color w:val="0F1115"/>
        </w:rPr>
        <w:t>.</w:t>
      </w:r>
    </w:p>
    <w:p>
      <w:pPr>
        <w:pStyle w:val="ds-markdown-paragraph"/>
        <w:shd w:fill="FFFFFF" w:val="clear"/>
        <w:spacing w:before="0" w:after="0"/>
        <w:ind w:start="360" w:end="0"/>
        <w:rPr>
          <w:rStyle w:val="Strong"/>
          <w:bCs w:val="false"/>
          <w:color w:val="0F1115"/>
        </w:rPr>
      </w:pPr>
      <w:r>
        <w:rPr>
          <w:rStyle w:val="Strong"/>
          <w:color w:val="0F1115"/>
        </w:rPr>
        <w:t>Stockage et commercialisation</w:t>
      </w:r>
      <w:r>
        <w:rPr>
          <w:rStyle w:val="Strong"/>
          <w:bCs w:val="false"/>
          <w:color w:val="0F1115"/>
        </w:rPr>
        <w:br/>
      </w:r>
      <w:r>
        <w:rPr>
          <w:rStyle w:val="Strong"/>
          <w:b w:val="false"/>
          <w:color w:val="0F1115"/>
        </w:rPr>
        <w:t>Les produits finis sont stockés dans un local sec et aéré, à l’abri de l’humidité. La commercialisation se fait auprès des ménages, restaurants, supermarchés, grossistes, détaillants et revendeurs de Kati, Bamako et environs</w:t>
      </w:r>
      <w:r>
        <w:rPr>
          <w:rStyle w:val="Strong"/>
          <w:bCs w:val="false"/>
          <w:color w:val="0F1115"/>
        </w:rPr>
        <w:t>.</w:t>
      </w:r>
    </w:p>
    <w:p>
      <w:pPr>
        <w:pStyle w:val="ds-markdown-paragraph"/>
        <w:shd w:fill="FFFFFF" w:val="clear"/>
        <w:spacing w:before="0" w:after="0"/>
        <w:ind w:start="360" w:end="0"/>
        <w:rPr>
          <w:rStyle w:val="Strong"/>
          <w:bCs w:val="false"/>
          <w:color w:val="0F1115"/>
        </w:rPr>
      </w:pPr>
      <w:r>
        <w:rPr>
          <w:rStyle w:val="Strong"/>
          <w:bCs w:val="false"/>
          <w:color w:val="0F1115"/>
        </w:rPr>
        <w:t xml:space="preserve">La capacité de production de </w:t>
      </w:r>
      <w:r>
        <w:rPr>
          <w:rStyle w:val="Strong"/>
          <w:b w:val="false"/>
          <w:bCs w:val="false"/>
          <w:color w:val="0F1115"/>
        </w:rPr>
        <w:t>FLAFLA</w:t>
      </w:r>
      <w:r>
        <w:rPr>
          <w:rStyle w:val="Strong"/>
          <w:bCs w:val="false"/>
          <w:color w:val="0F1115"/>
        </w:rPr>
        <w:t xml:space="preserve"> est définie dans la projection de vente ci-dessous :</w:t>
      </w:r>
    </w:p>
    <w:p>
      <w:pPr>
        <w:pStyle w:val="ds-markdown-paragraph"/>
        <w:shd w:fill="FFFFFF" w:val="clear"/>
        <w:spacing w:before="0" w:after="0"/>
        <w:ind w:start="360" w:end="0"/>
        <w:rPr>
          <w:rStyle w:val="Strong"/>
          <w:bCs w:val="false"/>
          <w:color w:val="0F1115"/>
        </w:rPr>
      </w:pPr>
      <w:r>
        <w:rPr/>
      </w:r>
    </w:p>
    <w:tbl>
      <w:tblPr>
        <w:tblpPr w:vertAnchor="text" w:horzAnchor="margin" w:tblpXSpec="center" w:leftFromText="141" w:rightFromText="141" w:tblpY="126"/>
        <w:tblW w:w="10144" w:type="dxa"/>
        <w:jc w:val="start"/>
        <w:tblInd w:w="0" w:type="dxa"/>
        <w:tblLayout w:type="fixed"/>
        <w:tblCellMar>
          <w:top w:w="150" w:type="dxa"/>
          <w:start w:w="0" w:type="dxa"/>
          <w:bottom w:w="150" w:type="dxa"/>
          <w:end w:w="240" w:type="dxa"/>
        </w:tblCellMar>
      </w:tblPr>
      <w:tblGrid>
        <w:gridCol w:w="5328"/>
        <w:gridCol w:w="2298"/>
        <w:gridCol w:w="2518"/>
      </w:tblGrid>
      <w:tr>
        <w:trPr>
          <w:tblHeader w:val="true"/>
          <w:trHeight w:val="243" w:hRule="atLeast"/>
        </w:trPr>
        <w:tc>
          <w:tcPr>
            <w:tcW w:w="5328" w:type="dxa"/>
            <w:tcBorders>
              <w:top w:val="single" w:sz="4" w:space="0" w:color="000000"/>
              <w:start w:val="single" w:sz="4" w:space="0" w:color="000000"/>
              <w:bottom w:val="single" w:sz="4" w:space="0" w:color="000000"/>
              <w:end w:val="single" w:sz="4" w:space="0" w:color="000000"/>
            </w:tcBorders>
            <w:vAlign w:val="center"/>
          </w:tcPr>
          <w:p>
            <w:pPr>
              <w:pStyle w:val="ds-markdown-paragraph"/>
              <w:shd w:fill="FFFFFF" w:val="clear"/>
              <w:spacing w:before="280" w:after="0"/>
              <w:ind w:start="360" w:end="0"/>
              <w:rPr>
                <w:b/>
                <w:color w:val="0F1115"/>
              </w:rPr>
            </w:pPr>
            <w:r>
              <w:rPr>
                <w:b/>
                <w:color w:val="0F1115"/>
              </w:rPr>
              <w:t>Désignation</w:t>
            </w:r>
          </w:p>
        </w:tc>
        <w:tc>
          <w:tcPr>
            <w:tcW w:w="229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
                <w:color w:val="0F1115"/>
              </w:rPr>
            </w:pPr>
            <w:r>
              <w:rPr>
                <w:b/>
                <w:color w:val="0F1115"/>
              </w:rPr>
              <w:t>Unité</w:t>
            </w:r>
          </w:p>
        </w:tc>
        <w:tc>
          <w:tcPr>
            <w:tcW w:w="2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
                <w:color w:val="0F1115"/>
              </w:rPr>
            </w:pPr>
            <w:r>
              <w:rPr>
                <w:b/>
                <w:color w:val="0F1115"/>
              </w:rPr>
              <w:t>Qté/an</w:t>
            </w:r>
          </w:p>
        </w:tc>
      </w:tr>
      <w:tr>
        <w:trPr>
          <w:trHeight w:val="243" w:hRule="atLeast"/>
        </w:trPr>
        <w:tc>
          <w:tcPr>
            <w:tcW w:w="5328" w:type="dxa"/>
            <w:tcBorders>
              <w:top w:val="single" w:sz="4" w:space="0" w:color="000000"/>
              <w:start w:val="single" w:sz="4" w:space="0" w:color="000000"/>
              <w:bottom w:val="single" w:sz="4" w:space="0" w:color="000000"/>
              <w:end w:val="single" w:sz="4" w:space="0" w:color="000000"/>
            </w:tcBorders>
            <w:vAlign w:val="center"/>
          </w:tcPr>
          <w:p>
            <w:pPr>
              <w:pStyle w:val="ds-markdown-paragraph"/>
              <w:shd w:fill="FFFFFF" w:val="clear"/>
              <w:spacing w:before="280" w:after="0"/>
              <w:ind w:start="360" w:end="0"/>
              <w:rPr>
                <w:bCs/>
                <w:color w:val="0F1115"/>
              </w:rPr>
            </w:pPr>
            <w:r>
              <w:rPr>
                <w:bCs/>
                <w:color w:val="0F1115"/>
              </w:rPr>
              <w:t>Vente Jus de mangue</w:t>
            </w:r>
          </w:p>
        </w:tc>
        <w:tc>
          <w:tcPr>
            <w:tcW w:w="229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Cs/>
                <w:color w:val="0F1115"/>
              </w:rPr>
            </w:pPr>
            <w:r>
              <w:rPr>
                <w:bCs/>
                <w:color w:val="0F1115"/>
              </w:rPr>
              <w:t>Litre</w:t>
            </w:r>
          </w:p>
        </w:tc>
        <w:tc>
          <w:tcPr>
            <w:tcW w:w="251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hd w:fill="FFFFFF" w:val="clear"/>
              <w:spacing w:before="280" w:after="0"/>
              <w:ind w:start="360" w:end="0"/>
              <w:rPr>
                <w:bCs/>
                <w:color w:val="0F1115"/>
              </w:rPr>
            </w:pPr>
            <w:r>
              <w:rPr>
                <w:bCs/>
                <w:color w:val="0F1115"/>
              </w:rPr>
              <w:t>6 000</w:t>
            </w:r>
          </w:p>
        </w:tc>
      </w:tr>
      <w:tr>
        <w:trPr>
          <w:trHeight w:val="259" w:hRule="atLeast"/>
        </w:trPr>
        <w:tc>
          <w:tcPr>
            <w:tcW w:w="5328" w:type="dxa"/>
            <w:tcBorders>
              <w:top w:val="single" w:sz="4" w:space="0" w:color="000000"/>
              <w:start w:val="single" w:sz="4" w:space="0" w:color="000000"/>
              <w:bottom w:val="single" w:sz="4" w:space="0" w:color="000000"/>
              <w:end w:val="single" w:sz="4" w:space="0" w:color="000000"/>
            </w:tcBorders>
            <w:vAlign w:val="center"/>
          </w:tcPr>
          <w:p>
            <w:pPr>
              <w:pStyle w:val="ds-markdown-paragraph"/>
              <w:shd w:fill="FFFFFF" w:val="clear"/>
              <w:spacing w:before="280" w:after="0"/>
              <w:ind w:start="360" w:end="0"/>
              <w:rPr>
                <w:bCs/>
                <w:color w:val="0F1115"/>
              </w:rPr>
            </w:pPr>
            <w:r>
              <w:rPr>
                <w:bCs/>
                <w:color w:val="0F1115"/>
              </w:rPr>
              <w:t>Vente Jus d’orange</w:t>
            </w:r>
          </w:p>
        </w:tc>
        <w:tc>
          <w:tcPr>
            <w:tcW w:w="229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Cs/>
                <w:color w:val="0F1115"/>
              </w:rPr>
            </w:pPr>
            <w:r>
              <w:rPr>
                <w:bCs/>
                <w:color w:val="0F1115"/>
              </w:rPr>
              <w:t>Litre</w:t>
            </w:r>
          </w:p>
        </w:tc>
        <w:tc>
          <w:tcPr>
            <w:tcW w:w="251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hd w:fill="FFFFFF" w:val="clear"/>
              <w:spacing w:before="280" w:after="0"/>
              <w:ind w:start="360" w:end="0"/>
              <w:rPr>
                <w:bCs/>
                <w:color w:val="0F1115"/>
              </w:rPr>
            </w:pPr>
            <w:r>
              <w:rPr>
                <w:bCs/>
                <w:color w:val="0F1115"/>
              </w:rPr>
              <w:t>4 000</w:t>
            </w:r>
          </w:p>
        </w:tc>
      </w:tr>
      <w:tr>
        <w:trPr>
          <w:trHeight w:val="243" w:hRule="atLeast"/>
        </w:trPr>
        <w:tc>
          <w:tcPr>
            <w:tcW w:w="5328" w:type="dxa"/>
            <w:tcBorders>
              <w:top w:val="single" w:sz="4" w:space="0" w:color="000000"/>
              <w:start w:val="single" w:sz="4" w:space="0" w:color="000000"/>
              <w:bottom w:val="single" w:sz="4" w:space="0" w:color="000000"/>
              <w:end w:val="single" w:sz="4" w:space="0" w:color="000000"/>
            </w:tcBorders>
            <w:vAlign w:val="center"/>
          </w:tcPr>
          <w:p>
            <w:pPr>
              <w:pStyle w:val="ds-markdown-paragraph"/>
              <w:shd w:fill="FFFFFF" w:val="clear"/>
              <w:spacing w:before="280" w:after="0"/>
              <w:ind w:start="360" w:end="0"/>
              <w:rPr>
                <w:bCs/>
                <w:color w:val="0F1115"/>
              </w:rPr>
            </w:pPr>
            <w:r>
              <w:rPr>
                <w:bCs/>
                <w:color w:val="0F1115"/>
              </w:rPr>
              <w:t>Vente Jus de tamarin/zaban</w:t>
            </w:r>
          </w:p>
        </w:tc>
        <w:tc>
          <w:tcPr>
            <w:tcW w:w="229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Cs/>
                <w:color w:val="0F1115"/>
              </w:rPr>
            </w:pPr>
            <w:r>
              <w:rPr>
                <w:bCs/>
                <w:color w:val="0F1115"/>
              </w:rPr>
              <w:t>Litre</w:t>
            </w:r>
          </w:p>
        </w:tc>
        <w:tc>
          <w:tcPr>
            <w:tcW w:w="251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hd w:fill="FFFFFF" w:val="clear"/>
              <w:spacing w:before="280" w:after="0"/>
              <w:ind w:start="360" w:end="0"/>
              <w:rPr>
                <w:bCs/>
                <w:color w:val="0F1115"/>
              </w:rPr>
            </w:pPr>
            <w:r>
              <w:rPr>
                <w:bCs/>
                <w:color w:val="0F1115"/>
              </w:rPr>
              <w:t>8 000</w:t>
            </w:r>
          </w:p>
        </w:tc>
      </w:tr>
      <w:tr>
        <w:trPr>
          <w:trHeight w:val="243" w:hRule="atLeast"/>
        </w:trPr>
        <w:tc>
          <w:tcPr>
            <w:tcW w:w="5328" w:type="dxa"/>
            <w:tcBorders>
              <w:top w:val="single" w:sz="4" w:space="0" w:color="000000"/>
              <w:start w:val="single" w:sz="4" w:space="0" w:color="000000"/>
              <w:bottom w:val="single" w:sz="4" w:space="0" w:color="000000"/>
              <w:end w:val="single" w:sz="4" w:space="0" w:color="000000"/>
            </w:tcBorders>
            <w:vAlign w:val="center"/>
          </w:tcPr>
          <w:p>
            <w:pPr>
              <w:pStyle w:val="ds-markdown-paragraph"/>
              <w:shd w:fill="FFFFFF" w:val="clear"/>
              <w:spacing w:before="280" w:after="0"/>
              <w:ind w:start="360" w:end="0"/>
              <w:rPr>
                <w:bCs/>
                <w:color w:val="0F1115"/>
              </w:rPr>
            </w:pPr>
            <w:r>
              <w:rPr>
                <w:bCs/>
                <w:color w:val="0F1115"/>
              </w:rPr>
              <w:t>TOTAL</w:t>
            </w:r>
          </w:p>
        </w:tc>
        <w:tc>
          <w:tcPr>
            <w:tcW w:w="229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ds-markdown-paragraph"/>
              <w:shd w:fill="FFFFFF" w:val="clear"/>
              <w:spacing w:before="280" w:after="0"/>
              <w:ind w:start="360" w:end="0"/>
              <w:rPr>
                <w:bCs/>
                <w:color w:val="0F1115"/>
              </w:rPr>
            </w:pPr>
            <w:r>
              <w:rPr>
                <w:bCs/>
                <w:color w:val="0F1115"/>
              </w:rPr>
              <w:t>Litre</w:t>
            </w:r>
          </w:p>
        </w:tc>
        <w:tc>
          <w:tcPr>
            <w:tcW w:w="251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ds-markdown-paragraph"/>
              <w:shd w:fill="FFFFFF" w:val="clear"/>
              <w:spacing w:before="280" w:after="0"/>
              <w:ind w:start="360" w:end="0"/>
              <w:rPr>
                <w:bCs/>
                <w:color w:val="0F1115"/>
              </w:rPr>
            </w:pPr>
            <w:r>
              <w:rPr>
                <w:bCs/>
                <w:color w:val="0F1115"/>
              </w:rPr>
              <w:t>18 000</w:t>
            </w:r>
          </w:p>
        </w:tc>
      </w:tr>
    </w:tbl>
    <w:p>
      <w:pPr>
        <w:pStyle w:val="ds-markdown-paragraph"/>
        <w:shd w:fill="FFFFFF" w:val="clear"/>
        <w:spacing w:before="0" w:after="0"/>
        <w:ind w:start="360" w:end="0"/>
        <w:rPr>
          <w:rStyle w:val="Strong"/>
          <w:bCs w:val="false"/>
          <w:color w:val="0F1115"/>
        </w:rPr>
      </w:pPr>
      <w:r>
        <w:rPr/>
      </w:r>
    </w:p>
    <w:p>
      <w:pPr>
        <w:pStyle w:val="ds-markdown-paragraph"/>
        <w:spacing w:before="0" w:after="0"/>
        <w:ind w:start="360" w:end="0"/>
        <w:rPr>
          <w:b/>
          <w:color w:val="0F1115"/>
        </w:rPr>
      </w:pPr>
      <w:r>
        <w:rPr>
          <w:b/>
          <w:i/>
          <w:iCs/>
          <w:color w:val="0F1115"/>
        </w:rPr>
        <w:t>(Soit 18 000 litres de jus et nectars 100 % naturels par an.)</w:t>
      </w:r>
    </w:p>
    <w:p>
      <w:pPr>
        <w:pStyle w:val="ds-markdown-paragraph"/>
        <w:shd w:fill="FFFFFF" w:val="clear"/>
        <w:spacing w:before="0" w:after="0"/>
        <w:ind w:start="360" w:end="0"/>
        <w:rPr>
          <w:rStyle w:val="Strong"/>
          <w:bCs w:val="false"/>
          <w:color w:val="0F1115"/>
        </w:rPr>
      </w:pPr>
      <w:r>
        <w:rPr>
          <w:b/>
          <w:color w:val="0F1115"/>
        </w:rPr>
      </w:r>
    </w:p>
    <w:p>
      <w:pPr>
        <w:pStyle w:val="ds-markdown-paragraph"/>
        <w:shd w:fill="FFFFFF" w:val="clear"/>
        <w:spacing w:before="0" w:after="0"/>
        <w:ind w:start="360" w:end="0"/>
        <w:rPr>
          <w:rStyle w:val="Strong"/>
          <w:bCs w:val="false"/>
          <w:color w:val="0F1115"/>
        </w:rPr>
      </w:pPr>
      <w:r>
        <w:rPr/>
      </w:r>
    </w:p>
    <w:p>
      <w:pPr>
        <w:pStyle w:val="ds-markdown-paragraph"/>
        <w:shd w:fill="FFFFFF" w:val="clear"/>
        <w:spacing w:before="0" w:after="0"/>
        <w:ind w:start="360" w:end="0"/>
        <w:rPr>
          <w:rStyle w:val="Strong"/>
          <w:bCs w:val="false"/>
          <w:color w:val="0F1115"/>
        </w:rPr>
      </w:pPr>
      <w:r>
        <w:rPr/>
      </w:r>
    </w:p>
    <w:p>
      <w:pPr>
        <w:pStyle w:val="Heading2"/>
        <w:keepLines/>
        <w:numPr>
          <w:ilvl w:val="0"/>
          <w:numId w:val="12"/>
        </w:numPr>
        <w:spacing w:before="120" w:after="120"/>
        <w:jc w:val="both"/>
        <w:rPr>
          <w:rFonts w:ascii="Times New Roman" w:hAnsi="Times New Roman" w:cs="Times New Roman"/>
          <w:sz w:val="24"/>
          <w:szCs w:val="24"/>
          <w:lang w:val="fr-CI"/>
        </w:rPr>
      </w:pPr>
      <w:bookmarkStart w:id="26" w:name="__RefHeading___Toc234831712"/>
      <w:bookmarkEnd w:id="26"/>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trois (3) hommes, tous de façon permanente (le promoteur-gérant, un responsable de production et un aide-production).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Zangolo DIARRA</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sz w:val="22"/>
                <w:szCs w:val="22"/>
                <w:lang w:val="fr-CA"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sz w:val="22"/>
                <w:szCs w:val="22"/>
                <w:lang w:val="fr-CA" w:eastAsia="fr-CA"/>
              </w:rPr>
            </w:pPr>
            <w:r>
              <w:rPr>
                <w:sz w:val="22"/>
                <w:szCs w:val="22"/>
                <w:lang w:val="fr-CA"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 1</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Arial"/>
                <w:sz w:val="22"/>
                <w:szCs w:val="22"/>
              </w:rPr>
            </w:pPr>
            <w:r>
              <w:rPr>
                <w:sz w:val="22"/>
                <w:szCs w:val="22"/>
                <w:lang w:eastAsia="fr-CA"/>
              </w:rPr>
              <w:t>Responsable 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pPr>
            <w:r>
              <w:rPr/>
              <w:t>300 000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 2</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pPr>
            <w:r>
              <w:rPr/>
              <w:t>300 000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3</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100 000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1 200 000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100 000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1 200 000</w:t>
            </w:r>
          </w:p>
        </w:tc>
      </w:tr>
    </w:tbl>
    <w:p>
      <w:pPr>
        <w:pStyle w:val="Heading1"/>
        <w:keepLines/>
        <w:numPr>
          <w:ilvl w:val="0"/>
          <w:numId w:val="2"/>
        </w:numPr>
        <w:spacing w:before="240" w:after="120"/>
        <w:ind w:hanging="431" w:start="431" w:end="0"/>
        <w:jc w:val="both"/>
        <w:rPr>
          <w:rFonts w:ascii="Times New Roman" w:hAnsi="Times New Roman" w:cs="Times New Roman"/>
          <w:caps/>
          <w:color w:val="166B7F"/>
          <w:kern w:val="0"/>
          <w:lang w:eastAsia="en-US"/>
        </w:rPr>
      </w:pPr>
      <w:bookmarkStart w:id="27" w:name="__RefHeading___Toc234831713"/>
      <w:bookmarkEnd w:id="27"/>
      <w:r>
        <w:rPr>
          <w:rFonts w:cs="Times New Roman" w:ascii="Times New Roman" w:hAnsi="Times New Roman"/>
          <w:caps/>
          <w:color w:val="166B7F"/>
          <w:kern w:val="0"/>
          <w:lang w:eastAsia="en-US"/>
        </w:rPr>
        <w:t>ETUDE ECONOMIQUE ET FINANCIERE</w:t>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28" w:name="__RefHeading___Toc234831714"/>
      <w:r>
        <w:rPr>
          <w:rFonts w:cs="Times New Roman" w:ascii="Times New Roman" w:hAnsi="Times New Roman"/>
          <w:i w:val="false"/>
          <w:iCs w:val="false"/>
          <w:lang w:val="fr-CI"/>
        </w:rPr>
        <w:t>Hypothèses de base</w:t>
      </w:r>
      <w:bookmarkEnd w:id="28"/>
      <w:r>
        <w:rPr>
          <w:rFonts w:cs="Times New Roman" w:ascii="Times New Roman" w:hAnsi="Times New Roman"/>
          <w:i w:val="false"/>
          <w:iCs w:val="false"/>
          <w:lang w:val="fr-CI"/>
        </w:rPr>
        <w:t xml:space="preserve"> </w:t>
      </w:r>
    </w:p>
    <w:p>
      <w:pPr>
        <w:pStyle w:val="Heading3"/>
        <w:numPr>
          <w:ilvl w:val="2"/>
          <w:numId w:val="2"/>
        </w:numPr>
        <w:rPr>
          <w:rFonts w:ascii="Times New Roman" w:hAnsi="Times New Roman" w:cs="Times New Roman"/>
          <w:sz w:val="24"/>
          <w:szCs w:val="24"/>
        </w:rPr>
      </w:pPr>
      <w:bookmarkStart w:id="29" w:name="__RefHeading___Toc234831715"/>
      <w:bookmarkEnd w:id="29"/>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mangue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6 120 000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6 242 400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6 367 248</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6 494 593</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d’orange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4 080 000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4 161 600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4 244 832</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4 329 729</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tamarin/zaban</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8 000 000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8 160 000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8 323 200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8 489 664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8 659 457</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19 101 744</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19 483 779</w:t>
            </w:r>
          </w:p>
        </w:tc>
      </w:tr>
    </w:tbl>
    <w:p>
      <w:pPr>
        <w:pStyle w:val="Heading3"/>
        <w:numPr>
          <w:ilvl w:val="2"/>
          <w:numId w:val="2"/>
        </w:numPr>
        <w:spacing w:before="0" w:after="60"/>
        <w:rPr>
          <w:rFonts w:ascii="Times New Roman" w:hAnsi="Times New Roman" w:cs="Times New Roman"/>
          <w:sz w:val="24"/>
          <w:szCs w:val="24"/>
        </w:rPr>
      </w:pPr>
      <w:bookmarkStart w:id="30" w:name="__RefHeading___Toc234831716"/>
      <w:r>
        <w:rPr>
          <w:rFonts w:cs="Times New Roman" w:ascii="Times New Roman" w:hAnsi="Times New Roman"/>
          <w:sz w:val="24"/>
          <w:szCs w:val="24"/>
        </w:rPr>
        <w:t>Données prévisionnelles sur les achats</w:t>
      </w:r>
      <w:bookmarkEnd w:id="30"/>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31" w:name="__RefHeading___Toc234831717"/>
      <w:bookmarkEnd w:id="31"/>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Fruits locaux (mangue, orange, tamarin, zaban)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2 000 000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2 000 000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99 440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99 440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2 539 440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Bouteilles et étiquettes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4 680 000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4 680 000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Maintenance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280 560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280 560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5 460 560</w:t>
            </w:r>
          </w:p>
        </w:tc>
      </w:tr>
    </w:tbl>
    <w:p>
      <w:pPr>
        <w:pStyle w:val="Heading3"/>
        <w:numPr>
          <w:ilvl w:val="2"/>
          <w:numId w:val="2"/>
        </w:numPr>
        <w:rPr>
          <w:rFonts w:ascii="Times New Roman" w:hAnsi="Times New Roman" w:cs="Times New Roman"/>
          <w:sz w:val="24"/>
          <w:szCs w:val="24"/>
        </w:rPr>
      </w:pPr>
      <w:bookmarkStart w:id="32" w:name="__RefHeading___Toc234831718"/>
      <w:bookmarkEnd w:id="32"/>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2"/>
        </w:numPr>
        <w:rPr>
          <w:rFonts w:ascii="Times New Roman" w:hAnsi="Times New Roman" w:cs="Times New Roman"/>
          <w:sz w:val="24"/>
          <w:szCs w:val="24"/>
        </w:rPr>
      </w:pPr>
      <w:bookmarkStart w:id="33" w:name="__RefHeading___Toc234831719"/>
      <w:bookmarkEnd w:id="33"/>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local artisanal</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Presse / pulpeuse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800 000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Pasteurisateur</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240 000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240 000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240 000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Cuve de mélange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Broyeur / mixeur</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Filtre, balance, petit matériel et réfrigérateur/congélateur</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1 450 000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290 000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290 000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290 000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5 800 000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1 275 000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2"/>
        </w:numPr>
        <w:spacing w:before="120" w:after="120"/>
        <w:jc w:val="both"/>
        <w:rPr>
          <w:rFonts w:ascii="Times New Roman" w:hAnsi="Times New Roman" w:cs="Times New Roman"/>
          <w:iCs/>
          <w:sz w:val="22"/>
          <w:szCs w:val="22"/>
        </w:rPr>
      </w:pPr>
      <w:bookmarkStart w:id="34" w:name="__RefHeading___Toc234831720"/>
      <w:bookmarkEnd w:id="34"/>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 dont 3 mois de différé.</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7 020 000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267 483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6 807 273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45 382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7 715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53 097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265 824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6 594 545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43 964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7 474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51 437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264 165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7 233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49 778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262 505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6 169 091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41 127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6 992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48 119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260 846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5 956 364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39 709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6 751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46 460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259 187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5 743 636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38 291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6 509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44 800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257 528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5 530 909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36 873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6 268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43 141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255 868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5 318 182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35 455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6 027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41 482</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254 209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34 036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5 786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39 823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252 550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4 892 727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32 618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38 163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250 891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4 680 000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31 200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5 304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36 504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249 231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4 467 273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5 063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34 845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247 572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4 822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4 041 818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26 945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4 581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31 526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244 253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3 829 091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25 527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29 867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242 594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3 616 364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24 109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28 208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240 935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22 691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26 548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239 276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24 889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237 616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2 978 182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23 230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235 957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2 765 455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18 436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3 134</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21 571</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234 298</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2 552 727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17 018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19 911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232 639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18 252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230 979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16 593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229 320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1 914 545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14 933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227 661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1 701 818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11 345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1 929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13 274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226 001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1 489 091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1 688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11 615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224 342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1 276 364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8 509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1 447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222 683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1 205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8 296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221 024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850 909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5 673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6 637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219 364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4 978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217 705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3 319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216 046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212 727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1 418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1 659</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214 387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1 095 120</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7 020 000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r>
    </w:tbl>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5" w:name="__RefHeading___Toc234831721"/>
      <w:bookmarkEnd w:id="35"/>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7 800 000 </w:t>
      </w:r>
      <w:r>
        <w:rPr>
          <w:iCs/>
          <w:sz w:val="22"/>
          <w:szCs w:val="22"/>
        </w:rPr>
        <w:t xml:space="preserve">FCFA. Ce montant est composé par : les frais d’investissement </w:t>
      </w:r>
      <w:r>
        <w:rPr>
          <w:b/>
          <w:bCs/>
          <w:iCs/>
          <w:sz w:val="22"/>
          <w:szCs w:val="22"/>
          <w:lang w:eastAsia="fr-CA"/>
        </w:rPr>
        <w:t xml:space="preserve">5 750 000 </w:t>
      </w:r>
      <w:r>
        <w:rPr>
          <w:iCs/>
          <w:sz w:val="22"/>
          <w:szCs w:val="22"/>
        </w:rPr>
        <w:t xml:space="preserve">FCFA (73,7%) , le besoin en fonds de roulement </w:t>
      </w:r>
      <w:r>
        <w:rPr>
          <w:b/>
          <w:bCs/>
          <w:iCs/>
          <w:sz w:val="22"/>
          <w:szCs w:val="22"/>
          <w:lang w:eastAsia="fr-CA"/>
        </w:rPr>
        <w:t xml:space="preserve">2 000 000 </w:t>
      </w:r>
      <w:r>
        <w:rPr>
          <w:iCs/>
          <w:sz w:val="22"/>
          <w:szCs w:val="22"/>
        </w:rPr>
        <w:t xml:space="preserve"> FCFA (25,6%) et les frais d’établissement 50 000 FCFA (0,6%).</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0,6%</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5 750 000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73,7%</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local artisanal</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4 250 000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Presse / pulpeuse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800 000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Pasteurisateur</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Cuve de mélange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Broyeur / mixeur</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Filtre, balance, petit matériel et réfrigérateur/congélateur</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1 450 000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2 000 000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25,6%</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2 000 000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7 800 000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6" w:name="__RefHeading___Toc234831722"/>
      <w:bookmarkEnd w:id="36"/>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7 800 000</w:t>
      </w:r>
      <w:r>
        <w:rPr>
          <w:iCs/>
          <w:sz w:val="22"/>
          <w:szCs w:val="22"/>
        </w:rPr>
        <w:t xml:space="preserve"> FCFA, le promoteur s’engage à contribuer à hauteur de 10% de ce montant, soit </w:t>
      </w:r>
      <w:r>
        <w:rPr>
          <w:rFonts w:cs="Calibri" w:ascii="Cambria" w:hAnsi="Cambria"/>
          <w:b/>
          <w:iCs/>
          <w:color w:val="000000"/>
          <w:sz w:val="22"/>
          <w:szCs w:val="22"/>
        </w:rPr>
        <w:t>780 000</w:t>
      </w:r>
      <w:r>
        <w:rPr>
          <w:rFonts w:cs="Calibri" w:ascii="Cambria" w:hAnsi="Cambria"/>
          <w:iCs/>
          <w:color w:val="000000"/>
          <w:sz w:val="22"/>
          <w:szCs w:val="22"/>
        </w:rPr>
        <w:t xml:space="preserve"> </w:t>
      </w:r>
      <w:r>
        <w:rPr>
          <w:iCs/>
          <w:sz w:val="22"/>
          <w:szCs w:val="22"/>
        </w:rPr>
        <w:t>FCFA, le crédit sollicité (90 %) s’élevant à 7 020 000 FCFA, remboursable sur 36 mois dont 3 mois de différé.</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780 000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780 000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7 020 000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7 020 000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7" w:name="__RefHeading___Toc234831723"/>
      <w:bookmarkEnd w:id="37"/>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18 000 000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18 360 000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18 727 200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19 101 744</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19 483 779</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8 000 000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8 480 000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9 158 400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9 891 072</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10 682 358</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1 200 000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1 260 000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1 260 000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1 260 000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1 260 000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597 338</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368 359</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129 423</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1 275 000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1 225 000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1 225 000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1 225 000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1 225 000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11 372 338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11 648 359</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12 087 823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12 691 072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13 482 358</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6 627 662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6 711 641</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6 639 377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6 410 672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6 001 421</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108 000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113 400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113 400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113 400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113 400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6 519 662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6 598 241</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6 525 977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6 297 272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5 888 021</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7 794 662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7 823 241</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7 750 977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7 522 272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7 113 021</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7 794 662</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15 617 903</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23 368 880</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30 891 152</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38 004 173</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8" w:name="__RefHeading___Toc234831724"/>
      <w:bookmarkEnd w:id="38"/>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780 000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7 020 000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1 275 000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1 225 000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1 225 000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1 225 000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1 225 000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6 519 662</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6 598 241</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6 525 977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6 297 272</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5 888 021</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7 794 662</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7 823 241</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7 750 977</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7 522 272</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7 113 021</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5 750 000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2 000 000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1 914 545</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2 552 727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2 552 727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1 914 545</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5 880 116</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5 270 514</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5 198 249</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7 522 272</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7 113 021</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5 880 116</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11 150 631</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16 348 880</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23 871 152</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30 984 173</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9" w:name="__RefHeading___Toc234831725"/>
      <w:bookmarkEnd w:id="39"/>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780 000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780 000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local artisanal</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780 000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Presse / pulpeuse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Pasteurisateur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7 020 000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Cuve de mélange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Broyeur / mixeur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Filtre, balance, petit matériel et réfrigérateur/congélateur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1 450 000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7 020 000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7 800 000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5 800 000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2 000 000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2 000 000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7 800 000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start="851" w:end="0"/>
        <w:jc w:val="both"/>
        <w:rPr>
          <w:rFonts w:ascii="Times New Roman" w:hAnsi="Times New Roman" w:cs="Times New Roman"/>
          <w:i w:val="false"/>
          <w:i w:val="false"/>
          <w:iCs w:val="false"/>
          <w:lang w:val="fr-CI"/>
        </w:rPr>
      </w:pPr>
      <w:bookmarkStart w:id="40" w:name="__RefHeading___Toc234831726"/>
      <w:bookmarkEnd w:id="40"/>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1 200 000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108 000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113 400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113 400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1 275 000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597 338</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368 359</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6 627 662</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6 711 641</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6 639 377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9 808 000</w:t>
            </w:r>
          </w:p>
        </w:tc>
        <w:tc>
          <w:tcPr>
            <w:tcW w:w="1843" w:type="dxa"/>
            <w:gridSpan w:val="3"/>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9 678 400</w:t>
            </w:r>
          </w:p>
        </w:tc>
        <w:tc>
          <w:tcPr>
            <w:tcW w:w="1700"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9 367 200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53%</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50%</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700" w:type="dxa"/>
            <w:gridSpan w:val="2"/>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9 158 400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113 400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bottom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1 502 823</w:t>
            </w:r>
          </w:p>
        </w:tc>
        <w:tc>
          <w:tcPr>
            <w:tcW w:w="1843" w:type="dxa"/>
            <w:gridSpan w:val="3"/>
            <w:tcBorders>
              <w:star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9 473 400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16%</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96,0%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22 647 520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0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1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2"/>
        </w:numPr>
        <w:spacing w:before="240" w:after="0"/>
        <w:ind w:hanging="431" w:start="431" w:end="0"/>
        <w:jc w:val="both"/>
        <w:rPr>
          <w:rFonts w:ascii="Times New Roman" w:hAnsi="Times New Roman" w:cs="Times New Roman"/>
          <w:caps/>
          <w:color w:val="166B7F"/>
          <w:kern w:val="0"/>
          <w:sz w:val="24"/>
          <w:szCs w:val="24"/>
          <w:lang w:eastAsia="en-US"/>
        </w:rPr>
      </w:pPr>
      <w:bookmarkStart w:id="41" w:name="__RefHeading___Toc234831727"/>
      <w:bookmarkEnd w:id="41"/>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FLAFLA</w:t>
      </w:r>
      <w:r>
        <w:rPr>
          <w:sz w:val="22"/>
          <w:szCs w:val="22"/>
        </w:rPr>
        <w:t xml:space="preserve"> dispose d’importantes forces qu’elle doit bien exploiter et mettre en valeur pour mieux se positionner face aux concurrents informels. L’expérience du promoteur </w:t>
      </w:r>
      <w:r>
        <w:rPr>
          <w:b/>
          <w:bCs/>
          <w:sz w:val="22"/>
          <w:szCs w:val="22"/>
        </w:rPr>
        <w:t>Zangolo DIARRA</w:t>
      </w:r>
      <w:r>
        <w:rPr>
          <w:sz w:val="22"/>
          <w:szCs w:val="22"/>
        </w:rPr>
        <w:t xml:space="preserve"> dans la transformation des fruits locaux, la maîtrise des techniques de production de </w:t>
      </w:r>
      <w:r>
        <w:rPr>
          <w:b/>
          <w:bCs/>
          <w:sz w:val="22"/>
          <w:szCs w:val="22"/>
        </w:rPr>
        <w:t>jus et nectars</w:t>
      </w:r>
      <w:r>
        <w:rPr>
          <w:sz w:val="22"/>
          <w:szCs w:val="22"/>
        </w:rPr>
        <w:t xml:space="preserve"> (pressage, pasteurisation, conditionnement) et la bonne planification de la production constituent des atouts majeurs. Les opportunités doivent être bien analysées et saisies à temps, notamment la </w:t>
      </w:r>
      <w:r>
        <w:rPr>
          <w:b/>
          <w:bCs/>
          <w:sz w:val="22"/>
          <w:szCs w:val="22"/>
        </w:rPr>
        <w:t>forte demande en jus naturels à Kati, Bamako et environs</w:t>
      </w:r>
      <w:r>
        <w:rPr>
          <w:sz w:val="22"/>
          <w:szCs w:val="22"/>
        </w:rPr>
        <w:t>, l’appui de l’</w:t>
      </w:r>
      <w:r>
        <w:rPr>
          <w:b/>
          <w:bCs/>
          <w:sz w:val="22"/>
          <w:szCs w:val="22"/>
        </w:rPr>
        <w:t>APEJ/OIT</w:t>
      </w:r>
      <w:r>
        <w:rPr>
          <w:sz w:val="22"/>
          <w:szCs w:val="22"/>
        </w:rPr>
        <w:t xml:space="preserve"> et la possibilité d’extension progressive de la gamme de produits et de la capacité de transformation vers une </w:t>
      </w:r>
      <w:r>
        <w:rPr>
          <w:b/>
          <w:bCs/>
          <w:sz w:val="22"/>
          <w:szCs w:val="22"/>
        </w:rPr>
        <w:t>unité semi-industrielle</w:t>
      </w:r>
      <w:r>
        <w:rPr>
          <w:sz w:val="22"/>
          <w:szCs w:val="22"/>
        </w:rPr>
        <w:t>. La faiblesse identifiée (insuffisance de financement, équipement limité, notoriété à construire) doit être transformée en opportunité à travers des actions efficaces de communication et de recherche de partenariats. Les menaces qui sont réelles (concurrence des jus importés, volatilité du prix des fruits,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160"/>
        <w:tblW w:w="10101" w:type="dxa"/>
        <w:jc w:val="start"/>
        <w:tblInd w:w="108"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Expérience du promoteur Zangolo DIARRA dans la transformation artisanale de fruits locaux ;</w:t>
            </w:r>
          </w:p>
          <w:p>
            <w:pPr>
              <w:pStyle w:val="Normal"/>
              <w:numPr>
                <w:ilvl w:val="0"/>
                <w:numId w:val="13"/>
              </w:numPr>
              <w:rPr>
                <w:rStyle w:val="Strong"/>
                <w:b w:val="false"/>
                <w:bCs w:val="false"/>
                <w:sz w:val="22"/>
                <w:szCs w:val="22"/>
              </w:rPr>
            </w:pPr>
            <w:r>
              <w:rPr>
                <w:rStyle w:val="Strong"/>
                <w:b w:val="false"/>
                <w:bCs w:val="false"/>
                <w:sz w:val="22"/>
                <w:szCs w:val="22"/>
              </w:rPr>
              <w:t>Maîtrise du processus de production de jus et nectars (pressage, pasteurisation, conditionnement) ;</w:t>
            </w:r>
          </w:p>
          <w:p>
            <w:pPr>
              <w:pStyle w:val="Normal"/>
              <w:numPr>
                <w:ilvl w:val="0"/>
                <w:numId w:val="13"/>
              </w:numPr>
              <w:rPr>
                <w:rStyle w:val="Strong"/>
                <w:b w:val="false"/>
                <w:bCs w:val="false"/>
                <w:sz w:val="22"/>
                <w:szCs w:val="22"/>
              </w:rPr>
            </w:pPr>
            <w:r>
              <w:rPr>
                <w:rStyle w:val="Strong"/>
                <w:b w:val="false"/>
                <w:bCs w:val="false"/>
                <w:sz w:val="22"/>
                <w:szCs w:val="22"/>
              </w:rPr>
              <w:t>Bonne planification et anticipation de la production ;</w:t>
            </w:r>
          </w:p>
          <w:p>
            <w:pPr>
              <w:pStyle w:val="Normal"/>
              <w:numPr>
                <w:ilvl w:val="0"/>
                <w:numId w:val="13"/>
              </w:numPr>
              <w:rPr>
                <w:rStyle w:val="Strong"/>
                <w:b w:val="false"/>
                <w:bCs w:val="false"/>
                <w:sz w:val="22"/>
                <w:szCs w:val="22"/>
              </w:rPr>
            </w:pPr>
            <w:r>
              <w:rPr>
                <w:rStyle w:val="Strong"/>
                <w:b w:val="false"/>
                <w:bCs w:val="false"/>
                <w:sz w:val="22"/>
                <w:szCs w:val="22"/>
              </w:rPr>
              <w:t>Bon accueil et fidélisation de la clientèle ;</w:t>
            </w:r>
          </w:p>
          <w:p>
            <w:pPr>
              <w:pStyle w:val="Normal"/>
              <w:numPr>
                <w:ilvl w:val="0"/>
                <w:numId w:val="13"/>
              </w:numPr>
              <w:rPr>
                <w:rStyle w:val="Strong"/>
                <w:b w:val="false"/>
                <w:bCs w:val="false"/>
                <w:sz w:val="22"/>
                <w:szCs w:val="22"/>
              </w:rPr>
            </w:pPr>
            <w:r>
              <w:rPr>
                <w:rStyle w:val="Strong"/>
                <w:b w:val="false"/>
                <w:bCs w:val="false"/>
                <w:sz w:val="22"/>
                <w:szCs w:val="22"/>
              </w:rPr>
              <w:t>Bonne connaissance du marché des jus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Existence de personnel formé aux techniques de transformation ;</w:t>
            </w:r>
          </w:p>
          <w:p>
            <w:pPr>
              <w:pStyle w:val="Normal"/>
              <w:numPr>
                <w:ilvl w:val="0"/>
                <w:numId w:val="13"/>
              </w:numPr>
              <w:rPr>
                <w:rStyle w:val="Strong"/>
                <w:b w:val="false"/>
                <w:bCs w:val="false"/>
                <w:sz w:val="22"/>
                <w:szCs w:val="22"/>
              </w:rPr>
            </w:pPr>
            <w:r>
              <w:rPr>
                <w:rStyle w:val="Strong"/>
                <w:b w:val="false"/>
                <w:bCs w:val="false"/>
                <w:sz w:val="22"/>
                <w:szCs w:val="22"/>
              </w:rPr>
              <w:t>Utilisation de fruits locaux (mangue, orange, tamarin, zaban) et d’additifs naturels, sans conservateurs chimiques ;</w:t>
            </w:r>
          </w:p>
          <w:p>
            <w:pPr>
              <w:pStyle w:val="Normal"/>
              <w:numPr>
                <w:ilvl w:val="0"/>
                <w:numId w:val="13"/>
              </w:numPr>
              <w:rPr>
                <w:rStyle w:val="Strong"/>
                <w:b w:val="false"/>
                <w:bCs w:val="false"/>
                <w:sz w:val="22"/>
                <w:szCs w:val="22"/>
              </w:rPr>
            </w:pPr>
            <w:r>
              <w:rPr>
                <w:rStyle w:val="Strong"/>
                <w:b w:val="false"/>
                <w:bCs w:val="false"/>
                <w:sz w:val="22"/>
                <w:szCs w:val="22"/>
              </w:rPr>
              <w:t xml:space="preserve">Marque FLAFLA porteuse de sens : </w:t>
            </w:r>
            <w:r>
              <w:rPr>
                <w:rStyle w:val="Strong"/>
                <w:b w:val="false"/>
                <w:bCs w:val="false"/>
                <w:i/>
                <w:iCs/>
                <w:sz w:val="22"/>
                <w:szCs w:val="22"/>
              </w:rPr>
              <w:t>Le goût naturel des fruits du Mali</w:t>
            </w:r>
            <w:r>
              <w:rPr>
                <w:rStyle w:val="Strong"/>
                <w:b w:val="false"/>
                <w:bCs w:val="false"/>
                <w:sz w:val="22"/>
                <w:szCs w:val="22"/>
              </w:rPr>
              <w:t>.</w:t>
            </w:r>
          </w:p>
          <w:p>
            <w:pPr>
              <w:pStyle w:val="Normal"/>
              <w:ind w:start="567" w:end="0"/>
              <w:rPr>
                <w:rStyle w:val="Strong"/>
                <w:b w:val="false"/>
                <w:bCs/>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Insuffisance de financement ;</w:t>
            </w:r>
          </w:p>
          <w:p>
            <w:pPr>
              <w:pStyle w:val="Normal"/>
              <w:numPr>
                <w:ilvl w:val="0"/>
                <w:numId w:val="13"/>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3"/>
              </w:numPr>
              <w:rPr>
                <w:rStyle w:val="Strong"/>
                <w:b w:val="false"/>
                <w:bCs w:val="false"/>
                <w:sz w:val="22"/>
                <w:szCs w:val="22"/>
              </w:rPr>
            </w:pPr>
            <w:r>
              <w:rPr>
                <w:rStyle w:val="Strong"/>
                <w:b w:val="false"/>
                <w:bCs w:val="false"/>
                <w:sz w:val="22"/>
                <w:szCs w:val="22"/>
              </w:rPr>
              <w:t>Capacité de transformation encore limitée au démarrage ;</w:t>
            </w:r>
          </w:p>
          <w:p>
            <w:pPr>
              <w:pStyle w:val="Normal"/>
              <w:numPr>
                <w:ilvl w:val="0"/>
                <w:numId w:val="13"/>
              </w:numPr>
              <w:rPr>
                <w:rStyle w:val="Strong"/>
                <w:b w:val="false"/>
                <w:bCs w:val="false"/>
                <w:sz w:val="22"/>
                <w:szCs w:val="22"/>
              </w:rPr>
            </w:pPr>
            <w:r>
              <w:rPr>
                <w:rStyle w:val="Strong"/>
                <w:b w:val="false"/>
                <w:bCs w:val="false"/>
                <w:sz w:val="22"/>
                <w:szCs w:val="22"/>
              </w:rPr>
              <w:t>Faible niveau d’équipement de l’unité de transformation ;</w:t>
            </w:r>
          </w:p>
          <w:p>
            <w:pPr>
              <w:pStyle w:val="Normal"/>
              <w:numPr>
                <w:ilvl w:val="0"/>
                <w:numId w:val="13"/>
              </w:numPr>
              <w:rPr>
                <w:rStyle w:val="Strong"/>
                <w:b w:val="false"/>
                <w:bCs w:val="false"/>
                <w:sz w:val="22"/>
                <w:szCs w:val="22"/>
              </w:rPr>
            </w:pPr>
            <w:r>
              <w:rPr>
                <w:rStyle w:val="Strong"/>
                <w:b w:val="false"/>
                <w:bCs w:val="false"/>
                <w:sz w:val="22"/>
                <w:szCs w:val="22"/>
              </w:rPr>
              <w:t>Qualité et disponibilité irrégulières des fruits locaux ;</w:t>
            </w:r>
          </w:p>
          <w:p>
            <w:pPr>
              <w:pStyle w:val="Normal"/>
              <w:numPr>
                <w:ilvl w:val="0"/>
                <w:numId w:val="13"/>
              </w:numPr>
              <w:rPr>
                <w:rStyle w:val="Strong"/>
                <w:b w:val="false"/>
                <w:bCs w:val="false"/>
                <w:sz w:val="22"/>
                <w:szCs w:val="22"/>
              </w:rPr>
            </w:pPr>
            <w:r>
              <w:rPr>
                <w:rStyle w:val="Strong"/>
                <w:b w:val="false"/>
                <w:bCs w:val="false"/>
                <w:sz w:val="22"/>
                <w:szCs w:val="22"/>
              </w:rPr>
              <w:t>Dépendance aux équipements (presse, pasteurisateur, réfrigérateur) ;</w:t>
            </w:r>
          </w:p>
          <w:p>
            <w:pPr>
              <w:pStyle w:val="Normal"/>
              <w:numPr>
                <w:ilvl w:val="0"/>
                <w:numId w:val="13"/>
              </w:numPr>
              <w:rPr>
                <w:rFonts w:ascii="Segoe UI" w:hAnsi="Segoe UI" w:cs="Segoe UI"/>
                <w:b/>
                <w:bCs/>
                <w:color w:val="0F1115"/>
              </w:rPr>
            </w:pPr>
            <w:r>
              <w:rPr>
                <w:rStyle w:val="Strong"/>
                <w:b w:val="false"/>
                <w:bCs w:val="false"/>
                <w:sz w:val="22"/>
                <w:szCs w:val="22"/>
              </w:rPr>
              <w:t>Notoriété de la marque FLAFLA encore à construire</w:t>
            </w:r>
            <w:r>
              <w:rPr>
                <w:rFonts w:cs="Segoe UI" w:ascii="Segoe UI" w:hAnsi="Segoe UI"/>
                <w:b/>
                <w:bCs/>
                <w:color w:val="0F1115"/>
              </w:rPr>
              <w:t xml:space="preserve"> ;</w:t>
            </w:r>
          </w:p>
          <w:p>
            <w:pPr>
              <w:pStyle w:val="Normal"/>
              <w:numPr>
                <w:ilvl w:val="0"/>
                <w:numId w:val="13"/>
              </w:numPr>
              <w:rPr>
                <w:rStyle w:val="Strong"/>
                <w:b w:val="false"/>
                <w:bCs w:val="false"/>
                <w:sz w:val="22"/>
                <w:szCs w:val="22"/>
              </w:rPr>
            </w:pPr>
            <w:r>
              <w:rPr>
                <w:rStyle w:val="Strong"/>
                <w:b w:val="false"/>
                <w:bCs w:val="false"/>
                <w:sz w:val="22"/>
                <w:szCs w:val="22"/>
              </w:rPr>
              <w:t>Absence de certification formelle (hygiène, traçabilité).</w:t>
            </w:r>
          </w:p>
          <w:p>
            <w:pPr>
              <w:pStyle w:val="Normal"/>
              <w:rPr>
                <w:rStyle w:val="Strong"/>
                <w:b w:val="false"/>
                <w:bCs w:val="false"/>
                <w:sz w:val="22"/>
                <w:szCs w:val="22"/>
              </w:rPr>
            </w:pPr>
            <w:r>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Forte demande en jus et nectars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Existence de marchés (supermarchés, restaurants, ménages, boutiques) ;</w:t>
            </w:r>
          </w:p>
          <w:p>
            <w:pPr>
              <w:pStyle w:val="Normal"/>
              <w:numPr>
                <w:ilvl w:val="0"/>
                <w:numId w:val="13"/>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3"/>
              </w:numPr>
              <w:rPr>
                <w:rStyle w:val="Strong"/>
                <w:b w:val="false"/>
                <w:bCs w:val="false"/>
                <w:sz w:val="22"/>
                <w:szCs w:val="22"/>
              </w:rPr>
            </w:pPr>
            <w:r>
              <w:rPr>
                <w:rStyle w:val="Strong"/>
                <w:b w:val="false"/>
                <w:bCs w:val="false"/>
                <w:sz w:val="22"/>
                <w:szCs w:val="22"/>
              </w:rPr>
              <w:t>Politique de substitution aux importations de boissons transformées ;</w:t>
            </w:r>
          </w:p>
          <w:p>
            <w:pPr>
              <w:pStyle w:val="Normal"/>
              <w:numPr>
                <w:ilvl w:val="0"/>
                <w:numId w:val="13"/>
              </w:numPr>
              <w:rPr>
                <w:rStyle w:val="Strong"/>
                <w:b w:val="false"/>
                <w:bCs w:val="false"/>
                <w:sz w:val="22"/>
                <w:szCs w:val="22"/>
              </w:rPr>
            </w:pPr>
            <w:r>
              <w:rPr>
                <w:rStyle w:val="Strong"/>
                <w:b w:val="false"/>
                <w:bCs w:val="false"/>
                <w:sz w:val="22"/>
                <w:szCs w:val="22"/>
              </w:rPr>
              <w:t>Possibilité d’extension progressive de la gamme et de la capacité de transformation ;</w:t>
            </w:r>
          </w:p>
          <w:p>
            <w:pPr>
              <w:pStyle w:val="Normal"/>
              <w:numPr>
                <w:ilvl w:val="0"/>
                <w:numId w:val="13"/>
              </w:numPr>
              <w:rPr>
                <w:rStyle w:val="Strong"/>
                <w:b w:val="false"/>
                <w:bCs w:val="false"/>
                <w:sz w:val="22"/>
                <w:szCs w:val="22"/>
              </w:rPr>
            </w:pPr>
            <w:r>
              <w:rPr>
                <w:rStyle w:val="Strong"/>
                <w:b w:val="false"/>
                <w:bCs w:val="false"/>
                <w:sz w:val="22"/>
                <w:szCs w:val="22"/>
              </w:rPr>
              <w:t>Développement futur de nouveaux produits dérivés (cocktails de fruits, nectars) ;</w:t>
            </w:r>
          </w:p>
          <w:p>
            <w:pPr>
              <w:pStyle w:val="Normal"/>
              <w:numPr>
                <w:ilvl w:val="0"/>
                <w:numId w:val="13"/>
              </w:numPr>
              <w:rPr>
                <w:rStyle w:val="Strong"/>
                <w:b w:val="false"/>
                <w:bCs w:val="false"/>
                <w:sz w:val="22"/>
                <w:szCs w:val="22"/>
              </w:rPr>
            </w:pPr>
            <w:r>
              <w:rPr>
                <w:rStyle w:val="Strong"/>
                <w:b w:val="false"/>
                <w:bCs w:val="false"/>
                <w:sz w:val="22"/>
                <w:szCs w:val="22"/>
              </w:rPr>
              <w:t>Valorisation des fruits locaux (mangue, orange, tamarin, zaban).</w:t>
            </w:r>
          </w:p>
          <w:p>
            <w:pPr>
              <w:pStyle w:val="Normal"/>
              <w:rPr>
                <w:rStyle w:val="Strong"/>
                <w:b w:val="false"/>
                <w:bCs w:val="false"/>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Paragraphedeliste"/>
              <w:widowControl w:val="false"/>
              <w:numPr>
                <w:ilvl w:val="0"/>
                <w:numId w:val="4"/>
              </w:numPr>
              <w:overflowPunct w:val="false"/>
              <w:autoSpaceDE w:val="false"/>
              <w:spacing w:lineRule="auto" w:line="240"/>
              <w:textAlignment w:val="baseline"/>
              <w:rPr>
                <w:bCs/>
              </w:rPr>
            </w:pPr>
            <w:r>
              <w:rPr>
                <w:bCs/>
              </w:rPr>
              <w:t xml:space="preserve">Concurrence des </w:t>
            </w:r>
            <w:r>
              <w:rPr>
                <w:b/>
                <w:bCs/>
              </w:rPr>
              <w:t>jus importés</w:t>
            </w:r>
            <w:r>
              <w:rPr>
                <w:bCs/>
              </w:rPr>
              <w:t xml:space="preserve"> (Ivoirio, Dafani, etc.) ;</w:t>
            </w:r>
          </w:p>
          <w:p>
            <w:pPr>
              <w:pStyle w:val="Normal"/>
              <w:numPr>
                <w:ilvl w:val="0"/>
                <w:numId w:val="13"/>
              </w:numPr>
              <w:rPr>
                <w:rStyle w:val="Strong"/>
                <w:b w:val="false"/>
                <w:bCs w:val="false"/>
              </w:rPr>
            </w:pPr>
            <w:r>
              <w:rPr>
                <w:rFonts w:eastAsia="Calibri"/>
                <w:bCs/>
                <w:sz w:val="22"/>
                <w:szCs w:val="22"/>
              </w:rPr>
              <w:t>Volatilité du prix et de la disponibilité des fruits locaux ;</w:t>
            </w:r>
          </w:p>
          <w:p>
            <w:pPr>
              <w:pStyle w:val="Normal"/>
              <w:numPr>
                <w:ilvl w:val="0"/>
                <w:numId w:val="13"/>
              </w:numPr>
              <w:rPr>
                <w:rStyle w:val="Strong"/>
                <w:b w:val="false"/>
                <w:bCs w:val="false"/>
              </w:rPr>
            </w:pPr>
            <w:r>
              <w:rPr>
                <w:rStyle w:val="Strong"/>
                <w:b w:val="false"/>
                <w:bCs w:val="false"/>
              </w:rPr>
              <w:t>Pannes d’équipements (presse, pasteurisateur, réfrigérateur) ;</w:t>
            </w:r>
          </w:p>
          <w:p>
            <w:pPr>
              <w:pStyle w:val="Normal"/>
              <w:numPr>
                <w:ilvl w:val="0"/>
                <w:numId w:val="13"/>
              </w:numPr>
              <w:rPr>
                <w:rStyle w:val="Strong"/>
                <w:b w:val="false"/>
                <w:bCs w:val="false"/>
              </w:rPr>
            </w:pPr>
            <w:r>
              <w:rPr>
                <w:rStyle w:val="Strong"/>
                <w:b w:val="false"/>
                <w:bCs w:val="false"/>
              </w:rPr>
              <w:t>Normes sanitaires et exigences de qualité ;</w:t>
            </w:r>
          </w:p>
          <w:p>
            <w:pPr>
              <w:pStyle w:val="Normal"/>
              <w:numPr>
                <w:ilvl w:val="0"/>
                <w:numId w:val="13"/>
              </w:numPr>
              <w:rPr>
                <w:rStyle w:val="Strong"/>
                <w:b w:val="false"/>
                <w:bCs w:val="false"/>
              </w:rPr>
            </w:pPr>
            <w:r>
              <w:rPr>
                <w:rStyle w:val="Strong"/>
                <w:b w:val="false"/>
                <w:bCs w:val="false"/>
              </w:rPr>
              <w:t>Aléas climatiques affectant la production fruitière ;</w:t>
            </w:r>
          </w:p>
          <w:p>
            <w:pPr>
              <w:pStyle w:val="Normal"/>
              <w:numPr>
                <w:ilvl w:val="0"/>
                <w:numId w:val="13"/>
              </w:numPr>
              <w:rPr>
                <w:rStyle w:val="Strong"/>
                <w:b w:val="false"/>
                <w:bCs w:val="false"/>
              </w:rPr>
            </w:pPr>
            <w:r>
              <w:rPr>
                <w:rStyle w:val="Strong"/>
                <w:b w:val="false"/>
                <w:bCs w:val="false"/>
              </w:rPr>
              <w:t>Cherté des emballages et des équipements ;</w:t>
            </w:r>
          </w:p>
          <w:p>
            <w:pPr>
              <w:pStyle w:val="Normal"/>
              <w:numPr>
                <w:ilvl w:val="0"/>
                <w:numId w:val="13"/>
              </w:numPr>
              <w:rPr>
                <w:rStyle w:val="Strong"/>
                <w:b w:val="false"/>
                <w:bCs w:val="false"/>
              </w:rPr>
            </w:pPr>
            <w:r>
              <w:rPr>
                <w:rStyle w:val="Strong"/>
                <w:b w:val="false"/>
                <w:bCs w:val="false"/>
              </w:rPr>
              <w:t>Risque de mévente si la qualité ou la conservation n’est pas conforme ;</w:t>
            </w:r>
          </w:p>
          <w:p>
            <w:pPr>
              <w:pStyle w:val="Normal"/>
              <w:numPr>
                <w:ilvl w:val="0"/>
                <w:numId w:val="13"/>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2"/>
        </w:numPr>
        <w:spacing w:before="0" w:after="0"/>
        <w:ind w:hanging="431" w:start="431" w:end="0"/>
        <w:jc w:val="both"/>
        <w:rPr>
          <w:rFonts w:ascii="Times New Roman" w:hAnsi="Times New Roman" w:cs="Times New Roman"/>
          <w:caps/>
          <w:color w:val="166B7F"/>
          <w:kern w:val="0"/>
          <w:lang w:eastAsia="en-US"/>
        </w:rPr>
      </w:pPr>
      <w:bookmarkStart w:id="42" w:name="__RefHeading___Toc234831728"/>
      <w:bookmarkEnd w:id="42"/>
      <w:r>
        <w:rPr>
          <w:rFonts w:cs="Times New Roman" w:ascii="Times New Roman" w:hAnsi="Times New Roman"/>
          <w:caps/>
          <w:color w:val="166B7F"/>
          <w:kern w:val="0"/>
          <w:lang w:eastAsia="en-US"/>
        </w:rPr>
        <w:t>CONCLUSION :</w:t>
      </w:r>
    </w:p>
    <w:p>
      <w:pPr>
        <w:pStyle w:val="Normal"/>
        <w:jc w:val="both"/>
        <w:rPr/>
      </w:pPr>
      <w:r>
        <w:rPr>
          <w:sz w:val="22"/>
          <w:szCs w:val="22"/>
        </w:rPr>
        <w:t>En examinant les ratios de rentabilité économique et financière, on peut affirmer que le présent projet est rentable et contribue à la création de trois (3) emplois directs (1 promoteur et 2 ouvriers), ainsi qu’à la mobilisation de main-d’œuvre supplémentaire en phase d’extension. Le taux de rentabilité interne (96 %), la valeur actuelle nette (22 647 520 F CFA) ainsi que le délai de récupération des capitaux investis (1 an et 0 mois) corroborent la rentabilité du projet de création de l’entreprise FLAFLA dans la production et la commercialisation de jus et nectars 100 % naturels à base de mangue, d’orange, de tamarin et de zaban, sur une capacité de 18 000 litres par an à Kati-Farada, près du pont, Région de Koulikoro. L’existence des structures d’accompagnement, notamment l’APEJ et l’OIT à travers le projet AN KA BAARA, me permettra d’investir dans mon unité de transformation, de bénéficier d’un accompagnement technique et de rembourser les prêts contractés, tout en préparant progressivement le passage à une unité semi-industrielle.</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18</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8">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6"/>
      <w:numFmt w:val="decimal"/>
      <w:lvlText w:val="%1"/>
      <w:lvlJc w:val="start"/>
      <w:pPr>
        <w:tabs>
          <w:tab w:val="num" w:pos="0"/>
        </w:tabs>
        <w:ind w:start="360" w:hanging="360"/>
      </w:pPr>
    </w:lvl>
    <w:lvl w:ilvl="1">
      <w:start w:val="1"/>
      <w:numFmt w:val="decimal"/>
      <w:lvlText w:val="%1.%2"/>
      <w:lvlJc w:val="start"/>
      <w:pPr>
        <w:tabs>
          <w:tab w:val="num" w:pos="0"/>
        </w:tabs>
        <w:ind w:start="720" w:hanging="360"/>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2160" w:hanging="1080"/>
      </w:pPr>
    </w:lvl>
    <w:lvl w:ilvl="4">
      <w:start w:val="1"/>
      <w:numFmt w:val="decimal"/>
      <w:lvlText w:val="%1.%2.%3.%4.%5"/>
      <w:lvlJc w:val="start"/>
      <w:pPr>
        <w:tabs>
          <w:tab w:val="num" w:pos="0"/>
        </w:tabs>
        <w:ind w:start="2520" w:hanging="1080"/>
      </w:pPr>
    </w:lvl>
    <w:lvl w:ilvl="5">
      <w:start w:val="1"/>
      <w:numFmt w:val="decimal"/>
      <w:lvlText w:val="%1.%2.%3.%4.%5.%6"/>
      <w:lvlJc w:val="start"/>
      <w:pPr>
        <w:tabs>
          <w:tab w:val="num" w:pos="0"/>
        </w:tabs>
        <w:ind w:start="3240" w:hanging="1440"/>
      </w:pPr>
    </w:lvl>
    <w:lvl w:ilvl="6">
      <w:start w:val="1"/>
      <w:numFmt w:val="decimal"/>
      <w:lvlText w:val="%1.%2.%3.%4.%5.%6.%7"/>
      <w:lvlJc w:val="start"/>
      <w:pPr>
        <w:tabs>
          <w:tab w:val="num" w:pos="0"/>
        </w:tabs>
        <w:ind w:start="3600" w:hanging="1440"/>
      </w:pPr>
    </w:lvl>
    <w:lvl w:ilvl="7">
      <w:start w:val="1"/>
      <w:numFmt w:val="decimal"/>
      <w:lvlText w:val="%1.%2.%3.%4.%5.%6.%7.%8"/>
      <w:lvlJc w:val="start"/>
      <w:pPr>
        <w:tabs>
          <w:tab w:val="num" w:pos="0"/>
        </w:tabs>
        <w:ind w:start="4320" w:hanging="1800"/>
      </w:pPr>
    </w:lvl>
    <w:lvl w:ilvl="8">
      <w:start w:val="1"/>
      <w:numFmt w:val="decimal"/>
      <w:lvlText w:val="%1.%2.%3.%4.%5.%6.%7.%8.%9"/>
      <w:lvlJc w:val="start"/>
      <w:pPr>
        <w:tabs>
          <w:tab w:val="num" w:pos="0"/>
        </w:tabs>
        <w:ind w:start="4680" w:hanging="1800"/>
      </w:p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5">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6">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8">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9">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2">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3">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2026-10-10T19:48:00Z</dcterms:created>
  <dc:creator>STEP</dc:creator>
  <dc:description/>
  <cp:keywords/>
  <dc:language>en-US</dc:language>
  <cp:lastModifiedBy>DELL</cp:lastModifiedBy>
  <cp:lastPrinted>2025-07-23T09:16:00Z</cp:lastPrinted>
  <dcterms:modified xsi:type="dcterms:W3CDTF">2026-10-10T21:08:00Z</dcterms:modified>
  <cp:revision>11</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