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pBdr>
          <w:bottom w:val="double" w:sz="4" w:space="1" w:color="000000"/>
        </w:pBdr>
        <w:rPr>
          <w:sz w:val="2"/>
          <w:szCs w:val="2"/>
        </w:rPr>
      </w:pPr>
      <w:r>
        <w:rPr>
          <w:sz w:val="2"/>
          <w:szCs w:val="2"/>
        </w:rPr>
      </w:r>
    </w:p>
    <w:p>
      <w:pPr>
        <w:pStyle w:val="Normal"/>
        <w:rPr>
          <w:sz w:val="2"/>
          <w:szCs w:val="2"/>
        </w:rPr>
      </w:pPr>
      <w:r>
        <w:rPr>
          <w:sz w:val="2"/>
          <w:szCs w:val="2"/>
        </w:rPr>
      </w:r>
    </w:p>
    <w:p>
      <w:pPr>
        <w:pStyle w:val="Normal"/>
        <w:rPr>
          <w:b/>
          <w:i/>
          <w:i/>
          <w:sz w:val="52"/>
          <w:szCs w:val="32"/>
        </w:rPr>
      </w:pPr>
      <w:r>
        <w:rPr>
          <w:b/>
          <w:i/>
          <w:sz w:val="52"/>
          <w:szCs w:val="32"/>
        </w:rPr>
        <w:t xml:space="preserve">         </w:t>
      </w:r>
      <w:r>
        <w:rPr>
          <w:b/>
          <w:i/>
          <w:sz w:val="52"/>
          <w:szCs w:val="32"/>
        </w:rPr>
        <mc:AlternateContent>
          <mc:Choice Requires="wps">
            <w:drawing>
              <wp:anchor behindDoc="0" distT="0" distB="0" distL="176530" distR="177165" simplePos="0" locked="0" layoutInCell="0" allowOverlap="1" relativeHeight="10">
                <wp:simplePos x="0" y="0"/>
                <wp:positionH relativeFrom="margin">
                  <wp:posOffset>125730</wp:posOffset>
                </wp:positionH>
                <wp:positionV relativeFrom="page">
                  <wp:posOffset>3539490</wp:posOffset>
                </wp:positionV>
                <wp:extent cx="5803900" cy="835660"/>
                <wp:effectExtent l="6350" t="6350" r="81915" b="81915"/>
                <wp:wrapSquare wrapText="bothSides"/>
                <wp:docPr id="1" name="Frame1"/>
                <a:graphic xmlns:a="http://schemas.openxmlformats.org/drawingml/2006/main">
                  <a:graphicData uri="http://schemas.microsoft.com/office/word/2010/wordprocessingShape">
                    <wps:wsp>
                      <wps:cNvSpPr/>
                      <wps:spPr>
                        <a:xfrm>
                          <a:off x="0" y="0"/>
                          <a:ext cx="5803920" cy="835560"/>
                        </a:xfrm>
                        <a:prstGeom prst="rect">
                          <a:avLst/>
                        </a:prstGeom>
                        <a:gradFill rotWithShape="0">
                          <a:gsLst>
                            <a:gs pos="0">
                              <a:srgbClr val="ffffff"/>
                            </a:gs>
                            <a:gs pos="100000">
                              <a:srgbClr val="95dcf7"/>
                            </a:gs>
                          </a:gsLst>
                          <a:lin ang="5400000"/>
                        </a:gradFill>
                        <a:ln w="12700">
                          <a:solidFill>
                            <a:srgbClr val="60caf3"/>
                          </a:solidFill>
                          <a:round/>
                        </a:ln>
                        <a:effectLst>
                          <a:outerShdw dir="2700000" dist="106914">
                            <a:srgbClr val="074e69"/>
                          </a:outerShdw>
                        </a:effectLst>
                      </wps:spPr>
                      <wps:style>
                        <a:lnRef idx="0"/>
                        <a:fillRef idx="0"/>
                        <a:effectRef idx="0"/>
                        <a:fontRef idx="minor"/>
                      </wps:style>
                      <wps:txbx>
                        <w:txbxContent>
                          <w:p>
                            <w:pPr>
                              <w:pStyle w:val="Sansinterligne"/>
                              <w:spacing w:lineRule="auto" w:line="216" w:before="40" w:after="560"/>
                              <w:jc w:val="center"/>
                              <w:rPr>
                                <w:rFonts w:ascii="Times New Roman" w:hAnsi="Times New Roman" w:cs="Times New Roman"/>
                                <w:b/>
                                <w:bCs/>
                                <w:i/>
                                <w:i/>
                                <w:iCs/>
                                <w:sz w:val="36"/>
                                <w:szCs w:val="36"/>
                                <w:lang w:val="fr-FR"/>
                              </w:rPr>
                            </w:pPr>
                            <w:r>
                              <w:rPr>
                                <w:rFonts w:cs="Times New Roman" w:ascii="Times New Roman" w:hAnsi="Times New Roman"/>
                                <w:b/>
                                <w:bCs/>
                                <w:i/>
                                <w:iCs/>
                                <w:sz w:val="36"/>
                                <w:szCs w:val="36"/>
                                <w:lang w:val="fr-FR"/>
                              </w:rPr>
                              <w:t>FERME NAGRO</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t xml:space="preserve">Création d’une Entreprise de Maraîchage </w:t>
                            </w:r>
                          </w:p>
                          <w:p>
                            <w:pPr>
                              <w:pStyle w:val="Sansinterligne"/>
                              <w:spacing w:before="40" w:after="40"/>
                              <w:rPr>
                                <w:rFonts w:ascii="Cambria" w:hAnsi="Cambria" w:cs="Cambria"/>
                                <w:b/>
                                <w:bCs/>
                                <w:caps/>
                                <w:color w:val="501549"/>
                                <w:sz w:val="28"/>
                                <w:szCs w:val="28"/>
                                <w:lang w:val="fr-FR"/>
                              </w:rPr>
                            </w:pPr>
                            <w:r>
                              <w:rPr/>
                            </w:r>
                          </w:p>
                        </w:txbxContent>
                      </wps:txbx>
                      <wps:bodyPr lIns="0" rIns="0" tIns="0" bIns="0" anchor="t">
                        <a:noAutofit/>
                      </wps:bodyPr>
                    </wps:wsp>
                  </a:graphicData>
                </a:graphic>
              </wp:anchor>
            </w:drawing>
          </mc:Choice>
          <mc:Fallback>
            <w:pict>
              <v:rect id="shape_0" ID="Frame1" path="m0,0l-2147483645,0l-2147483645,-2147483646l0,-2147483646xe" fillcolor="#95dcf7" stroked="t" o:allowincell="f" style="position:absolute;margin-left:9.9pt;margin-top:278.7pt;width:456.95pt;height:65.75pt;mso-wrap-style:square;v-text-anchor:top;mso-position-horizontal-relative:margin;mso-position-vertical-relative:page">
                <v:fill o:detectmouseclick="t" color2="white"/>
                <v:stroke color="#60caf3" weight="12600" joinstyle="round" endcap="flat"/>
                <v:shadow on="t" obscured="f" color="#074e69"/>
                <v:textbox>
                  <w:txbxContent>
                    <w:p>
                      <w:pPr>
                        <w:pStyle w:val="Sansinterligne"/>
                        <w:spacing w:lineRule="auto" w:line="216" w:before="40" w:after="560"/>
                        <w:jc w:val="center"/>
                        <w:rPr>
                          <w:rFonts w:ascii="Times New Roman" w:hAnsi="Times New Roman" w:cs="Times New Roman"/>
                          <w:b/>
                          <w:bCs/>
                          <w:i/>
                          <w:i/>
                          <w:iCs/>
                          <w:sz w:val="36"/>
                          <w:szCs w:val="36"/>
                          <w:lang w:val="fr-FR"/>
                        </w:rPr>
                      </w:pPr>
                      <w:r>
                        <w:rPr>
                          <w:rFonts w:cs="Times New Roman" w:ascii="Times New Roman" w:hAnsi="Times New Roman"/>
                          <w:b/>
                          <w:bCs/>
                          <w:i/>
                          <w:iCs/>
                          <w:sz w:val="36"/>
                          <w:szCs w:val="36"/>
                          <w:lang w:val="fr-FR"/>
                        </w:rPr>
                        <w:t>FERME NAGRO</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t xml:space="preserve">Création d’une Entreprise de Maraîchage </w:t>
                      </w:r>
                    </w:p>
                    <w:p>
                      <w:pPr>
                        <w:pStyle w:val="Sansinterligne"/>
                        <w:spacing w:before="40" w:after="40"/>
                        <w:rPr>
                          <w:rFonts w:ascii="Cambria" w:hAnsi="Cambria" w:cs="Cambria"/>
                          <w:b/>
                          <w:bCs/>
                          <w:caps/>
                          <w:color w:val="501549"/>
                          <w:sz w:val="28"/>
                          <w:szCs w:val="28"/>
                          <w:lang w:val="fr-FR"/>
                        </w:rPr>
                      </w:pPr>
                      <w:r>
                        <w:rPr/>
                      </w:r>
                    </w:p>
                  </w:txbxContent>
                </v:textbox>
                <w10:wrap type="square"/>
              </v:rect>
            </w:pict>
          </mc:Fallback>
        </mc:AlternateContent>
      </w:r>
      <w:r>
        <w:rPr>
          <w:b/>
          <w:i/>
          <w:sz w:val="52"/>
          <w:szCs w:val="32"/>
        </w:rPr>
        <w:t>PLAN D’AFFAIRES</w:t>
      </w:r>
    </w:p>
    <w:tbl>
      <w:tblPr>
        <w:tblW w:w="9889" w:type="dxa"/>
        <w:jc w:val="left"/>
        <w:tblInd w:w="0" w:type="dxa"/>
        <w:tblLayout w:type="fixed"/>
        <w:tblCellMar>
          <w:top w:w="0" w:type="dxa"/>
          <w:left w:w="108" w:type="dxa"/>
          <w:bottom w:w="0" w:type="dxa"/>
          <w:right w:w="108" w:type="dxa"/>
        </w:tblCellMar>
      </w:tblPr>
      <w:tblGrid>
        <w:gridCol w:w="5056"/>
        <w:gridCol w:w="1660"/>
        <w:gridCol w:w="3173"/>
      </w:tblGrid>
      <w:tr>
        <w:trPr>
          <w:trHeight w:val="402" w:hRule="atLeast"/>
        </w:trPr>
        <w:tc>
          <w:tcPr>
            <w:tcW w:w="5056" w:type="dxa"/>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Elaboré avec l’appui de</w:t>
            </w:r>
          </w:p>
        </w:tc>
        <w:tc>
          <w:tcPr>
            <w:tcW w:w="4833" w:type="dxa"/>
            <w:gridSpan w:val="2"/>
            <w:tcBorders>
              <w:top w:val="dotted" w:sz="4" w:space="0" w:color="000000"/>
              <w:left w:val="dotted" w:sz="4" w:space="0" w:color="000000"/>
              <w:bottom w:val="dotted" w:sz="4" w:space="0" w:color="000000"/>
              <w:right w:val="dotted" w:sz="4" w:space="0" w:color="000000"/>
            </w:tcBorders>
            <w:vAlign w:val="center"/>
          </w:tcPr>
          <w:p>
            <w:pPr>
              <w:pStyle w:val="Normal"/>
              <w:rPr>
                <w:i/>
                <w:i/>
                <w:iCs/>
              </w:rPr>
            </w:pPr>
            <w:r>
              <w:rPr>
                <w:b/>
                <w:bCs/>
                <w:i/>
                <w:iCs/>
              </w:rPr>
              <w:t>APEJ</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Nom(s) et prénom(s)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Augustin BANOU</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Contact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lang w:val="en-CA"/>
              </w:rPr>
            </w:pPr>
            <w:r>
              <w:rPr>
                <w:lang w:val="en-CA"/>
              </w:rPr>
              <w:t xml:space="preserve">Cell: </w:t>
            </w:r>
            <w:r>
              <w:rPr/>
              <w:t>64 95 94 74 / 78 06 76 56</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Adresse</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Fiah, Région de Koulikoro</w:t>
            </w:r>
          </w:p>
        </w:tc>
      </w:tr>
      <w:tr>
        <w:trPr>
          <w:trHeight w:val="349"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Secteur d’activité</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Agriculture – Horticulture et céréales</w:t>
            </w:r>
          </w:p>
        </w:tc>
      </w:tr>
      <w:tr>
        <w:trPr>
          <w:trHeight w:val="170" w:hRule="atLeast"/>
        </w:trPr>
        <w:tc>
          <w:tcPr>
            <w:tcW w:w="5056" w:type="dxa"/>
            <w:vMerge w:val="restart"/>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Type de guichet</w:t>
            </w:r>
          </w:p>
        </w:tc>
        <w:tc>
          <w:tcPr>
            <w:tcW w:w="1660"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rPr/>
            </w:pPr>
            <w:r>
              <w:rPr/>
              <w:t>En création</w:t>
            </w:r>
          </w:p>
        </w:tc>
        <w:tc>
          <w:tcPr>
            <w:tcW w:w="317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lineRule="auto" w:line="360"/>
              <w:jc w:val="center"/>
              <w:rPr>
                <w:b/>
                <w:bCs/>
              </w:rPr>
            </w:pPr>
            <w:r>
              <w:rPr>
                <w:b/>
                <w:bCs/>
              </w:rPr>
            </w:r>
          </w:p>
        </w:tc>
      </w:tr>
      <w:tr>
        <w:trPr>
          <w:trHeight w:val="170" w:hRule="atLeast"/>
        </w:trPr>
        <w:tc>
          <w:tcPr>
            <w:tcW w:w="5056"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snapToGrid w:val="false"/>
              <w:rPr>
                <w:b/>
                <w:bCs/>
              </w:rPr>
            </w:pPr>
            <w:r>
              <w:rPr>
                <w:b/>
                <w:bCs/>
              </w:rPr>
            </w:r>
          </w:p>
        </w:tc>
        <w:tc>
          <w:tcPr>
            <w:tcW w:w="166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pacing w:lineRule="auto" w:line="360"/>
              <w:rPr/>
            </w:pPr>
            <w:r>
              <w:rPr/>
              <w:t>En croissance</w:t>
            </w:r>
          </w:p>
        </w:tc>
        <w:tc>
          <w:tcPr>
            <w:tcW w:w="3173"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napToGrid w:val="false"/>
              <w:spacing w:lineRule="auto" w:line="360"/>
              <w:jc w:val="center"/>
              <w:rPr>
                <w:b/>
                <w:bCs/>
                <w:lang w:val="en-US" w:eastAsia="en-US"/>
              </w:rPr>
            </w:pPr>
            <w:r>
              <w:rPr>
                <w:b/>
                <w:bCs/>
                <w:lang w:val="en-US" w:eastAsia="en-US"/>
              </w:rPr>
              <w:t>X</w:t>
            </w:r>
          </w:p>
        </w:tc>
      </w:tr>
    </w:tbl>
    <w:p>
      <w:pPr>
        <w:pStyle w:val="Normal"/>
        <w:rPr>
          <w:lang w:val="en-US" w:eastAsia="en-US"/>
        </w:rPr>
      </w:pPr>
      <w:r>
        <w:rPr>
          <w:lang w:val="en-US" w:eastAsia="en-US"/>
        </w:rPr>
      </w:r>
      <w:r>
        <w:br w:type="page"/>
      </w:r>
    </w:p>
    <w:p>
      <w:pPr>
        <w:pStyle w:val="Normal"/>
        <w:rPr/>
      </w:pPr>
      <w:r>
        <w:rPr/>
        <mc:AlternateContent>
          <mc:Choice Requires="wps">
            <w:drawing>
              <wp:anchor behindDoc="0" distT="0" distB="0" distL="0" distR="0" simplePos="0" locked="0" layoutInCell="0" allowOverlap="1" relativeHeight="8">
                <wp:simplePos x="0" y="0"/>
                <wp:positionH relativeFrom="margin">
                  <wp:posOffset>4903470</wp:posOffset>
                </wp:positionH>
                <wp:positionV relativeFrom="page">
                  <wp:posOffset>9514840</wp:posOffset>
                </wp:positionV>
                <wp:extent cx="1353185" cy="266700"/>
                <wp:effectExtent l="0" t="0" r="0" b="0"/>
                <wp:wrapNone/>
                <wp:docPr id="2" name="Frame2"/>
                <a:graphic xmlns:a="http://schemas.openxmlformats.org/drawingml/2006/main">
                  <a:graphicData uri="http://schemas.microsoft.com/office/word/2010/wordprocessingShape">
                    <wps:wsp>
                      <wps:cNvSpPr/>
                      <wps:spPr>
                        <a:xfrm>
                          <a:off x="0" y="0"/>
                          <a:ext cx="1353240" cy="266760"/>
                        </a:xfrm>
                        <a:prstGeom prst="rect">
                          <a:avLst/>
                        </a:prstGeom>
                        <a:solidFill>
                          <a:srgbClr val="156082"/>
                        </a:solidFill>
                        <a:ln w="0">
                          <a:noFill/>
                        </a:ln>
                      </wps:spPr>
                      <wps:style>
                        <a:lnRef idx="0"/>
                        <a:fillRef idx="0"/>
                        <a:effectRef idx="0"/>
                        <a:fontRef idx="minor"/>
                      </wps:style>
                      <wps:txb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wps:txbx>
                      <wps:bodyPr lIns="47160" rIns="47160" tIns="47160" bIns="47160" anchor="t">
                        <a:noAutofit/>
                      </wps:bodyPr>
                    </wps:wsp>
                  </a:graphicData>
                </a:graphic>
              </wp:anchor>
            </w:drawing>
          </mc:Choice>
          <mc:Fallback>
            <w:pict>
              <v:rect id="shape_0" ID="Frame2" path="m0,0l-2147483645,0l-2147483645,-2147483646l0,-2147483646xe" fillcolor="#156082" stroked="f" o:allowincell="f" style="position:absolute;margin-left:386.1pt;margin-top:749.2pt;width:106.5pt;height:20.95pt;mso-wrap-style:square;v-text-anchor:top;mso-position-horizontal-relative:margin;mso-position-vertical-relative:page">
                <v:fill o:detectmouseclick="t" type="solid" color2="#ea9f7d"/>
                <v:stroke color="#3465a4" joinstyle="round" endcap="flat"/>
                <v:textbo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v:textbox>
                <w10:wrap type="none"/>
              </v:rect>
            </w:pict>
          </mc:Fallback>
        </mc:AlternateContent>
      </w:r>
    </w:p>
    <w:p>
      <w:pPr>
        <w:pStyle w:val="Normal"/>
        <w:jc w:val="center"/>
        <w:rPr>
          <w:b/>
          <w:i/>
          <w:i/>
          <w:sz w:val="28"/>
          <w:szCs w:val="20"/>
        </w:rPr>
      </w:pPr>
      <w:r>
        <w:rPr>
          <w:b/>
          <w:i/>
          <w:sz w:val="28"/>
          <w:szCs w:val="20"/>
        </w:rPr>
        <w:t>Table des matières</w:t>
      </w:r>
    </w:p>
    <w:sdt>
      <w:sdtPr>
        <w:docPartObj>
          <w:docPartGallery w:val="Table of Contents"/>
          <w:docPartUnique w:val="true"/>
        </w:docPartObj>
      </w:sdtPr>
      <w:sdtContent>
        <w:p>
          <w:pPr>
            <w:pStyle w:val="TOC1"/>
            <w:tabs>
              <w:tab w:val="clear" w:pos="708"/>
              <w:tab w:val="left" w:pos="440" w:leader="none"/>
              <w:tab w:val="right" w:pos="9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4831690">
            <w:r>
              <w:rPr>
                <w:webHidden/>
                <w:rStyle w:val="IndexLink"/>
              </w:rPr>
              <w:t>I.</w:t>
              <w:tab/>
              <w:t>FICHE SIGNALÉTIQUE</w:t>
              <w:tab/>
              <w:t>2</w:t>
            </w:r>
          </w:hyperlink>
        </w:p>
        <w:p>
          <w:pPr>
            <w:pStyle w:val="TOC1"/>
            <w:tabs>
              <w:tab w:val="clear" w:pos="708"/>
              <w:tab w:val="left" w:pos="440" w:leader="none"/>
              <w:tab w:val="right" w:pos="9639" w:leader="dot"/>
            </w:tabs>
            <w:rPr/>
          </w:pPr>
          <w:hyperlink w:anchor="__RefHeading___Toc43367_4017987919">
            <w:r>
              <w:rPr>
                <w:webHidden/>
                <w:rStyle w:val="IndexLink"/>
              </w:rPr>
              <w:t>II.</w:t>
              <w:tab/>
              <w:t>APERÇU GÉNÉRAL</w:t>
              <w:tab/>
              <w:t>3</w:t>
            </w:r>
          </w:hyperlink>
        </w:p>
        <w:p>
          <w:pPr>
            <w:pStyle w:val="TOC2"/>
            <w:tabs>
              <w:tab w:val="clear" w:pos="708"/>
              <w:tab w:val="left" w:pos="880" w:leader="none"/>
              <w:tab w:val="right" w:pos="9639" w:leader="dot"/>
            </w:tabs>
            <w:rPr/>
          </w:pPr>
          <w:hyperlink w:anchor="__RefHeading___Toc234831692">
            <w:r>
              <w:rPr>
                <w:webHidden/>
                <w:rStyle w:val="IndexLink"/>
              </w:rPr>
              <w:t>1.</w:t>
              <w:tab/>
            </w:r>
            <w:r>
              <w:rPr>
                <w:rStyle w:val="IndexLink"/>
                <w:i w:val="false"/>
                <w:iCs w:val="false"/>
              </w:rPr>
              <w:t>Présentation du Promoteur :</w:t>
            </w:r>
            <w:r>
              <w:rPr>
                <w:rStyle w:val="IndexLink"/>
              </w:rPr>
              <w:tab/>
              <w:t>3</w:t>
            </w:r>
          </w:hyperlink>
        </w:p>
        <w:p>
          <w:pPr>
            <w:pStyle w:val="TOC2"/>
            <w:tabs>
              <w:tab w:val="clear" w:pos="708"/>
              <w:tab w:val="left" w:pos="880" w:leader="none"/>
              <w:tab w:val="right" w:pos="9639" w:leader="dot"/>
            </w:tabs>
            <w:rPr/>
          </w:pPr>
          <w:hyperlink w:anchor="__RefHeading___Toc234831693">
            <w:r>
              <w:rPr>
                <w:webHidden/>
                <w:rStyle w:val="IndexLink"/>
              </w:rPr>
              <w:t>2.</w:t>
              <w:tab/>
            </w:r>
            <w:r>
              <w:rPr>
                <w:rStyle w:val="IndexLink"/>
                <w:i w:val="false"/>
                <w:iCs w:val="false"/>
              </w:rPr>
              <w:t>Description du projet :</w:t>
            </w:r>
            <w:r>
              <w:rPr>
                <w:rStyle w:val="IndexLink"/>
              </w:rPr>
              <w:tab/>
              <w:t>4</w:t>
            </w:r>
          </w:hyperlink>
        </w:p>
        <w:p>
          <w:pPr>
            <w:pStyle w:val="TOC2"/>
            <w:tabs>
              <w:tab w:val="clear" w:pos="708"/>
              <w:tab w:val="left" w:pos="880" w:leader="none"/>
              <w:tab w:val="right" w:pos="9639" w:leader="dot"/>
            </w:tabs>
            <w:rPr/>
          </w:pPr>
          <w:hyperlink w:anchor="__RefHeading___Toc234831694">
            <w:r>
              <w:rPr>
                <w:webHidden/>
                <w:rStyle w:val="IndexLink"/>
              </w:rPr>
              <w:t>3.</w:t>
              <w:tab/>
            </w:r>
            <w:r>
              <w:rPr>
                <w:rStyle w:val="IndexLink"/>
                <w:i w:val="false"/>
                <w:iCs w:val="false"/>
              </w:rPr>
              <w:t>Objectifs du projet :</w:t>
            </w:r>
            <w:r>
              <w:rPr>
                <w:rStyle w:val="IndexLink"/>
              </w:rPr>
              <w:tab/>
              <w:t>4</w:t>
            </w:r>
          </w:hyperlink>
        </w:p>
        <w:p>
          <w:pPr>
            <w:pStyle w:val="TOC1"/>
            <w:tabs>
              <w:tab w:val="clear" w:pos="708"/>
              <w:tab w:val="left" w:pos="440" w:leader="none"/>
              <w:tab w:val="right" w:pos="9639" w:leader="dot"/>
            </w:tabs>
            <w:rPr/>
          </w:pPr>
          <w:hyperlink w:anchor="__RefHeading___Toc234831696">
            <w:r>
              <w:rPr>
                <w:webHidden/>
                <w:rStyle w:val="IndexLink"/>
              </w:rPr>
              <w:t>III.</w:t>
              <w:tab/>
              <w:t>ÉTUDE DE MARCHÉ</w:t>
              <w:tab/>
              <w:t>4</w:t>
            </w:r>
          </w:hyperlink>
        </w:p>
        <w:p>
          <w:pPr>
            <w:pStyle w:val="TOC2"/>
            <w:tabs>
              <w:tab w:val="clear" w:pos="708"/>
              <w:tab w:val="left" w:pos="880" w:leader="none"/>
              <w:tab w:val="right" w:pos="9639" w:leader="dot"/>
            </w:tabs>
            <w:rPr/>
          </w:pPr>
          <w:hyperlink w:anchor="__RefHeading___Toc234831697">
            <w:r>
              <w:rPr>
                <w:webHidden/>
                <w:rStyle w:val="IndexLink"/>
              </w:rPr>
              <w:t>1.</w:t>
              <w:tab/>
            </w:r>
            <w:r>
              <w:rPr>
                <w:rStyle w:val="IndexLink"/>
                <w:i w:val="false"/>
                <w:iCs w:val="false"/>
              </w:rPr>
              <w:t>Les produits</w:t>
            </w:r>
            <w:r>
              <w:rPr>
                <w:rStyle w:val="IndexLink"/>
              </w:rPr>
              <w:tab/>
              <w:t>4</w:t>
            </w:r>
          </w:hyperlink>
        </w:p>
        <w:p>
          <w:pPr>
            <w:pStyle w:val="TOC1"/>
            <w:tabs>
              <w:tab w:val="clear" w:pos="708"/>
              <w:tab w:val="left" w:pos="440" w:leader="none"/>
              <w:tab w:val="right" w:pos="9639" w:leader="dot"/>
            </w:tabs>
            <w:rPr/>
          </w:pPr>
          <w:hyperlink w:anchor="__RefHeading___Toc234831707">
            <w:r>
              <w:rPr>
                <w:webHidden/>
                <w:rStyle w:val="IndexLink"/>
              </w:rPr>
              <w:t>IV.</w:t>
              <w:tab/>
              <w:t>ÉTUDE TECHNIQUE</w:t>
              <w:tab/>
              <w:t>8</w:t>
            </w:r>
          </w:hyperlink>
        </w:p>
        <w:p>
          <w:pPr>
            <w:pStyle w:val="TOC2"/>
            <w:tabs>
              <w:tab w:val="clear" w:pos="708"/>
              <w:tab w:val="left" w:pos="880" w:leader="none"/>
              <w:tab w:val="right" w:pos="9639" w:leader="dot"/>
            </w:tabs>
            <w:rPr/>
          </w:pPr>
          <w:hyperlink w:anchor="__RefHeading___Toc234831708">
            <w:r>
              <w:rPr>
                <w:webHidden/>
                <w:rStyle w:val="IndexLink"/>
              </w:rPr>
              <w:t>1.</w:t>
              <w:tab/>
            </w:r>
            <w:r>
              <w:rPr>
                <w:rStyle w:val="IndexLink"/>
                <w:i w:val="false"/>
                <w:iCs w:val="false"/>
              </w:rPr>
              <w:t>Site d’implantation :</w:t>
            </w:r>
            <w:r>
              <w:rPr>
                <w:rStyle w:val="IndexLink"/>
              </w:rPr>
              <w:tab/>
              <w:t>8</w:t>
            </w:r>
          </w:hyperlink>
        </w:p>
        <w:p>
          <w:pPr>
            <w:pStyle w:val="TOC3"/>
            <w:tabs>
              <w:tab w:val="clear" w:pos="708"/>
              <w:tab w:val="left" w:pos="1320" w:leader="none"/>
              <w:tab w:val="right" w:pos="9639" w:leader="dot"/>
            </w:tabs>
            <w:rPr/>
          </w:pPr>
          <w:hyperlink w:anchor="__RefHeading___Toc234831710">
            <w:r>
              <w:rPr>
                <w:webHidden/>
                <w:rStyle w:val="IndexLink"/>
              </w:rPr>
              <w:t>2.1</w:t>
              <w:tab/>
              <w:t>Equipements de production :</w:t>
              <w:tab/>
              <w:t>9</w:t>
            </w:r>
          </w:hyperlink>
        </w:p>
        <w:p>
          <w:pPr>
            <w:pStyle w:val="TOC2"/>
            <w:tabs>
              <w:tab w:val="clear" w:pos="708"/>
              <w:tab w:val="left" w:pos="880" w:leader="none"/>
              <w:tab w:val="right" w:pos="9639" w:leader="dot"/>
            </w:tabs>
            <w:rPr/>
          </w:pPr>
          <w:hyperlink w:anchor="__RefHeading___Toc234831711">
            <w:r>
              <w:rPr>
                <w:webHidden/>
                <w:rStyle w:val="IndexLink"/>
              </w:rPr>
              <w:t>2.</w:t>
              <w:tab/>
            </w:r>
            <w:r>
              <w:rPr>
                <w:rStyle w:val="IndexLink"/>
                <w:i w:val="false"/>
                <w:iCs w:val="false"/>
              </w:rPr>
              <w:t xml:space="preserve">Le processus de production : </w:t>
            </w:r>
            <w:r>
              <w:rPr>
                <w:rStyle w:val="IndexLink"/>
                <w:i w:val="false"/>
              </w:rPr>
              <w:t>(définir le process et la capacité de production de l’entreprise)</w:t>
            </w:r>
            <w:r>
              <w:rPr>
                <w:rStyle w:val="IndexLink"/>
              </w:rPr>
              <w:tab/>
              <w:t>9</w:t>
            </w:r>
          </w:hyperlink>
        </w:p>
        <w:p>
          <w:pPr>
            <w:pStyle w:val="TOC2"/>
            <w:tabs>
              <w:tab w:val="clear" w:pos="708"/>
              <w:tab w:val="left" w:pos="880" w:leader="none"/>
              <w:tab w:val="right" w:pos="9639" w:leader="dot"/>
            </w:tabs>
            <w:rPr/>
          </w:pPr>
          <w:hyperlink w:anchor="__RefHeading___Toc43369_4017987919">
            <w:r>
              <w:rPr>
                <w:webHidden/>
                <w:rStyle w:val="IndexLink"/>
              </w:rPr>
              <w:t>3.</w:t>
              <w:tab/>
            </w:r>
            <w:r>
              <w:rPr>
                <w:rStyle w:val="IndexLink"/>
                <w:i w:val="false"/>
                <w:iCs w:val="false"/>
              </w:rPr>
              <w:t xml:space="preserve">Le personnel : </w:t>
            </w:r>
            <w:r>
              <w:rPr>
                <w:rStyle w:val="IndexLink"/>
              </w:rPr>
              <w:t>(profil et compétences)</w:t>
              <w:tab/>
              <w:t>11</w:t>
            </w:r>
          </w:hyperlink>
        </w:p>
        <w:p>
          <w:pPr>
            <w:pStyle w:val="TOC1"/>
            <w:tabs>
              <w:tab w:val="clear" w:pos="708"/>
              <w:tab w:val="left" w:pos="440" w:leader="none"/>
              <w:tab w:val="right" w:pos="9639" w:leader="dot"/>
            </w:tabs>
            <w:rPr/>
          </w:pPr>
          <w:hyperlink w:anchor="__RefHeading___Toc234831713">
            <w:r>
              <w:rPr>
                <w:webHidden/>
                <w:rStyle w:val="IndexLink"/>
              </w:rPr>
              <w:t>V.</w:t>
              <w:tab/>
              <w:t>ÉTUDE ÉCONOMIQUE ET FINANCIÈRE</w:t>
              <w:tab/>
              <w:t>11</w:t>
            </w:r>
          </w:hyperlink>
        </w:p>
        <w:p>
          <w:pPr>
            <w:pStyle w:val="TOC2"/>
            <w:tabs>
              <w:tab w:val="clear" w:pos="708"/>
              <w:tab w:val="left" w:pos="880" w:leader="none"/>
              <w:tab w:val="right" w:pos="9639" w:leader="dot"/>
            </w:tabs>
            <w:rPr/>
          </w:pPr>
          <w:hyperlink w:anchor="__RefHeading___Toc234831714">
            <w:r>
              <w:rPr>
                <w:webHidden/>
                <w:rStyle w:val="IndexLink"/>
              </w:rPr>
              <w:t>V.1</w:t>
              <w:tab/>
            </w:r>
            <w:r>
              <w:rPr>
                <w:rStyle w:val="IndexLink"/>
                <w:i w:val="false"/>
                <w:iCs w:val="false"/>
              </w:rPr>
              <w:t>Hypothèses de base</w:t>
            </w:r>
            <w:r>
              <w:rPr>
                <w:rStyle w:val="IndexLink"/>
              </w:rPr>
              <w:tab/>
              <w:t>11</w:t>
            </w:r>
          </w:hyperlink>
        </w:p>
        <w:p>
          <w:pPr>
            <w:pStyle w:val="TOC3"/>
            <w:tabs>
              <w:tab w:val="clear" w:pos="708"/>
              <w:tab w:val="left" w:pos="1320" w:leader="none"/>
              <w:tab w:val="right" w:pos="9639" w:leader="dot"/>
            </w:tabs>
            <w:rPr/>
          </w:pPr>
          <w:hyperlink w:anchor="__RefHeading___Toc234831715">
            <w:r>
              <w:rPr>
                <w:webHidden/>
                <w:rStyle w:val="IndexLink"/>
              </w:rPr>
              <w:t>V.1.1</w:t>
              <w:tab/>
              <w:t>Recettes prévisionnelles annuelles</w:t>
              <w:tab/>
              <w:t>11</w:t>
            </w:r>
          </w:hyperlink>
        </w:p>
        <w:p>
          <w:pPr>
            <w:pStyle w:val="TOC3"/>
            <w:tabs>
              <w:tab w:val="clear" w:pos="708"/>
              <w:tab w:val="left" w:pos="1320" w:leader="none"/>
              <w:tab w:val="right" w:pos="9639" w:leader="dot"/>
            </w:tabs>
            <w:rPr/>
          </w:pPr>
          <w:hyperlink w:anchor="__RefHeading___Toc234831716">
            <w:r>
              <w:rPr>
                <w:webHidden/>
                <w:rStyle w:val="IndexLink"/>
              </w:rPr>
              <w:t>V.1.2</w:t>
              <w:tab/>
              <w:t>Données prévisionnelles sur les achats</w:t>
              <w:tab/>
              <w:t>11</w:t>
            </w:r>
          </w:hyperlink>
        </w:p>
        <w:p>
          <w:pPr>
            <w:pStyle w:val="TOC3"/>
            <w:tabs>
              <w:tab w:val="clear" w:pos="708"/>
              <w:tab w:val="left" w:pos="1320" w:leader="none"/>
              <w:tab w:val="right" w:pos="9639" w:leader="dot"/>
            </w:tabs>
            <w:rPr/>
          </w:pPr>
          <w:hyperlink w:anchor="__RefHeading___Toc234831717">
            <w:r>
              <w:rPr>
                <w:webHidden/>
                <w:rStyle w:val="IndexLink"/>
              </w:rPr>
              <w:tab/>
              <w:t>Achats de matières premières</w:t>
              <w:tab/>
              <w:t>11</w:t>
            </w:r>
          </w:hyperlink>
        </w:p>
        <w:p>
          <w:pPr>
            <w:pStyle w:val="TOC3"/>
            <w:tabs>
              <w:tab w:val="clear" w:pos="708"/>
              <w:tab w:val="left" w:pos="1320" w:leader="none"/>
              <w:tab w:val="right" w:pos="9639" w:leader="dot"/>
            </w:tabs>
            <w:rPr/>
          </w:pPr>
          <w:hyperlink w:anchor="__RefHeading___Toc234831718">
            <w:r>
              <w:rPr>
                <w:webHidden/>
                <w:rStyle w:val="IndexLink"/>
              </w:rPr>
              <w:t>V.1.3</w:t>
              <w:tab/>
              <w:t>Frais Généraux</w:t>
              <w:tab/>
              <w:t>12</w:t>
            </w:r>
          </w:hyperlink>
        </w:p>
        <w:p>
          <w:pPr>
            <w:pStyle w:val="TOC3"/>
            <w:tabs>
              <w:tab w:val="clear" w:pos="708"/>
              <w:tab w:val="left" w:pos="1320" w:leader="none"/>
              <w:tab w:val="right" w:pos="9639" w:leader="dot"/>
            </w:tabs>
            <w:rPr/>
          </w:pPr>
          <w:hyperlink w:anchor="__RefHeading___Toc234831719">
            <w:r>
              <w:rPr>
                <w:webHidden/>
                <w:rStyle w:val="IndexLink"/>
              </w:rPr>
              <w:t>V.1.4</w:t>
              <w:tab/>
              <w:t>Dotations aux amortissements</w:t>
              <w:tab/>
              <w:t>12</w:t>
            </w:r>
          </w:hyperlink>
        </w:p>
        <w:p>
          <w:pPr>
            <w:pStyle w:val="TOC3"/>
            <w:tabs>
              <w:tab w:val="clear" w:pos="708"/>
              <w:tab w:val="left" w:pos="1320" w:leader="none"/>
              <w:tab w:val="right" w:pos="9639" w:leader="dot"/>
            </w:tabs>
            <w:rPr/>
          </w:pPr>
          <w:hyperlink w:anchor="__RefHeading___Toc234831720">
            <w:r>
              <w:rPr>
                <w:webHidden/>
                <w:rStyle w:val="IndexLink"/>
              </w:rPr>
              <w:t>V.1.5</w:t>
              <w:tab/>
              <w:t>Echéancier de remboursement</w:t>
              <w:tab/>
              <w:t>13</w:t>
            </w:r>
          </w:hyperlink>
        </w:p>
        <w:p>
          <w:pPr>
            <w:pStyle w:val="TOC2"/>
            <w:tabs>
              <w:tab w:val="clear" w:pos="708"/>
              <w:tab w:val="left" w:pos="880" w:leader="none"/>
              <w:tab w:val="right" w:pos="9639" w:leader="dot"/>
            </w:tabs>
            <w:rPr/>
          </w:pPr>
          <w:hyperlink w:anchor="__RefHeading___Toc234831721">
            <w:r>
              <w:rPr>
                <w:webHidden/>
                <w:rStyle w:val="IndexLink"/>
              </w:rPr>
              <w:t>V.2</w:t>
              <w:tab/>
            </w:r>
            <w:r>
              <w:rPr>
                <w:rStyle w:val="IndexLink"/>
                <w:i w:val="false"/>
                <w:iCs w:val="false"/>
              </w:rPr>
              <w:t>Coût total du projet</w:t>
            </w:r>
            <w:r>
              <w:rPr>
                <w:rStyle w:val="IndexLink"/>
              </w:rPr>
              <w:tab/>
              <w:t>14</w:t>
            </w:r>
          </w:hyperlink>
        </w:p>
        <w:p>
          <w:pPr>
            <w:pStyle w:val="TOC2"/>
            <w:tabs>
              <w:tab w:val="clear" w:pos="708"/>
              <w:tab w:val="left" w:pos="880" w:leader="none"/>
              <w:tab w:val="right" w:pos="9639" w:leader="dot"/>
            </w:tabs>
            <w:rPr/>
          </w:pPr>
          <w:hyperlink w:anchor="__RefHeading___Toc234831722">
            <w:r>
              <w:rPr>
                <w:webHidden/>
                <w:rStyle w:val="IndexLink"/>
              </w:rPr>
              <w:t>V.3</w:t>
              <w:tab/>
            </w:r>
            <w:r>
              <w:rPr>
                <w:rStyle w:val="IndexLink"/>
                <w:i w:val="false"/>
                <w:iCs w:val="false"/>
              </w:rPr>
              <w:t>Plan de financement</w:t>
            </w:r>
            <w:r>
              <w:rPr>
                <w:rStyle w:val="IndexLink"/>
              </w:rPr>
              <w:tab/>
              <w:t>15</w:t>
            </w:r>
          </w:hyperlink>
        </w:p>
        <w:p>
          <w:pPr>
            <w:pStyle w:val="TOC2"/>
            <w:tabs>
              <w:tab w:val="clear" w:pos="708"/>
              <w:tab w:val="left" w:pos="880" w:leader="none"/>
              <w:tab w:val="right" w:pos="9639" w:leader="dot"/>
            </w:tabs>
            <w:rPr/>
          </w:pPr>
          <w:hyperlink w:anchor="__RefHeading___Toc234831723">
            <w:r>
              <w:rPr>
                <w:webHidden/>
                <w:rStyle w:val="IndexLink"/>
              </w:rPr>
              <w:t>V.4</w:t>
              <w:tab/>
            </w:r>
            <w:r>
              <w:rPr>
                <w:rStyle w:val="IndexLink"/>
                <w:i w:val="false"/>
                <w:iCs w:val="false"/>
              </w:rPr>
              <w:t>Compte d'exploitation prévisionnel</w:t>
            </w:r>
            <w:r>
              <w:rPr>
                <w:rStyle w:val="IndexLink"/>
              </w:rPr>
              <w:tab/>
              <w:t>16</w:t>
            </w:r>
          </w:hyperlink>
        </w:p>
        <w:p>
          <w:pPr>
            <w:pStyle w:val="TOC2"/>
            <w:tabs>
              <w:tab w:val="clear" w:pos="708"/>
              <w:tab w:val="left" w:pos="880" w:leader="none"/>
              <w:tab w:val="right" w:pos="9639" w:leader="dot"/>
            </w:tabs>
            <w:rPr/>
          </w:pPr>
          <w:hyperlink w:anchor="__RefHeading___Toc234831724">
            <w:r>
              <w:rPr>
                <w:webHidden/>
                <w:rStyle w:val="IndexLink"/>
              </w:rPr>
              <w:t>V.5</w:t>
              <w:tab/>
            </w:r>
            <w:r>
              <w:rPr>
                <w:rStyle w:val="IndexLink"/>
                <w:i w:val="false"/>
                <w:iCs w:val="false"/>
              </w:rPr>
              <w:t>Tableau de financement annuel</w:t>
            </w:r>
            <w:r>
              <w:rPr>
                <w:rStyle w:val="IndexLink"/>
              </w:rPr>
              <w:tab/>
              <w:t>17</w:t>
            </w:r>
          </w:hyperlink>
        </w:p>
        <w:p>
          <w:pPr>
            <w:pStyle w:val="TOC2"/>
            <w:tabs>
              <w:tab w:val="clear" w:pos="708"/>
              <w:tab w:val="left" w:pos="880" w:leader="none"/>
              <w:tab w:val="right" w:pos="9639" w:leader="dot"/>
            </w:tabs>
            <w:rPr/>
          </w:pPr>
          <w:hyperlink w:anchor="__RefHeading___Toc234831725">
            <w:r>
              <w:rPr>
                <w:webHidden/>
                <w:rStyle w:val="IndexLink"/>
              </w:rPr>
              <w:t>V.6</w:t>
              <w:tab/>
            </w:r>
            <w:r>
              <w:rPr>
                <w:rStyle w:val="IndexLink"/>
                <w:i w:val="false"/>
                <w:iCs w:val="false"/>
              </w:rPr>
              <w:t>Bilan de départ</w:t>
            </w:r>
            <w:r>
              <w:rPr>
                <w:rStyle w:val="IndexLink"/>
              </w:rPr>
              <w:tab/>
              <w:t>18</w:t>
            </w:r>
          </w:hyperlink>
        </w:p>
        <w:p>
          <w:pPr>
            <w:pStyle w:val="TOC2"/>
            <w:tabs>
              <w:tab w:val="clear" w:pos="708"/>
              <w:tab w:val="left" w:pos="880" w:leader="none"/>
              <w:tab w:val="right" w:pos="9639" w:leader="dot"/>
            </w:tabs>
            <w:rPr/>
          </w:pPr>
          <w:hyperlink w:anchor="__RefHeading___Toc234831726">
            <w:r>
              <w:rPr>
                <w:webHidden/>
                <w:rStyle w:val="IndexLink"/>
              </w:rPr>
              <w:t>V.7</w:t>
              <w:tab/>
            </w:r>
            <w:r>
              <w:rPr>
                <w:rStyle w:val="IndexLink"/>
                <w:i w:val="false"/>
                <w:iCs w:val="false"/>
              </w:rPr>
              <w:t>Calcul de rentabilité</w:t>
            </w:r>
            <w:r>
              <w:rPr>
                <w:rStyle w:val="IndexLink"/>
              </w:rPr>
              <w:tab/>
              <w:t>19</w:t>
            </w:r>
          </w:hyperlink>
        </w:p>
        <w:p>
          <w:pPr>
            <w:pStyle w:val="TOC1"/>
            <w:tabs>
              <w:tab w:val="clear" w:pos="708"/>
              <w:tab w:val="left" w:pos="440" w:leader="none"/>
              <w:tab w:val="right" w:pos="9639" w:leader="dot"/>
            </w:tabs>
            <w:rPr/>
          </w:pPr>
          <w:hyperlink w:anchor="__RefHeading___Toc234831727">
            <w:r>
              <w:rPr>
                <w:webHidden/>
                <w:rStyle w:val="IndexLink"/>
              </w:rPr>
              <w:t>VI.</w:t>
              <w:tab/>
              <w:t>ANALYSE DES FORCES, FAIBLESSES, OPPORTUNITÉS ET MENACES</w:t>
              <w:tab/>
              <w:t>20</w:t>
            </w:r>
          </w:hyperlink>
        </w:p>
        <w:p>
          <w:pPr>
            <w:pStyle w:val="TOC1"/>
            <w:tabs>
              <w:tab w:val="clear" w:pos="708"/>
              <w:tab w:val="left" w:pos="440" w:leader="none"/>
              <w:tab w:val="right" w:pos="9639" w:leader="dot"/>
            </w:tabs>
            <w:rPr/>
          </w:pPr>
          <w:hyperlink w:anchor="__RefHeading___Toc234831728">
            <w:r>
              <w:rPr>
                <w:webHidden/>
                <w:rStyle w:val="IndexLink"/>
              </w:rPr>
              <w:t>VII.</w:t>
              <w:tab/>
              <w:t>CONCLUSION</w:t>
              <w:tab/>
              <w:t>22</w:t>
            </w:r>
          </w:hyperlink>
          <w:r>
            <w:rPr>
              <w:rStyle w:val="IndexLink"/>
            </w:rPr>
            <w:fldChar w:fldCharType="end"/>
          </w:r>
        </w:p>
      </w:sdtContent>
    </w:sdt>
    <w:p>
      <w:pPr>
        <w:pStyle w:val="TOC1"/>
        <w:rPr>
          <w:rStyle w:val="IndexLink"/>
          <w:rFonts w:ascii="Calibri" w:hAnsi="Calibri" w:cs="Calibri"/>
          <w:b/>
          <w:bCs/>
          <w:caps/>
          <w:sz w:val="22"/>
          <w:szCs w:val="22"/>
        </w:rPr>
      </w:pPr>
      <w:r>
        <w:rPr>
          <w:rFonts w:cs="Calibri" w:ascii="Calibri" w:hAnsi="Calibri"/>
          <w:b/>
          <w:bCs/>
          <w:caps/>
          <w:sz w:val="22"/>
          <w:szCs w:val="22"/>
        </w:rPr>
      </w:r>
    </w:p>
    <w:p>
      <w:pPr>
        <w:pStyle w:val="Normal"/>
        <w:jc w:val="both"/>
        <w:rPr>
          <w:rFonts w:ascii="Calibri" w:hAnsi="Calibri" w:cs="Calibri"/>
          <w:b/>
          <w:bCs/>
          <w:caps/>
          <w:sz w:val="20"/>
          <w:szCs w:val="20"/>
        </w:rPr>
      </w:pPr>
      <w:r>
        <w:rPr>
          <w:rFonts w:cs="Calibri" w:ascii="Calibri" w:hAnsi="Calibri"/>
          <w:b/>
          <w:bCs/>
          <w:caps/>
          <w:sz w:val="20"/>
          <w:szCs w:val="20"/>
        </w:rPr>
      </w:r>
    </w:p>
    <w:p>
      <w:pPr>
        <w:pStyle w:val="Heading1"/>
        <w:keepLines/>
        <w:numPr>
          <w:ilvl w:val="0"/>
          <w:numId w:val="9"/>
        </w:numPr>
        <w:spacing w:before="240" w:after="120"/>
        <w:ind w:hanging="431" w:left="431" w:right="0"/>
        <w:jc w:val="both"/>
        <w:rPr>
          <w:rFonts w:ascii="Times New Roman" w:hAnsi="Times New Roman" w:cs="Times New Roman"/>
          <w:caps/>
          <w:color w:val="166B7F"/>
          <w:kern w:val="0"/>
          <w:lang w:eastAsia="en-US"/>
        </w:rPr>
      </w:pPr>
      <w:bookmarkStart w:id="0" w:name="__RefHeading___Toc234831690"/>
      <w:bookmarkEnd w:id="0"/>
      <w:r>
        <w:rPr>
          <w:rFonts w:cs="Times New Roman" w:ascii="Times New Roman" w:hAnsi="Times New Roman"/>
          <w:caps/>
          <w:color w:val="166B7F"/>
          <w:kern w:val="0"/>
          <w:lang w:eastAsia="en-US"/>
        </w:rPr>
        <w:t>FICHE SIGNALÉTIQUE</w:t>
      </w:r>
    </w:p>
    <w:tbl>
      <w:tblPr>
        <w:tblW w:w="9781" w:type="dxa"/>
        <w:jc w:val="left"/>
        <w:tblInd w:w="70" w:type="dxa"/>
        <w:tblLayout w:type="fixed"/>
        <w:tblCellMar>
          <w:top w:w="0" w:type="dxa"/>
          <w:left w:w="70" w:type="dxa"/>
          <w:bottom w:w="0" w:type="dxa"/>
          <w:right w:w="70" w:type="dxa"/>
        </w:tblCellMar>
      </w:tblPr>
      <w:tblGrid>
        <w:gridCol w:w="3543"/>
        <w:gridCol w:w="2695"/>
        <w:gridCol w:w="282"/>
        <w:gridCol w:w="992"/>
        <w:gridCol w:w="851"/>
        <w:gridCol w:w="899"/>
        <w:gridCol w:w="196"/>
        <w:gridCol w:w="322"/>
      </w:tblGrid>
      <w:tr>
        <w:trPr>
          <w:trHeight w:val="405" w:hRule="atLeast"/>
        </w:trPr>
        <w:tc>
          <w:tcPr>
            <w:tcW w:w="9780" w:type="dxa"/>
            <w:gridSpan w:val="8"/>
            <w:tcBorders/>
            <w:shd w:fill="166B7F" w:val="clear"/>
            <w:vAlign w:val="bottom"/>
          </w:tcPr>
          <w:p>
            <w:pPr>
              <w:pStyle w:val="Normal"/>
              <w:jc w:val="center"/>
              <w:rPr>
                <w:b/>
                <w:bCs/>
                <w:color w:val="FFFFFF"/>
                <w:sz w:val="22"/>
                <w:szCs w:val="22"/>
              </w:rPr>
            </w:pPr>
            <w:r>
              <w:rPr>
                <w:b/>
                <w:bCs/>
                <w:color w:val="FFFFFF"/>
                <w:sz w:val="22"/>
                <w:szCs w:val="22"/>
              </w:rPr>
              <w:t>FICHE SIGNALETIQUE</w:t>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Nom(s) et prénom(s)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Augustin Banou</w:t>
            </w:r>
          </w:p>
        </w:tc>
        <w:tc>
          <w:tcPr>
            <w:tcW w:w="196" w:type="dxa"/>
            <w:tcBorders>
              <w:left w:val="single" w:sz="4" w:space="0" w:color="000000"/>
            </w:tcBorders>
            <w:vAlign w:val="bottom"/>
          </w:tcPr>
          <w:p>
            <w:pPr>
              <w:pStyle w:val="Normal"/>
              <w:rPr>
                <w:color w:val="000000"/>
                <w:sz w:val="22"/>
                <w:szCs w:val="22"/>
              </w:rPr>
            </w:pPr>
            <w:r>
              <w:rPr/>
            </w:r>
          </w:p>
        </w:tc>
        <w:tc>
          <w:tcPr>
            <w:tcW w:w="322" w:type="dxa"/>
            <w:tcBorders/>
            <w:vAlign w:val="bottom"/>
          </w:tcPr>
          <w:p>
            <w:pPr>
              <w:pStyle w:val="Normal"/>
              <w:rPr>
                <w:color w:val="000000"/>
                <w:sz w:val="22"/>
                <w:szCs w:val="22"/>
              </w:rPr>
            </w:pPr>
            <w:r>
              <w:rPr/>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Date de naissance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Né le 31 décembre 1994 à Bandiagara</w:t>
            </w:r>
          </w:p>
        </w:tc>
        <w:tc>
          <w:tcPr>
            <w:tcW w:w="196" w:type="dxa"/>
            <w:tcBorders>
              <w:left w:val="single" w:sz="4" w:space="0" w:color="000000"/>
            </w:tcBorders>
            <w:vAlign w:val="bottom"/>
          </w:tcPr>
          <w:p>
            <w:pPr>
              <w:pStyle w:val="Normal"/>
              <w:snapToGrid w:val="false"/>
              <w:rPr>
                <w:color w:val="000000"/>
                <w:sz w:val="22"/>
                <w:szCs w:val="22"/>
              </w:rPr>
            </w:pPr>
            <w:r>
              <w:rPr>
                <w:color w:val="000000"/>
                <w:sz w:val="22"/>
                <w:szCs w:val="22"/>
              </w:rPr>
            </w:r>
          </w:p>
        </w:tc>
        <w:tc>
          <w:tcPr>
            <w:tcW w:w="322" w:type="dxa"/>
            <w:tcBorders/>
            <w:vAlign w:val="bottom"/>
          </w:tcPr>
          <w:p>
            <w:pPr>
              <w:pStyle w:val="Normal"/>
              <w:snapToGrid w:val="false"/>
              <w:rPr>
                <w:color w:val="000000"/>
                <w:sz w:val="22"/>
                <w:szCs w:val="22"/>
              </w:rPr>
            </w:pPr>
            <w:r>
              <w:rPr>
                <w:color w:val="000000"/>
                <w:sz w:val="22"/>
                <w:szCs w:val="22"/>
              </w:rPr>
            </w:r>
          </w:p>
        </w:tc>
      </w:tr>
      <w:tr>
        <w:trPr>
          <w:trHeight w:val="300" w:hRule="atLeast"/>
        </w:trPr>
        <w:tc>
          <w:tcPr>
            <w:tcW w:w="3543" w:type="dxa"/>
            <w:tcBorders>
              <w:top w:val="single" w:sz="8" w:space="0" w:color="000000"/>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 Financement du Projet</w:t>
            </w:r>
          </w:p>
        </w:tc>
        <w:tc>
          <w:tcPr>
            <w:tcW w:w="3969" w:type="dxa"/>
            <w:gridSpan w:val="3"/>
            <w:tcBorders>
              <w:top w:val="single" w:sz="8"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top w:val="single" w:sz="8" w:space="0" w:color="000000"/>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FFFFFF" w:val="clear"/>
            <w:vAlign w:val="center"/>
          </w:tcPr>
          <w:p>
            <w:pPr>
              <w:pStyle w:val="Normal"/>
              <w:rPr>
                <w:b/>
                <w:bCs/>
                <w:color w:val="000000"/>
                <w:sz w:val="22"/>
                <w:szCs w:val="22"/>
              </w:rPr>
            </w:pPr>
            <w:r>
              <w:rPr>
                <w:b/>
                <w:bCs/>
                <w:color w:val="000000"/>
                <w:sz w:val="22"/>
                <w:szCs w:val="22"/>
              </w:rPr>
              <w:t>Coût Total du projet</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19 200 000</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de l’apport personnel</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10%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1 920 000</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de la subvention « Projet Vert »</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20%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3 840 000</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du crédit de financement sollicité</w:t>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Moyen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70%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13 440 000</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Court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 Conditions de financement du crédit</w:t>
            </w:r>
          </w:p>
        </w:tc>
        <w:tc>
          <w:tcPr>
            <w:tcW w:w="2695" w:type="dxa"/>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274"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Institution financière (IFP)</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(à renseigner)</w:t>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Durée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(Années et mois)</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60 mois (5 ans), dont 6 mois de différé</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Taux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Moyen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8%</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Court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Sans objet</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III. Données économiques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 d’affaires de référence (Entreprise en croissance)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 0)</w:t>
            </w:r>
          </w:p>
        </w:tc>
        <w:tc>
          <w:tcPr>
            <w:tcW w:w="1843" w:type="dxa"/>
            <w:gridSpan w:val="2"/>
            <w:tcBorders>
              <w:bottom w:val="single" w:sz="4" w:space="0" w:color="000000"/>
              <w:right w:val="single" w:sz="4" w:space="0" w:color="000000"/>
            </w:tcBorders>
            <w:shd w:fill="A9D18D" w:val="clear"/>
            <w:vAlign w:val="center"/>
          </w:tcPr>
          <w:p>
            <w:pPr>
              <w:pStyle w:val="Normal"/>
              <w:jc w:val="center"/>
              <w:rPr>
                <w:color w:val="000000"/>
                <w:sz w:val="22"/>
                <w:szCs w:val="22"/>
              </w:rPr>
            </w:pPr>
            <w:r>
              <w:rPr/>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Chiffres d’affaires prévisionnels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19 999 750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20 399 745</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20 807 740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Résultats Nets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2 587 386</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2 737 490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2 750 877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Capacité d’autofinancement</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6 587 386</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6 537 490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6 550 877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IV. Quelques ratios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Seuil de Rentabilité</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75 (année 3) – 77 (année 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Valeur ajoutée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54</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TRI</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21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Délai de récupération</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Sans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2 ans et 11 mois</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Avec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3 ans et 6 mois</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V. Emplois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Nombre d’emploi existant</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vMerge w:val="restart"/>
            <w:tcBorders>
              <w:left w:val="single" w:sz="8" w:space="0" w:color="000000"/>
              <w:bottom w:val="single" w:sz="8" w:space="0" w:color="000000"/>
              <w:right w:val="single" w:sz="4" w:space="0" w:color="000000"/>
            </w:tcBorders>
            <w:vAlign w:val="center"/>
          </w:tcPr>
          <w:p>
            <w:pPr>
              <w:pStyle w:val="Normal"/>
              <w:rPr>
                <w:b/>
                <w:bCs/>
                <w:color w:val="000000"/>
                <w:sz w:val="22"/>
                <w:szCs w:val="22"/>
              </w:rPr>
            </w:pPr>
            <w:r>
              <w:rPr>
                <w:b/>
                <w:bCs/>
                <w:color w:val="000000"/>
                <w:sz w:val="22"/>
                <w:szCs w:val="22"/>
              </w:rPr>
              <w:t>Création de nouveaux emplois</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Type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Hommes</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Femmes</w:t>
            </w:r>
          </w:p>
        </w:tc>
      </w:tr>
      <w:tr>
        <w:trPr>
          <w:trHeight w:val="300"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Permanent</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15"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8" w:space="0" w:color="000000"/>
              <w:right w:val="single" w:sz="4" w:space="0" w:color="000000"/>
            </w:tcBorders>
            <w:vAlign w:val="center"/>
          </w:tcPr>
          <w:p>
            <w:pPr>
              <w:pStyle w:val="Normal"/>
              <w:rPr>
                <w:color w:val="000000"/>
                <w:sz w:val="22"/>
                <w:szCs w:val="22"/>
              </w:rPr>
            </w:pPr>
            <w:r>
              <w:rPr>
                <w:color w:val="000000"/>
                <w:sz w:val="22"/>
                <w:szCs w:val="22"/>
              </w:rPr>
              <w:t>Temporaire</w:t>
            </w:r>
          </w:p>
        </w:tc>
        <w:tc>
          <w:tcPr>
            <w:tcW w:w="1843" w:type="dxa"/>
            <w:gridSpan w:val="2"/>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10</w:t>
            </w:r>
          </w:p>
        </w:tc>
        <w:tc>
          <w:tcPr>
            <w:tcW w:w="1417" w:type="dxa"/>
            <w:gridSpan w:val="3"/>
            <w:tcBorders>
              <w:bottom w:val="single" w:sz="8"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3543" w:type="dxa"/>
            <w:tcBorders/>
            <w:shd w:fill="E2EFD9" w:val="clear"/>
            <w:vAlign w:val="bottom"/>
          </w:tcPr>
          <w:p>
            <w:pPr>
              <w:pStyle w:val="Normal"/>
              <w:rPr>
                <w:color w:val="000000"/>
                <w:sz w:val="22"/>
                <w:szCs w:val="22"/>
              </w:rPr>
            </w:pPr>
            <w:r>
              <w:rPr/>
            </w:r>
          </w:p>
        </w:tc>
        <w:tc>
          <w:tcPr>
            <w:tcW w:w="2977" w:type="dxa"/>
            <w:gridSpan w:val="2"/>
            <w:tcBorders/>
            <w:shd w:fill="E2EFD9" w:val="clear"/>
            <w:vAlign w:val="bottom"/>
          </w:tcPr>
          <w:p>
            <w:pPr>
              <w:pStyle w:val="Normal"/>
              <w:rPr>
                <w:color w:val="000000"/>
                <w:sz w:val="22"/>
                <w:szCs w:val="22"/>
              </w:rPr>
            </w:pPr>
            <w:r>
              <w:rPr/>
            </w:r>
          </w:p>
        </w:tc>
        <w:tc>
          <w:tcPr>
            <w:tcW w:w="1843" w:type="dxa"/>
            <w:gridSpan w:val="2"/>
            <w:tcBorders/>
            <w:shd w:fill="E2EFD9" w:val="clear"/>
            <w:vAlign w:val="bottom"/>
          </w:tcPr>
          <w:p>
            <w:pPr>
              <w:pStyle w:val="Normal"/>
              <w:jc w:val="center"/>
              <w:rPr>
                <w:color w:val="000000"/>
                <w:sz w:val="22"/>
                <w:szCs w:val="22"/>
              </w:rPr>
            </w:pPr>
            <w:r>
              <w:rPr/>
            </w:r>
          </w:p>
        </w:tc>
        <w:tc>
          <w:tcPr>
            <w:tcW w:w="1417" w:type="dxa"/>
            <w:gridSpan w:val="3"/>
            <w:tcBorders/>
            <w:shd w:fill="E2EFD9" w:val="clear"/>
            <w:vAlign w:val="bottom"/>
          </w:tcPr>
          <w:p>
            <w:pPr>
              <w:pStyle w:val="Normal"/>
              <w:jc w:val="center"/>
              <w:rPr>
                <w:rFonts w:ascii="Calibri" w:hAnsi="Calibri" w:cs="Calibri"/>
                <w:color w:val="000000"/>
                <w:sz w:val="22"/>
                <w:szCs w:val="22"/>
              </w:rPr>
            </w:pPr>
            <w:r>
              <w:rPr/>
            </w:r>
          </w:p>
        </w:tc>
      </w:tr>
    </w:tbl>
    <w:p>
      <w:pPr>
        <w:pStyle w:val="Heading1"/>
        <w:keepLines/>
        <w:numPr>
          <w:ilvl w:val="0"/>
          <w:numId w:val="9"/>
        </w:numPr>
        <w:spacing w:before="240" w:after="120"/>
        <w:ind w:hanging="431" w:left="431" w:right="0"/>
        <w:rPr>
          <w:rFonts w:ascii="Times New Roman" w:hAnsi="Times New Roman" w:cs="Times New Roman"/>
          <w:caps/>
          <w:color w:val="166B7F"/>
          <w:kern w:val="0"/>
          <w:lang w:eastAsia="en-US"/>
        </w:rPr>
      </w:pPr>
      <w:bookmarkStart w:id="1" w:name="__RefHeading___Toc43367_4017987919"/>
      <w:bookmarkEnd w:id="1"/>
      <w:r>
        <w:rPr/>
        <w:t>APERÇU GÉNÉRAL</w:t>
      </w:r>
      <w:bookmarkStart w:id="2" w:name="__RefHeading___Toc234831691"/>
      <w:bookmarkEnd w:id="2"/>
    </w:p>
    <w:p>
      <w:pPr>
        <w:pStyle w:val="Heading2"/>
        <w:keepLines/>
        <w:numPr>
          <w:ilvl w:val="0"/>
          <w:numId w:val="12"/>
        </w:numPr>
        <w:spacing w:before="120" w:after="120"/>
        <w:ind w:hanging="0" w:left="0" w:right="0"/>
        <w:jc w:val="both"/>
        <w:rPr>
          <w:rFonts w:ascii="Times New Roman" w:hAnsi="Times New Roman" w:cs="Times New Roman"/>
          <w:i w:val="false"/>
          <w:i w:val="false"/>
          <w:iCs w:val="false"/>
          <w:sz w:val="24"/>
          <w:szCs w:val="24"/>
          <w:lang w:val="fr-CI"/>
        </w:rPr>
      </w:pPr>
      <w:bookmarkStart w:id="3" w:name="__RefHeading___Toc234831692"/>
      <w:bookmarkEnd w:id="3"/>
      <w:r>
        <w:rPr>
          <w:rFonts w:cs="Times New Roman" w:ascii="Times New Roman" w:hAnsi="Times New Roman"/>
          <w:i w:val="false"/>
          <w:iCs w:val="false"/>
          <w:sz w:val="24"/>
          <w:szCs w:val="24"/>
          <w:lang w:val="fr-CI"/>
        </w:rPr>
        <w:t>Présentation du Promoteur :</w:t>
      </w:r>
    </w:p>
    <w:p>
      <w:pPr>
        <w:pStyle w:val="Normal"/>
        <w:jc w:val="both"/>
        <w:rPr>
          <w:sz w:val="22"/>
        </w:rPr>
      </w:pPr>
      <w:r>
        <w:rPr>
          <w:sz w:val="22"/>
        </w:rPr>
        <w:t xml:space="preserve">Le promoteur de l’entreprise </w:t>
      </w:r>
      <w:r>
        <w:rPr>
          <w:b/>
          <w:bCs/>
          <w:sz w:val="22"/>
        </w:rPr>
        <w:t>FERME NAGRO</w:t>
      </w:r>
      <w:r>
        <w:rPr>
          <w:sz w:val="22"/>
        </w:rPr>
        <w:t xml:space="preserve"> est Monsieur Augustin BANOU. Il réside à </w:t>
      </w:r>
      <w:r>
        <w:rPr>
          <w:b/>
          <w:bCs/>
          <w:sz w:val="22"/>
        </w:rPr>
        <w:t>Fiah</w:t>
      </w:r>
      <w:r>
        <w:rPr>
          <w:sz w:val="22"/>
        </w:rPr>
        <w:t>. Il s’appuie sur son expérience pratique dans la production maraîchère et céréalière.</w:t>
      </w:r>
    </w:p>
    <w:p>
      <w:pPr>
        <w:pStyle w:val="Normal"/>
        <w:jc w:val="both"/>
        <w:rPr>
          <w:sz w:val="22"/>
        </w:rPr>
      </w:pPr>
      <w:r>
        <w:rPr>
          <w:sz w:val="22"/>
        </w:rPr>
        <w:t xml:space="preserve">À travers son projet de production et de commercialisation de produits maraîchers (oignon, gombo, concombre, carotte, aubergine, pastèque) et céréaliers (petit mil, maïs), sous la marque </w:t>
      </w:r>
      <w:r>
        <w:rPr>
          <w:b/>
          <w:bCs/>
          <w:sz w:val="22"/>
        </w:rPr>
        <w:t>FERME NAGRO</w:t>
      </w:r>
      <w:r>
        <w:rPr>
          <w:sz w:val="22"/>
        </w:rPr>
        <w:t xml:space="preserve">, le promoteur souhaite développer une activité agricole rentable et contribuer à l’approvisionnement du marché en produits de qualité. Ces compétences techniques lui permettront d’exploiter </w:t>
      </w:r>
      <w:r>
        <w:rPr>
          <w:b/>
          <w:bCs/>
          <w:sz w:val="22"/>
        </w:rPr>
        <w:t>5 hectares</w:t>
      </w:r>
      <w:r>
        <w:rPr>
          <w:sz w:val="22"/>
        </w:rPr>
        <w:t xml:space="preserve">, destinés principalement aux marchés de </w:t>
      </w:r>
      <w:r>
        <w:rPr>
          <w:b/>
          <w:bCs/>
          <w:sz w:val="22"/>
        </w:rPr>
        <w:t>Fiah</w:t>
      </w:r>
      <w:r>
        <w:rPr>
          <w:sz w:val="22"/>
        </w:rPr>
        <w:t>, des communes environnantes et de Bamako.</w:t>
      </w:r>
    </w:p>
    <w:p>
      <w:pPr>
        <w:pStyle w:val="Normal"/>
        <w:jc w:val="both"/>
        <w:rPr>
          <w:sz w:val="22"/>
        </w:rPr>
      </w:pPr>
      <w:r>
        <w:rPr>
          <w:sz w:val="22"/>
        </w:rPr>
        <w:t>Ses principaux défis sont la maîtrise des maladies et la disponibilité d’une main-d’œuvre qualifiée.</w:t>
      </w:r>
    </w:p>
    <w:p>
      <w:pPr>
        <w:pStyle w:val="Normal"/>
        <w:jc w:val="both"/>
        <w:rPr>
          <w:sz w:val="22"/>
          <w:szCs w:val="22"/>
        </w:rPr>
      </w:pPr>
      <w:r>
        <w:rPr>
          <w:sz w:val="22"/>
          <w:szCs w:val="22"/>
        </w:rPr>
        <w:t xml:space="preserve">. </w:t>
      </w:r>
    </w:p>
    <w:p>
      <w:pPr>
        <w:pStyle w:val="Heading2"/>
        <w:keepLines/>
        <w:numPr>
          <w:ilvl w:val="0"/>
          <w:numId w:val="12"/>
        </w:numPr>
        <w:spacing w:before="120" w:after="120"/>
        <w:ind w:hanging="0" w:left="0" w:right="0"/>
        <w:jc w:val="both"/>
        <w:rPr>
          <w:rFonts w:ascii="Times New Roman" w:hAnsi="Times New Roman" w:cs="Times New Roman"/>
          <w:i w:val="false"/>
          <w:i w:val="false"/>
          <w:iCs w:val="false"/>
          <w:sz w:val="24"/>
          <w:szCs w:val="24"/>
          <w:lang w:val="fr-CI"/>
        </w:rPr>
      </w:pPr>
      <w:bookmarkStart w:id="4" w:name="__RefHeading___Toc234831693"/>
      <w:bookmarkEnd w:id="4"/>
      <w:r>
        <w:rPr>
          <w:rFonts w:cs="Times New Roman" w:ascii="Times New Roman" w:hAnsi="Times New Roman"/>
          <w:i w:val="false"/>
          <w:iCs w:val="false"/>
          <w:sz w:val="24"/>
          <w:szCs w:val="24"/>
          <w:lang w:val="fr-CI"/>
        </w:rPr>
        <w:t>Description du projet :</w:t>
      </w:r>
    </w:p>
    <w:p>
      <w:pPr>
        <w:pStyle w:val="Normal"/>
        <w:jc w:val="both"/>
        <w:rPr>
          <w:sz w:val="22"/>
        </w:rPr>
      </w:pPr>
      <w:r>
        <w:rPr>
          <w:sz w:val="22"/>
        </w:rPr>
        <w:t>Le projet est basé sur la création d’une entreprise de production et de commercialisation de produits maraîchers et céréaliers, sous la marque FERME NAGRO. Il s’agit d’aménager une parcelle de 5 hectares à Fiah, pour produire des cultures maraîchères diversifiées (oignon, gombo, concombre, carotte, aubergine, pastèque) en saison sèche et des céréales (petit mil, maïs) en saison des pluies. L’entreprise prévoit l’installation d’équipements de production : système d’irrigation goutte-à-goutte, pompe solaire, panneaux solaires, bassin de rétention, tuyaux, vannes, pulvérisateurs et petit matériel pour optimiser la production.</w:t>
      </w:r>
    </w:p>
    <w:p>
      <w:pPr>
        <w:pStyle w:val="Normal"/>
        <w:jc w:val="both"/>
        <w:rPr>
          <w:sz w:val="22"/>
        </w:rPr>
      </w:pPr>
      <w:r>
        <w:rPr>
          <w:sz w:val="22"/>
        </w:rPr>
        <w:t>Pour cette première campagne, l’entreprise a besoin de s’approvisionner en semences maraîchères et céréalières de variétés adaptées aux conditions locales. La production sera orientée vers plusieurs spéculations : l’oignon, le gombo, le concombre, la carotte, l’aubergine, la pastèque, ainsi que le petit mil et le maïs. Le cycle de production varie selon les cultures (3 mois pour le maraîchage, 4 à 5 mois pour les céréales), les ventes étant réparties sur la saison sèche (maraîchage) et la saison des pluies (céréales). Ce projet contribuera à l’approvisionnement des marchés de Fiah, des communes environnantes et de Bamako en produits frais et de qualité, tout en créant des emplois pour les jeunes de la localité. Il vise un chiffre d’affaires annuel de 20 000 000 F CFA et s’inscrit dans une dynamique de sécurité alimentaire et de valorisation des ressources locales.</w:t>
      </w:r>
    </w:p>
    <w:p>
      <w:pPr>
        <w:pStyle w:val="Normal"/>
        <w:jc w:val="both"/>
        <w:rPr>
          <w:sz w:val="22"/>
        </w:rPr>
      </w:pPr>
      <w:r>
        <w:rPr>
          <w:sz w:val="22"/>
        </w:rPr>
        <w:t>Pour garantir la réussite de cette production, le choix des variétés est un élément déterminant. Les cultures maraîchères et céréalières exigent des températures élevées et un ensoleillement important, conditions parfaitement réunies à Fiah.</w:t>
      </w:r>
    </w:p>
    <w:p>
      <w:pPr>
        <w:pStyle w:val="Heading2"/>
        <w:keepLines/>
        <w:numPr>
          <w:ilvl w:val="0"/>
          <w:numId w:val="12"/>
        </w:numPr>
        <w:spacing w:before="120" w:after="120"/>
        <w:ind w:hanging="0" w:left="0" w:right="0"/>
        <w:jc w:val="both"/>
        <w:rPr>
          <w:rFonts w:ascii="Times New Roman" w:hAnsi="Times New Roman" w:cs="Times New Roman"/>
          <w:i w:val="false"/>
          <w:i w:val="false"/>
          <w:iCs w:val="false"/>
          <w:sz w:val="24"/>
          <w:szCs w:val="24"/>
          <w:lang w:val="fr-CI"/>
        </w:rPr>
      </w:pPr>
      <w:bookmarkStart w:id="5" w:name="__RefHeading___Toc234831694"/>
      <w:bookmarkEnd w:id="5"/>
      <w:r>
        <w:rPr>
          <w:rFonts w:cs="Times New Roman" w:ascii="Times New Roman" w:hAnsi="Times New Roman"/>
          <w:i w:val="false"/>
          <w:iCs w:val="false"/>
          <w:sz w:val="24"/>
          <w:szCs w:val="24"/>
          <w:lang w:val="fr-CI"/>
        </w:rPr>
        <w:t xml:space="preserve">Objectifs du projet : </w:t>
      </w:r>
    </w:p>
    <w:p>
      <w:pPr>
        <w:pStyle w:val="Normal"/>
        <w:rPr>
          <w:lang w:val="fr-CI"/>
        </w:rPr>
      </w:pPr>
      <w:r>
        <w:rPr/>
        <w:t xml:space="preserve">Aménager et exploiter une parcelle de 5 hectares à Fiah, pour la production et la commercialisation de produits maraîchers diversifiés (oignon, gombo, concombre, carotte, aubergine, pastèque) en saison sèche et de </w:t>
      </w:r>
      <w:r>
        <w:rPr>
          <w:b/>
          <w:bCs/>
        </w:rPr>
        <w:t>céréales</w:t>
      </w:r>
      <w:r>
        <w:rPr/>
        <w:t xml:space="preserve"> (petit mil, maïs) en saison des pluies, sous la marque </w:t>
      </w:r>
      <w:r>
        <w:rPr>
          <w:b/>
          <w:bCs/>
        </w:rPr>
        <w:t>FERME NAGRO</w:t>
      </w:r>
      <w:r>
        <w:rPr/>
        <w:t xml:space="preserve">, avec comme slogan : </w:t>
      </w:r>
      <w:r>
        <w:rPr>
          <w:i/>
          <w:iCs/>
        </w:rPr>
        <w:t>Cultiver la diversité, nourrir durablement.</w:t>
      </w:r>
    </w:p>
    <w:p>
      <w:pPr>
        <w:pStyle w:val="Normal"/>
        <w:rPr>
          <w:b/>
          <w:sz w:val="22"/>
          <w:szCs w:val="22"/>
          <w:lang w:val="fr-CI"/>
        </w:rPr>
      </w:pPr>
      <w:r>
        <w:rPr>
          <w:b/>
          <w:sz w:val="22"/>
          <w:szCs w:val="22"/>
          <w:lang w:val="fr-CI"/>
        </w:rPr>
        <w:t>L’objectif global du projet est :</w:t>
      </w:r>
    </w:p>
    <w:p>
      <w:pPr>
        <w:pStyle w:val="Normal"/>
        <w:numPr>
          <w:ilvl w:val="0"/>
          <w:numId w:val="6"/>
        </w:numPr>
        <w:rPr>
          <w:bCs/>
          <w:sz w:val="22"/>
          <w:szCs w:val="22"/>
        </w:rPr>
      </w:pPr>
      <w:bookmarkStart w:id="6" w:name="__RefHeading___Toc234831695"/>
      <w:r>
        <w:rPr>
          <w:bCs/>
          <w:sz w:val="22"/>
          <w:szCs w:val="22"/>
        </w:rPr>
        <w:t xml:space="preserve">Réaliser un chiffre d’affaires de </w:t>
      </w:r>
      <w:r>
        <w:rPr>
          <w:b/>
          <w:bCs/>
          <w:sz w:val="22"/>
          <w:szCs w:val="22"/>
        </w:rPr>
        <w:t>20 000 000 FCFA</w:t>
      </w:r>
      <w:r>
        <w:rPr>
          <w:bCs/>
          <w:sz w:val="22"/>
          <w:szCs w:val="22"/>
        </w:rPr>
        <w:t xml:space="preserve"> la première année d’exploitation du périmètre de </w:t>
      </w:r>
      <w:r>
        <w:rPr>
          <w:sz w:val="22"/>
          <w:szCs w:val="22"/>
        </w:rPr>
        <w:t>5 hectares</w:t>
      </w:r>
      <w:r>
        <w:rPr>
          <w:bCs/>
          <w:sz w:val="22"/>
          <w:szCs w:val="22"/>
        </w:rPr>
        <w:t xml:space="preserve"> ;</w:t>
      </w:r>
    </w:p>
    <w:p>
      <w:pPr>
        <w:pStyle w:val="Normal"/>
        <w:numPr>
          <w:ilvl w:val="0"/>
          <w:numId w:val="6"/>
        </w:numPr>
        <w:rPr>
          <w:bCs/>
          <w:sz w:val="22"/>
          <w:szCs w:val="22"/>
        </w:rPr>
      </w:pPr>
      <w:r>
        <w:rPr>
          <w:bCs/>
          <w:sz w:val="22"/>
          <w:szCs w:val="22"/>
        </w:rPr>
        <w:t xml:space="preserve">Offrir sur les marchés de </w:t>
      </w:r>
      <w:r>
        <w:rPr>
          <w:b/>
          <w:bCs/>
          <w:sz w:val="22"/>
          <w:szCs w:val="22"/>
        </w:rPr>
        <w:t>Fiah</w:t>
      </w:r>
      <w:r>
        <w:rPr>
          <w:bCs/>
          <w:sz w:val="22"/>
          <w:szCs w:val="22"/>
        </w:rPr>
        <w:t xml:space="preserve">, des communes environnantes et de </w:t>
      </w:r>
      <w:r>
        <w:rPr>
          <w:b/>
          <w:bCs/>
          <w:sz w:val="22"/>
          <w:szCs w:val="22"/>
        </w:rPr>
        <w:t>Bamako</w:t>
      </w:r>
      <w:r>
        <w:rPr>
          <w:bCs/>
          <w:sz w:val="22"/>
          <w:szCs w:val="22"/>
        </w:rPr>
        <w:t xml:space="preserve">, ainsi qu’aux commerçants grossistes, des </w:t>
      </w:r>
      <w:r>
        <w:rPr>
          <w:sz w:val="22"/>
          <w:szCs w:val="22"/>
        </w:rPr>
        <w:t>produits maraîchers frais et de qualité</w:t>
      </w:r>
      <w:r>
        <w:rPr>
          <w:bCs/>
          <w:sz w:val="22"/>
          <w:szCs w:val="22"/>
        </w:rPr>
        <w:t xml:space="preserve"> (oignon, gombo, concombre, carotte, aubergine, pastèque) et des </w:t>
      </w:r>
      <w:r>
        <w:rPr>
          <w:sz w:val="22"/>
          <w:szCs w:val="22"/>
        </w:rPr>
        <w:t xml:space="preserve">céréales </w:t>
      </w:r>
      <w:r>
        <w:rPr>
          <w:bCs/>
          <w:sz w:val="22"/>
          <w:szCs w:val="22"/>
        </w:rPr>
        <w:t>(petit mil, maïs) de bonne conservation ;</w:t>
      </w:r>
    </w:p>
    <w:p>
      <w:pPr>
        <w:pStyle w:val="Normal"/>
        <w:numPr>
          <w:ilvl w:val="0"/>
          <w:numId w:val="6"/>
        </w:numPr>
        <w:rPr>
          <w:bCs/>
          <w:sz w:val="22"/>
          <w:szCs w:val="22"/>
        </w:rPr>
      </w:pPr>
      <w:r>
        <w:rPr>
          <w:bCs/>
          <w:sz w:val="22"/>
          <w:szCs w:val="22"/>
        </w:rPr>
        <w:t xml:space="preserve">Assurer la promotion d’une </w:t>
      </w:r>
      <w:r>
        <w:rPr>
          <w:sz w:val="22"/>
          <w:szCs w:val="22"/>
        </w:rPr>
        <w:t>agriculture durable</w:t>
      </w:r>
      <w:r>
        <w:rPr>
          <w:bCs/>
          <w:sz w:val="22"/>
          <w:szCs w:val="22"/>
        </w:rPr>
        <w:t xml:space="preserve"> à travers une production maraîchère utilisant prioritairement la </w:t>
      </w:r>
      <w:r>
        <w:rPr>
          <w:sz w:val="22"/>
          <w:szCs w:val="22"/>
        </w:rPr>
        <w:t>fumure organique, le</w:t>
      </w:r>
      <w:r>
        <w:rPr>
          <w:bCs/>
          <w:sz w:val="22"/>
          <w:szCs w:val="22"/>
        </w:rPr>
        <w:t xml:space="preserve"> </w:t>
      </w:r>
      <w:r>
        <w:rPr>
          <w:sz w:val="22"/>
          <w:szCs w:val="22"/>
        </w:rPr>
        <w:t>compost</w:t>
      </w:r>
      <w:r>
        <w:rPr>
          <w:bCs/>
          <w:sz w:val="22"/>
          <w:szCs w:val="22"/>
        </w:rPr>
        <w:t xml:space="preserve"> et peu d’engrais chimiques ;</w:t>
      </w:r>
    </w:p>
    <w:p>
      <w:pPr>
        <w:pStyle w:val="Normal"/>
        <w:numPr>
          <w:ilvl w:val="0"/>
          <w:numId w:val="6"/>
        </w:numPr>
        <w:rPr>
          <w:bCs/>
          <w:sz w:val="22"/>
          <w:szCs w:val="22"/>
        </w:rPr>
      </w:pPr>
      <w:r>
        <w:rPr>
          <w:bCs/>
          <w:sz w:val="22"/>
          <w:szCs w:val="22"/>
        </w:rPr>
        <w:t xml:space="preserve">Produire dès la première année </w:t>
      </w:r>
      <w:r>
        <w:rPr>
          <w:sz w:val="22"/>
          <w:szCs w:val="22"/>
        </w:rPr>
        <w:t>57 tonnes de produits maraîchers et 6 tonnes de céréales</w:t>
      </w:r>
      <w:r>
        <w:rPr>
          <w:bCs/>
          <w:sz w:val="22"/>
          <w:szCs w:val="22"/>
        </w:rPr>
        <w:t>, soit une production diversifiée sur les 5 hectares ;</w:t>
      </w:r>
    </w:p>
    <w:p>
      <w:pPr>
        <w:pStyle w:val="Normal"/>
        <w:numPr>
          <w:ilvl w:val="0"/>
          <w:numId w:val="6"/>
        </w:numPr>
        <w:rPr>
          <w:bCs/>
          <w:sz w:val="22"/>
          <w:szCs w:val="22"/>
        </w:rPr>
      </w:pPr>
      <w:r>
        <w:rPr>
          <w:bCs/>
          <w:sz w:val="22"/>
          <w:szCs w:val="22"/>
        </w:rPr>
        <w:t xml:space="preserve">Créer </w:t>
      </w:r>
      <w:r>
        <w:rPr>
          <w:sz w:val="22"/>
          <w:szCs w:val="22"/>
        </w:rPr>
        <w:t>cinq (5) emplois permanents (1</w:t>
      </w:r>
      <w:r>
        <w:rPr>
          <w:bCs/>
          <w:sz w:val="22"/>
          <w:szCs w:val="22"/>
        </w:rPr>
        <w:t xml:space="preserve"> promoteur, 1 agronome, 3 ouvriers) et mobiliser </w:t>
      </w:r>
      <w:r>
        <w:rPr>
          <w:sz w:val="22"/>
          <w:szCs w:val="22"/>
        </w:rPr>
        <w:t>10 à 15 saisonniers</w:t>
      </w:r>
      <w:r>
        <w:rPr>
          <w:bCs/>
          <w:sz w:val="22"/>
          <w:szCs w:val="22"/>
        </w:rPr>
        <w:t xml:space="preserve"> pour les pics d’activité ;</w:t>
      </w:r>
    </w:p>
    <w:p>
      <w:pPr>
        <w:pStyle w:val="Normal"/>
        <w:numPr>
          <w:ilvl w:val="0"/>
          <w:numId w:val="6"/>
        </w:numPr>
        <w:rPr>
          <w:bCs/>
          <w:sz w:val="22"/>
          <w:szCs w:val="22"/>
        </w:rPr>
      </w:pPr>
      <w:r>
        <w:rPr>
          <w:bCs/>
          <w:sz w:val="22"/>
          <w:szCs w:val="22"/>
        </w:rPr>
        <w:t xml:space="preserve">Positionner la marque </w:t>
      </w:r>
      <w:r>
        <w:rPr>
          <w:b/>
          <w:bCs/>
          <w:sz w:val="22"/>
          <w:szCs w:val="22"/>
        </w:rPr>
        <w:t>FERME NAGRO</w:t>
      </w:r>
      <w:r>
        <w:rPr>
          <w:bCs/>
          <w:sz w:val="22"/>
          <w:szCs w:val="22"/>
        </w:rPr>
        <w:t xml:space="preserve"> comme une référence de qualité sur le marché malien des produits maraîchers et céréaliers, avec le slogan : </w:t>
      </w:r>
      <w:r>
        <w:rPr>
          <w:bCs/>
          <w:i/>
          <w:iCs/>
          <w:sz w:val="22"/>
          <w:szCs w:val="22"/>
        </w:rPr>
        <w:t>Cultiver la diversité, nourrir durablement.</w:t>
      </w:r>
    </w:p>
    <w:p>
      <w:pPr>
        <w:pStyle w:val="Normal"/>
        <w:rPr>
          <w:b/>
          <w:sz w:val="22"/>
          <w:szCs w:val="22"/>
          <w:lang w:val="fr-CI"/>
        </w:rPr>
      </w:pPr>
      <w:bookmarkStart w:id="7" w:name="__RefHeading___Toc234831695"/>
      <w:r>
        <w:rPr>
          <w:b/>
          <w:sz w:val="22"/>
          <w:szCs w:val="22"/>
          <w:lang w:val="fr-CI"/>
        </w:rPr>
        <w:t>Localisation du projet</w:t>
      </w:r>
      <w:bookmarkEnd w:id="7"/>
    </w:p>
    <w:p>
      <w:pPr>
        <w:pStyle w:val="Normal"/>
        <w:jc w:val="both"/>
        <w:rPr>
          <w:sz w:val="22"/>
          <w:szCs w:val="22"/>
        </w:rPr>
      </w:pPr>
      <w:r>
        <w:rPr>
          <w:sz w:val="22"/>
          <w:szCs w:val="22"/>
        </w:rPr>
        <w:t xml:space="preserve">Le projet est réalisé à </w:t>
      </w:r>
      <w:r>
        <w:rPr>
          <w:b/>
          <w:bCs/>
          <w:sz w:val="22"/>
          <w:szCs w:val="22"/>
        </w:rPr>
        <w:t>Fiah</w:t>
      </w:r>
      <w:r>
        <w:rPr>
          <w:sz w:val="22"/>
          <w:szCs w:val="22"/>
        </w:rPr>
        <w:t>, dans la Région de Koulikoro.</w:t>
      </w:r>
    </w:p>
    <w:p>
      <w:pPr>
        <w:pStyle w:val="Normal"/>
        <w:jc w:val="both"/>
        <w:rPr>
          <w:sz w:val="22"/>
          <w:szCs w:val="22"/>
        </w:rPr>
      </w:pPr>
      <w:r>
        <w:rPr>
          <w:sz w:val="22"/>
          <w:szCs w:val="22"/>
        </w:rPr>
      </w:r>
    </w:p>
    <w:p>
      <w:pPr>
        <w:pStyle w:val="Heading1"/>
        <w:keepLines/>
        <w:numPr>
          <w:ilvl w:val="0"/>
          <w:numId w:val="9"/>
        </w:numPr>
        <w:spacing w:before="240" w:after="0"/>
        <w:ind w:hanging="431" w:left="431" w:right="0"/>
        <w:jc w:val="both"/>
        <w:rPr>
          <w:rFonts w:ascii="Times New Roman" w:hAnsi="Times New Roman" w:cs="Times New Roman"/>
          <w:caps/>
          <w:color w:val="166B7F"/>
          <w:kern w:val="0"/>
          <w:sz w:val="28"/>
          <w:szCs w:val="28"/>
          <w:lang w:eastAsia="en-US"/>
        </w:rPr>
      </w:pPr>
      <w:bookmarkStart w:id="8" w:name="__RefHeading___Toc234831696"/>
      <w:bookmarkEnd w:id="8"/>
      <w:r>
        <w:rPr>
          <w:rFonts w:cs="Times New Roman" w:ascii="Times New Roman" w:hAnsi="Times New Roman"/>
          <w:caps/>
          <w:color w:val="166B7F"/>
          <w:kern w:val="0"/>
          <w:sz w:val="28"/>
          <w:szCs w:val="28"/>
          <w:lang w:eastAsia="en-US"/>
        </w:rPr>
        <w:t>ÉTUDE DE MARCHÉ</w:t>
      </w:r>
    </w:p>
    <w:p>
      <w:pPr>
        <w:pStyle w:val="Heading2"/>
        <w:keepLines/>
        <w:numPr>
          <w:ilvl w:val="0"/>
          <w:numId w:val="8"/>
        </w:numPr>
        <w:spacing w:before="120" w:after="120"/>
        <w:ind w:hanging="426" w:left="426" w:right="0"/>
        <w:jc w:val="both"/>
        <w:rPr>
          <w:rFonts w:ascii="Times New Roman" w:hAnsi="Times New Roman" w:cs="Times New Roman"/>
          <w:i w:val="false"/>
          <w:i w:val="false"/>
          <w:iCs w:val="false"/>
          <w:sz w:val="24"/>
          <w:szCs w:val="24"/>
          <w:lang w:val="fr-CI"/>
        </w:rPr>
      </w:pPr>
      <w:bookmarkStart w:id="9" w:name="__RefHeading___Toc234831697"/>
      <w:bookmarkEnd w:id="9"/>
      <w:r>
        <w:rPr>
          <w:rFonts w:cs="Times New Roman" w:ascii="Times New Roman" w:hAnsi="Times New Roman"/>
          <w:i w:val="false"/>
          <w:iCs w:val="false"/>
          <w:sz w:val="24"/>
          <w:szCs w:val="24"/>
          <w:lang w:val="fr-CI"/>
        </w:rPr>
        <w:t>Les produits</w:t>
      </w:r>
    </w:p>
    <w:p>
      <w:pPr>
        <w:pStyle w:val="Normal"/>
        <w:jc w:val="both"/>
        <w:rPr/>
      </w:pPr>
      <w:r>
        <w:rPr/>
        <w:t xml:space="preserve">Les produits que l’entreprise </w:t>
      </w:r>
      <w:r>
        <w:rPr>
          <w:b/>
          <w:bCs/>
        </w:rPr>
        <w:t>FERME NAGRO</w:t>
      </w:r>
      <w:r>
        <w:rPr/>
        <w:t xml:space="preserve"> offre aux clients sont : les produits maraîchers (oignon, gombo, concombre, carotte, aubergine, pastèque) et les </w:t>
      </w:r>
      <w:r>
        <w:rPr>
          <w:b/>
          <w:bCs/>
        </w:rPr>
        <w:t>céréales</w:t>
      </w:r>
      <w:r>
        <w:rPr/>
        <w:t xml:space="preserve"> (petit mil, maïs). Il faut noter que la caractéristique fondamentale des produits de l’entreprise est leur qualité gustative supérieure, leur fraîcheur et leur bonne durée de conservation.</w:t>
      </w:r>
    </w:p>
    <w:p>
      <w:pPr>
        <w:pStyle w:val="Normal"/>
        <w:jc w:val="both"/>
        <w:rPr/>
      </w:pPr>
      <w:r>
        <w:rPr/>
        <w:t>Les caractéristiques des produits qui seront mis sur le marché sont :</w:t>
      </w:r>
    </w:p>
    <w:p>
      <w:pPr>
        <w:pStyle w:val="Normal"/>
        <w:jc w:val="both"/>
        <w:rPr>
          <w:b/>
          <w:bCs/>
        </w:rPr>
      </w:pPr>
      <w:r>
        <w:rPr>
          <w:b/>
          <w:bCs/>
        </w:rPr>
        <w:t>Oignon (Violet de Galmi) :</w:t>
      </w:r>
    </w:p>
    <w:p>
      <w:pPr>
        <w:pStyle w:val="Normal"/>
        <w:numPr>
          <w:ilvl w:val="0"/>
          <w:numId w:val="4"/>
        </w:numPr>
        <w:jc w:val="both"/>
        <w:rPr/>
      </w:pPr>
      <w:r>
        <w:rPr/>
        <w:t>Qualité gustative supérieure ;</w:t>
      </w:r>
    </w:p>
    <w:p>
      <w:pPr>
        <w:pStyle w:val="Normal"/>
        <w:numPr>
          <w:ilvl w:val="0"/>
          <w:numId w:val="4"/>
        </w:numPr>
        <w:jc w:val="both"/>
        <w:rPr/>
      </w:pPr>
      <w:r>
        <w:rPr/>
        <w:t>Bonne conservation ;</w:t>
      </w:r>
    </w:p>
    <w:p>
      <w:pPr>
        <w:pStyle w:val="Normal"/>
        <w:numPr>
          <w:ilvl w:val="0"/>
          <w:numId w:val="4"/>
        </w:numPr>
        <w:jc w:val="both"/>
        <w:rPr/>
      </w:pPr>
      <w:r>
        <w:rPr/>
        <w:t>Calibres adaptés (gros, moyen, petit) ;</w:t>
      </w:r>
    </w:p>
    <w:p>
      <w:pPr>
        <w:pStyle w:val="Normal"/>
        <w:numPr>
          <w:ilvl w:val="0"/>
          <w:numId w:val="4"/>
        </w:numPr>
        <w:jc w:val="both"/>
        <w:rPr/>
      </w:pPr>
      <w:r>
        <w:rPr/>
        <w:t>Valeur nutritive élevée ;</w:t>
      </w:r>
    </w:p>
    <w:p>
      <w:pPr>
        <w:pStyle w:val="Normal"/>
        <w:numPr>
          <w:ilvl w:val="0"/>
          <w:numId w:val="4"/>
        </w:numPr>
        <w:jc w:val="both"/>
        <w:rPr/>
      </w:pPr>
      <w:r>
        <w:rPr/>
        <w:t>Richesse en antioxydants.</w:t>
      </w:r>
    </w:p>
    <w:p>
      <w:pPr>
        <w:pStyle w:val="Normal"/>
        <w:jc w:val="both"/>
        <w:rPr>
          <w:b/>
          <w:bCs/>
        </w:rPr>
      </w:pPr>
      <w:r>
        <w:rPr>
          <w:b/>
          <w:bCs/>
        </w:rPr>
        <w:t>Gombo :</w:t>
      </w:r>
    </w:p>
    <w:p>
      <w:pPr>
        <w:pStyle w:val="Normal"/>
        <w:numPr>
          <w:ilvl w:val="0"/>
          <w:numId w:val="10"/>
        </w:numPr>
        <w:jc w:val="both"/>
        <w:rPr/>
      </w:pPr>
      <w:r>
        <w:rPr/>
        <w:t>Qualité gustative supérieure ;</w:t>
      </w:r>
    </w:p>
    <w:p>
      <w:pPr>
        <w:pStyle w:val="Normal"/>
        <w:numPr>
          <w:ilvl w:val="0"/>
          <w:numId w:val="10"/>
        </w:numPr>
        <w:jc w:val="both"/>
        <w:rPr/>
      </w:pPr>
      <w:r>
        <w:rPr/>
        <w:t>Fruits frais et tendres ;</w:t>
      </w:r>
    </w:p>
    <w:p>
      <w:pPr>
        <w:pStyle w:val="Normal"/>
        <w:numPr>
          <w:ilvl w:val="0"/>
          <w:numId w:val="10"/>
        </w:numPr>
        <w:jc w:val="both"/>
        <w:rPr/>
      </w:pPr>
      <w:r>
        <w:rPr/>
        <w:t>Bonne conservation ;</w:t>
      </w:r>
    </w:p>
    <w:p>
      <w:pPr>
        <w:pStyle w:val="Normal"/>
        <w:numPr>
          <w:ilvl w:val="0"/>
          <w:numId w:val="10"/>
        </w:numPr>
        <w:jc w:val="both"/>
        <w:rPr/>
      </w:pPr>
      <w:r>
        <w:rPr/>
        <w:t>Riche en fibres et vitamines.</w:t>
      </w:r>
    </w:p>
    <w:p>
      <w:pPr>
        <w:pStyle w:val="Normal"/>
        <w:jc w:val="both"/>
        <w:rPr>
          <w:b/>
          <w:bCs/>
        </w:rPr>
      </w:pPr>
      <w:r>
        <w:rPr>
          <w:b/>
          <w:bCs/>
        </w:rPr>
        <w:t>Concombre :</w:t>
      </w:r>
    </w:p>
    <w:p>
      <w:pPr>
        <w:pStyle w:val="Normal"/>
        <w:numPr>
          <w:ilvl w:val="0"/>
          <w:numId w:val="15"/>
        </w:numPr>
        <w:jc w:val="both"/>
        <w:rPr/>
      </w:pPr>
      <w:r>
        <w:rPr/>
        <w:t>Qualité gustative supérieure ;</w:t>
      </w:r>
    </w:p>
    <w:p>
      <w:pPr>
        <w:pStyle w:val="Normal"/>
        <w:numPr>
          <w:ilvl w:val="0"/>
          <w:numId w:val="15"/>
        </w:numPr>
        <w:jc w:val="both"/>
        <w:rPr/>
      </w:pPr>
      <w:r>
        <w:rPr/>
        <w:t>Fruits frais, croquants et juteux ;</w:t>
      </w:r>
    </w:p>
    <w:p>
      <w:pPr>
        <w:pStyle w:val="Normal"/>
        <w:numPr>
          <w:ilvl w:val="0"/>
          <w:numId w:val="15"/>
        </w:numPr>
        <w:jc w:val="both"/>
        <w:rPr/>
      </w:pPr>
      <w:r>
        <w:rPr/>
        <w:t>Riche en eau et en vitamines ;</w:t>
      </w:r>
    </w:p>
    <w:p>
      <w:pPr>
        <w:pStyle w:val="Normal"/>
        <w:numPr>
          <w:ilvl w:val="0"/>
          <w:numId w:val="15"/>
        </w:numPr>
        <w:jc w:val="both"/>
        <w:rPr/>
      </w:pPr>
      <w:r>
        <w:rPr/>
        <w:t>Idéal pour la consommation en frais.</w:t>
      </w:r>
    </w:p>
    <w:p>
      <w:pPr>
        <w:pStyle w:val="Normal"/>
        <w:jc w:val="both"/>
        <w:rPr>
          <w:b/>
          <w:bCs/>
        </w:rPr>
      </w:pPr>
      <w:r>
        <w:rPr>
          <w:b/>
          <w:bCs/>
        </w:rPr>
        <w:t>Carotte (Nantaise) :</w:t>
      </w:r>
    </w:p>
    <w:p>
      <w:pPr>
        <w:pStyle w:val="Normal"/>
        <w:numPr>
          <w:ilvl w:val="0"/>
          <w:numId w:val="18"/>
        </w:numPr>
        <w:jc w:val="both"/>
        <w:rPr/>
      </w:pPr>
      <w:r>
        <w:rPr/>
        <w:t>Chair sucrée et croquante ;</w:t>
      </w:r>
    </w:p>
    <w:p>
      <w:pPr>
        <w:pStyle w:val="Normal"/>
        <w:numPr>
          <w:ilvl w:val="0"/>
          <w:numId w:val="18"/>
        </w:numPr>
        <w:jc w:val="both"/>
        <w:rPr/>
      </w:pPr>
      <w:r>
        <w:rPr/>
        <w:t>Riche en bêta-carotène ;</w:t>
      </w:r>
    </w:p>
    <w:p>
      <w:pPr>
        <w:pStyle w:val="Normal"/>
        <w:numPr>
          <w:ilvl w:val="0"/>
          <w:numId w:val="18"/>
        </w:numPr>
        <w:jc w:val="both"/>
        <w:rPr/>
      </w:pPr>
      <w:r>
        <w:rPr/>
        <w:t>Bonne conservation ;</w:t>
      </w:r>
    </w:p>
    <w:p>
      <w:pPr>
        <w:pStyle w:val="Normal"/>
        <w:numPr>
          <w:ilvl w:val="0"/>
          <w:numId w:val="18"/>
        </w:numPr>
        <w:jc w:val="both"/>
        <w:rPr/>
      </w:pPr>
      <w:r>
        <w:rPr/>
        <w:t>Calibres réguliers.</w:t>
      </w:r>
    </w:p>
    <w:p>
      <w:pPr>
        <w:pStyle w:val="Normal"/>
        <w:jc w:val="both"/>
        <w:rPr>
          <w:b/>
          <w:bCs/>
        </w:rPr>
      </w:pPr>
      <w:r>
        <w:rPr>
          <w:b/>
          <w:bCs/>
        </w:rPr>
        <w:t>Aubergine (variété locale Djamba) :</w:t>
      </w:r>
    </w:p>
    <w:p>
      <w:pPr>
        <w:pStyle w:val="Normal"/>
        <w:numPr>
          <w:ilvl w:val="0"/>
          <w:numId w:val="7"/>
        </w:numPr>
        <w:jc w:val="both"/>
        <w:rPr/>
      </w:pPr>
      <w:r>
        <w:rPr/>
        <w:t>Rustique et adaptée aux conditions sahéliennes ;</w:t>
      </w:r>
    </w:p>
    <w:p>
      <w:pPr>
        <w:pStyle w:val="Normal"/>
        <w:numPr>
          <w:ilvl w:val="0"/>
          <w:numId w:val="7"/>
        </w:numPr>
        <w:jc w:val="both"/>
        <w:rPr/>
      </w:pPr>
      <w:r>
        <w:rPr/>
        <w:t>Chair ferme et savoureuse ;</w:t>
      </w:r>
    </w:p>
    <w:p>
      <w:pPr>
        <w:pStyle w:val="Normal"/>
        <w:numPr>
          <w:ilvl w:val="0"/>
          <w:numId w:val="7"/>
        </w:numPr>
        <w:jc w:val="both"/>
        <w:rPr/>
      </w:pPr>
      <w:r>
        <w:rPr/>
        <w:t>Bonne conservation ;</w:t>
      </w:r>
    </w:p>
    <w:p>
      <w:pPr>
        <w:pStyle w:val="Normal"/>
        <w:numPr>
          <w:ilvl w:val="0"/>
          <w:numId w:val="7"/>
        </w:numPr>
        <w:jc w:val="both"/>
        <w:rPr/>
      </w:pPr>
      <w:r>
        <w:rPr/>
        <w:t>Appréciée des consommateurs.</w:t>
      </w:r>
    </w:p>
    <w:p>
      <w:pPr>
        <w:pStyle w:val="Normal"/>
        <w:jc w:val="both"/>
        <w:rPr>
          <w:lang w:val="en-US"/>
        </w:rPr>
      </w:pPr>
      <w:r>
        <w:rPr>
          <w:b/>
          <w:bCs/>
          <w:lang w:val="en-US"/>
        </w:rPr>
        <w:t>Pastèque (Koloss, Sugar Baby, Crimson Sweet) :</w:t>
      </w:r>
    </w:p>
    <w:p>
      <w:pPr>
        <w:pStyle w:val="Normal"/>
        <w:numPr>
          <w:ilvl w:val="0"/>
          <w:numId w:val="3"/>
        </w:numPr>
        <w:jc w:val="both"/>
        <w:rPr/>
      </w:pPr>
      <w:r>
        <w:rPr/>
        <w:t>Qualité gustative supérieure ;</w:t>
      </w:r>
    </w:p>
    <w:p>
      <w:pPr>
        <w:pStyle w:val="Normal"/>
        <w:numPr>
          <w:ilvl w:val="0"/>
          <w:numId w:val="3"/>
        </w:numPr>
        <w:jc w:val="both"/>
        <w:rPr/>
      </w:pPr>
      <w:r>
        <w:rPr/>
        <w:t>Chair rouge, juteuse et sucrée ;</w:t>
      </w:r>
    </w:p>
    <w:p>
      <w:pPr>
        <w:pStyle w:val="Normal"/>
        <w:numPr>
          <w:ilvl w:val="0"/>
          <w:numId w:val="3"/>
        </w:numPr>
        <w:jc w:val="both"/>
        <w:rPr/>
      </w:pPr>
      <w:r>
        <w:rPr/>
        <w:t>Poids moyen de 2 à 8 kg selon le calibre ;</w:t>
      </w:r>
    </w:p>
    <w:p>
      <w:pPr>
        <w:pStyle w:val="Normal"/>
        <w:numPr>
          <w:ilvl w:val="0"/>
          <w:numId w:val="3"/>
        </w:numPr>
        <w:jc w:val="both"/>
        <w:rPr/>
      </w:pPr>
      <w:r>
        <w:rPr/>
        <w:t>Valeur nutritive élevée ;</w:t>
      </w:r>
    </w:p>
    <w:p>
      <w:pPr>
        <w:pStyle w:val="Normal"/>
        <w:numPr>
          <w:ilvl w:val="0"/>
          <w:numId w:val="3"/>
        </w:numPr>
        <w:jc w:val="both"/>
        <w:rPr/>
      </w:pPr>
      <w:r>
        <w:rPr/>
        <w:t>Riche en vitamines ;</w:t>
      </w:r>
    </w:p>
    <w:p>
      <w:pPr>
        <w:pStyle w:val="Normal"/>
        <w:numPr>
          <w:ilvl w:val="0"/>
          <w:numId w:val="3"/>
        </w:numPr>
        <w:jc w:val="both"/>
        <w:rPr/>
      </w:pPr>
      <w:r>
        <w:rPr/>
        <w:t>Facilite la digestion.</w:t>
      </w:r>
    </w:p>
    <w:p>
      <w:pPr>
        <w:pStyle w:val="Normal"/>
        <w:jc w:val="both"/>
        <w:rPr>
          <w:b/>
          <w:bCs/>
        </w:rPr>
      </w:pPr>
      <w:r>
        <w:rPr>
          <w:b/>
          <w:bCs/>
        </w:rPr>
        <w:t>Petit mil :</w:t>
      </w:r>
    </w:p>
    <w:p>
      <w:pPr>
        <w:pStyle w:val="Normal"/>
        <w:numPr>
          <w:ilvl w:val="0"/>
          <w:numId w:val="11"/>
        </w:numPr>
        <w:jc w:val="both"/>
        <w:rPr/>
      </w:pPr>
      <w:r>
        <w:rPr/>
        <w:t>Variété locale améliorée ;</w:t>
      </w:r>
    </w:p>
    <w:p>
      <w:pPr>
        <w:pStyle w:val="Normal"/>
        <w:numPr>
          <w:ilvl w:val="0"/>
          <w:numId w:val="11"/>
        </w:numPr>
        <w:jc w:val="both"/>
        <w:rPr/>
      </w:pPr>
      <w:r>
        <w:rPr/>
        <w:t>Rustique et adaptée à la saison des pluies ;</w:t>
      </w:r>
    </w:p>
    <w:p>
      <w:pPr>
        <w:pStyle w:val="Normal"/>
        <w:numPr>
          <w:ilvl w:val="0"/>
          <w:numId w:val="11"/>
        </w:numPr>
        <w:jc w:val="both"/>
        <w:rPr/>
      </w:pPr>
      <w:r>
        <w:rPr/>
        <w:t>Riche en nutriments ;</w:t>
      </w:r>
    </w:p>
    <w:p>
      <w:pPr>
        <w:pStyle w:val="Normal"/>
        <w:numPr>
          <w:ilvl w:val="0"/>
          <w:numId w:val="11"/>
        </w:numPr>
        <w:jc w:val="both"/>
        <w:rPr/>
      </w:pPr>
      <w:r>
        <w:rPr/>
        <w:t>Bonne conservation.</w:t>
      </w:r>
    </w:p>
    <w:p>
      <w:pPr>
        <w:pStyle w:val="Normal"/>
        <w:jc w:val="both"/>
        <w:rPr>
          <w:b/>
          <w:bCs/>
        </w:rPr>
      </w:pPr>
      <w:r>
        <w:rPr>
          <w:b/>
          <w:bCs/>
        </w:rPr>
        <w:t>Maïs :</w:t>
      </w:r>
    </w:p>
    <w:p>
      <w:pPr>
        <w:pStyle w:val="Normal"/>
        <w:numPr>
          <w:ilvl w:val="0"/>
          <w:numId w:val="2"/>
        </w:numPr>
        <w:jc w:val="both"/>
        <w:rPr/>
      </w:pPr>
      <w:r>
        <w:rPr/>
        <w:t>Variété hybride ;</w:t>
      </w:r>
    </w:p>
    <w:p>
      <w:pPr>
        <w:pStyle w:val="Normal"/>
        <w:numPr>
          <w:ilvl w:val="0"/>
          <w:numId w:val="2"/>
        </w:numPr>
        <w:jc w:val="both"/>
        <w:rPr/>
      </w:pPr>
      <w:r>
        <w:rPr/>
        <w:t>Bon rendement ;</w:t>
      </w:r>
    </w:p>
    <w:p>
      <w:pPr>
        <w:pStyle w:val="Normal"/>
        <w:numPr>
          <w:ilvl w:val="0"/>
          <w:numId w:val="2"/>
        </w:numPr>
        <w:jc w:val="both"/>
        <w:rPr/>
      </w:pPr>
      <w:r>
        <w:rPr/>
        <w:t>Riche en glucides et en protéines ;</w:t>
      </w:r>
    </w:p>
    <w:p>
      <w:pPr>
        <w:pStyle w:val="Normal"/>
        <w:numPr>
          <w:ilvl w:val="0"/>
          <w:numId w:val="2"/>
        </w:numPr>
        <w:jc w:val="both"/>
        <w:rPr/>
      </w:pPr>
      <w:r>
        <w:rPr/>
        <w:t>Utilisé pour la consommation humaine et animale.</w:t>
      </w:r>
    </w:p>
    <w:p>
      <w:pPr>
        <w:pStyle w:val="Normal"/>
        <w:jc w:val="both"/>
        <w:rPr/>
      </w:pPr>
      <w:r>
        <w:rPr/>
      </w:r>
    </w:p>
    <w:p>
      <w:pPr>
        <w:pStyle w:val="Normal"/>
        <w:jc w:val="both"/>
        <w:rPr>
          <w:b/>
          <w:bCs/>
        </w:rPr>
      </w:pPr>
      <w:r>
        <w:rPr>
          <w:b/>
          <w:bCs/>
        </w:rPr>
        <w:t>2. Le marché cible / secteur d’activité</w:t>
      </w:r>
    </w:p>
    <w:p>
      <w:pPr>
        <w:pStyle w:val="Normal"/>
        <w:jc w:val="both"/>
        <w:rPr/>
      </w:pPr>
      <w:r>
        <w:rPr/>
        <w:t>Le marché cible de l’entreprise est constitué par les commerçants grossistes, les détaillants, les revendeurs de produits maraîchers et céréaliers, les restaurateurs, les hôtels et les particuliers consommateurs de la ville de Fiah, des communes environnantes et de Bamako.</w:t>
      </w:r>
    </w:p>
    <w:p>
      <w:pPr>
        <w:pStyle w:val="Normal"/>
        <w:jc w:val="both"/>
        <w:rPr/>
      </w:pPr>
      <w:r>
        <w:rPr>
          <w:sz w:val="22"/>
          <w:szCs w:val="22"/>
          <w:lang w:val="fr-CI"/>
        </w:rPr>
        <w:t xml:space="preserve">La clientèle cible est constituée </w:t>
      </w:r>
      <w:r>
        <w:rPr>
          <w:sz w:val="22"/>
          <w:szCs w:val="22"/>
        </w:rPr>
        <w:t>par les commerçants grossistes de produits maraîchers, vendeurs de légumes et de condiments, restaurateurs, hôtels et particuliers consommateurs de la ville de Bancoumana, Bamako et environs. En général les clients sont exigeants sur certains éléments clés sur les produits maraîchers, ce sont : la tailles du produit (pastèque et oignon) ; la durée de conservation à l’état frais et la nature des fertilisants et de pesticides utilisés par le producteur.</w:t>
      </w:r>
    </w:p>
    <w:p>
      <w:pPr>
        <w:pStyle w:val="Normal"/>
        <w:jc w:val="both"/>
        <w:rPr>
          <w:sz w:val="22"/>
          <w:szCs w:val="22"/>
        </w:rPr>
      </w:pPr>
      <w:r>
        <w:rPr>
          <w:sz w:val="22"/>
          <w:szCs w:val="22"/>
        </w:rPr>
        <w:t>En tenant compte de ces critères de qualité, l’entreprise se distingue par le fait qu’elle utilise peu de fertilisants et de pesticides chimiques. Le respect des itinéraires techniques de production et une bonne taille aux produits attire les clients.</w:t>
      </w:r>
    </w:p>
    <w:p>
      <w:pPr>
        <w:pStyle w:val="Normal"/>
        <w:jc w:val="both"/>
        <w:rPr>
          <w:sz w:val="22"/>
          <w:szCs w:val="22"/>
        </w:rPr>
      </w:pPr>
      <w:r>
        <w:rPr>
          <w:sz w:val="22"/>
          <w:szCs w:val="22"/>
        </w:rPr>
        <w:t>Cela permet également d’avoir une longue durée de conservation des produits maraîchers à l’état frais.</w:t>
      </w:r>
    </w:p>
    <w:p>
      <w:pPr>
        <w:pStyle w:val="Normal"/>
        <w:jc w:val="both"/>
        <w:rPr>
          <w:sz w:val="22"/>
          <w:szCs w:val="22"/>
        </w:rPr>
      </w:pPr>
      <w:r>
        <w:rPr>
          <w:sz w:val="22"/>
          <w:szCs w:val="22"/>
        </w:rPr>
        <w:t>La stratégie de l’entreprise pour satisfaire les besoins des clients consiste à recenser les commandes afin de mieux planifier les jours de livraison, maintenir le contact avec les clients à travers une vérification de l’appréciation des clients sur les produits, sur la base des appels téléphoniques et souvent des visites de terrain.</w:t>
      </w:r>
    </w:p>
    <w:p>
      <w:pPr>
        <w:pStyle w:val="Normal"/>
        <w:jc w:val="both"/>
        <w:rPr>
          <w:b/>
          <w:bCs/>
        </w:rPr>
      </w:pPr>
      <w:r>
        <w:rPr>
          <w:b/>
          <w:bCs/>
        </w:rPr>
        <w:t>3. Analyse de l’offre</w:t>
      </w:r>
    </w:p>
    <w:p>
      <w:pPr>
        <w:pStyle w:val="Normal"/>
        <w:jc w:val="both"/>
        <w:rPr/>
      </w:pPr>
      <w:r>
        <w:rPr/>
        <w:t>L’offre en produits maraîchers et céréaliers au Mali est caractérisée par une forte saisonnalité et une rentabilité attractive. Les volumes connaissent des pics d’abondance sur les marchés, mais le secteur souffre d’un manque de chaîne de froid et d’organisation. Cela entraîne des pertes après récolte et des fluctuations des prix. Les offres concurrentielles proposent des variétés standard à des prix variant selon les calibres et les saisons, sans contrôle rigoureux de la qualité.</w:t>
      </w:r>
    </w:p>
    <w:p>
      <w:pPr>
        <w:pStyle w:val="Normal"/>
        <w:jc w:val="both"/>
        <w:rPr>
          <w:b/>
          <w:bCs/>
        </w:rPr>
      </w:pPr>
      <w:r>
        <w:rPr>
          <w:b/>
          <w:bCs/>
        </w:rPr>
        <w:t>a. L’approvisionnement en matières premières :</w:t>
      </w:r>
    </w:p>
    <w:p>
      <w:pPr>
        <w:pStyle w:val="Normal"/>
        <w:jc w:val="both"/>
        <w:rPr/>
      </w:pPr>
      <w:r>
        <w:rPr/>
        <w:t>Les besoins en matières premières nécessaires à la production sont : les semences maraîchères et céréalières de variétés adaptées aux conditions locales, la fumure organique, le compost et les engrais minéraux.</w:t>
      </w:r>
    </w:p>
    <w:p>
      <w:pPr>
        <w:pStyle w:val="Normal"/>
        <w:jc w:val="both"/>
        <w:rPr/>
      </w:pPr>
      <w:r>
        <w:rPr/>
        <w:t>L’approvisionnement en matières premières se fera essentiellement auprès des fournisseurs spécialisés de Bamako et environs pour les semences et les engrais, ainsi qu’auprès des éleveurs locaux pour la fumure organique.</w:t>
      </w:r>
    </w:p>
    <w:p>
      <w:pPr>
        <w:pStyle w:val="Normal"/>
        <w:jc w:val="both"/>
        <w:rPr/>
      </w:pPr>
      <w:r>
        <w:rPr/>
        <w:t>La fumure organique est fournie par les éleveurs qui disposent de la bouse de vache et de la fiente de volaille.</w:t>
      </w:r>
    </w:p>
    <w:p>
      <w:pPr>
        <w:pStyle w:val="Normal"/>
        <w:jc w:val="both"/>
        <w:rPr/>
      </w:pPr>
      <w:r>
        <w:rPr>
          <w:b/>
          <w:bCs/>
        </w:rPr>
        <w:t>b. La politique de distribution</w:t>
      </w:r>
      <w:r>
        <w:rPr/>
        <w:t xml:space="preserve"> :</w:t>
      </w:r>
    </w:p>
    <w:p>
      <w:pPr>
        <w:pStyle w:val="Normal"/>
        <w:jc w:val="both"/>
        <w:rPr/>
      </w:pPr>
      <w:r>
        <w:rPr/>
        <w:t>La politique de distribution de FERME NAGRO est structurée autour de deux axes principaux :</w:t>
      </w:r>
    </w:p>
    <w:p>
      <w:pPr>
        <w:pStyle w:val="Normal"/>
        <w:jc w:val="both"/>
        <w:rPr/>
      </w:pPr>
      <w:r>
        <w:rPr/>
        <w:t>La vente directe à la ferme aux commerçants grossistes ;</w:t>
      </w:r>
    </w:p>
    <w:p>
      <w:pPr>
        <w:pStyle w:val="Normal"/>
        <w:jc w:val="both"/>
        <w:rPr/>
      </w:pPr>
      <w:r>
        <w:rPr/>
        <w:t>La livraison à partir de la ferme aux clients qui ont des grosses commandes.</w:t>
      </w:r>
    </w:p>
    <w:p>
      <w:pPr>
        <w:pStyle w:val="Normal"/>
        <w:jc w:val="both"/>
        <w:rPr/>
      </w:pPr>
      <w:r>
        <w:rPr/>
        <w:t>Cela permettra de satisfaire chaque type de client en fonction de leurs besoins. Les commerçants grossistes se rendent généralement dans la ferme pour s’approvisionner afin de choisir les produits. Les clients qui font des grosses commandes ont souvent besoin d’être livrés sur leur point de vente ou à domicile.</w:t>
      </w:r>
    </w:p>
    <w:p>
      <w:pPr>
        <w:pStyle w:val="Normal"/>
        <w:jc w:val="both"/>
        <w:rPr>
          <w:b/>
          <w:bCs/>
        </w:rPr>
      </w:pPr>
      <w:r>
        <w:rPr>
          <w:b/>
          <w:bCs/>
        </w:rPr>
        <w:t>c. La politique tarifaire</w:t>
      </w:r>
    </w:p>
    <w:p>
      <w:pPr>
        <w:pStyle w:val="Normal"/>
        <w:jc w:val="both"/>
        <w:rPr/>
      </w:pPr>
      <w:r>
        <w:rPr/>
        <w:t>L’entreprise a développé une politique tarifaire en tenant compte des tarifs des concurrents. En ce qui concerne les grandes commandes, des facilités de livraison seront accordées pour attirer cette catégorie de clients.</w:t>
      </w:r>
    </w:p>
    <w:p>
      <w:pPr>
        <w:pStyle w:val="Normal"/>
        <w:jc w:val="both"/>
        <w:rPr/>
      </w:pPr>
      <w:r>
        <w:rPr/>
        <w:t>Les prix proposés par FERME NAGRO :</w:t>
      </w:r>
    </w:p>
    <w:tbl>
      <w:tblPr>
        <w:tblW w:w="11280" w:type="dxa"/>
        <w:jc w:val="left"/>
        <w:tblInd w:w="-1104" w:type="dxa"/>
        <w:tblLayout w:type="fixed"/>
        <w:tblCellMar>
          <w:top w:w="150" w:type="dxa"/>
          <w:left w:w="5" w:type="dxa"/>
          <w:bottom w:w="150" w:type="dxa"/>
          <w:right w:w="235" w:type="dxa"/>
        </w:tblCellMar>
      </w:tblPr>
      <w:tblGrid>
        <w:gridCol w:w="4298"/>
        <w:gridCol w:w="3075"/>
        <w:gridCol w:w="3907"/>
      </w:tblGrid>
      <w:tr>
        <w:trPr>
          <w:tblHeader w:val="true"/>
        </w:trPr>
        <w:tc>
          <w:tcPr>
            <w:tcW w:w="4298" w:type="dxa"/>
            <w:tcBorders>
              <w:top w:val="single" w:sz="4" w:space="0" w:color="000000"/>
              <w:left w:val="single" w:sz="4" w:space="0" w:color="000000"/>
              <w:bottom w:val="single" w:sz="4" w:space="0" w:color="000000"/>
              <w:right w:val="single" w:sz="4" w:space="0" w:color="000000"/>
            </w:tcBorders>
            <w:vAlign w:val="center"/>
          </w:tcPr>
          <w:p>
            <w:pPr>
              <w:pStyle w:val="Normal"/>
              <w:jc w:val="both"/>
              <w:rPr>
                <w:b/>
                <w:bCs/>
              </w:rPr>
            </w:pPr>
            <w:r>
              <w:rPr>
                <w:b/>
                <w:bCs/>
              </w:rPr>
              <w:t>Désignation</w:t>
            </w:r>
          </w:p>
        </w:tc>
        <w:tc>
          <w:tcPr>
            <w:tcW w:w="307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rPr>
            </w:pPr>
            <w:r>
              <w:rPr>
                <w:b/>
                <w:bCs/>
              </w:rPr>
              <w:t>Unité</w:t>
            </w:r>
          </w:p>
        </w:tc>
        <w:tc>
          <w:tcPr>
            <w:tcW w:w="3907"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rPr>
            </w:pPr>
            <w:r>
              <w:rPr>
                <w:b/>
                <w:bCs/>
              </w:rPr>
              <w:t>Prix</w:t>
            </w:r>
          </w:p>
        </w:tc>
      </w:tr>
      <w:tr>
        <w:trPr/>
        <w:tc>
          <w:tcPr>
            <w:tcW w:w="42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Oignon</w:t>
            </w:r>
          </w:p>
        </w:tc>
        <w:tc>
          <w:tcPr>
            <w:tcW w:w="307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90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500 F CFA</w:t>
            </w:r>
          </w:p>
        </w:tc>
      </w:tr>
      <w:tr>
        <w:trPr/>
        <w:tc>
          <w:tcPr>
            <w:tcW w:w="42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Gombo</w:t>
            </w:r>
          </w:p>
        </w:tc>
        <w:tc>
          <w:tcPr>
            <w:tcW w:w="307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90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400 F CFA</w:t>
            </w:r>
          </w:p>
        </w:tc>
      </w:tr>
      <w:tr>
        <w:trPr/>
        <w:tc>
          <w:tcPr>
            <w:tcW w:w="42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Concombre</w:t>
            </w:r>
          </w:p>
        </w:tc>
        <w:tc>
          <w:tcPr>
            <w:tcW w:w="307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90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300 F CFA</w:t>
            </w:r>
          </w:p>
        </w:tc>
      </w:tr>
      <w:tr>
        <w:trPr/>
        <w:tc>
          <w:tcPr>
            <w:tcW w:w="42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Carotte</w:t>
            </w:r>
          </w:p>
        </w:tc>
        <w:tc>
          <w:tcPr>
            <w:tcW w:w="307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90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350 F CFA</w:t>
            </w:r>
          </w:p>
        </w:tc>
      </w:tr>
      <w:tr>
        <w:trPr/>
        <w:tc>
          <w:tcPr>
            <w:tcW w:w="42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Aubergine</w:t>
            </w:r>
          </w:p>
        </w:tc>
        <w:tc>
          <w:tcPr>
            <w:tcW w:w="307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90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300 F CFA</w:t>
            </w:r>
          </w:p>
        </w:tc>
      </w:tr>
      <w:tr>
        <w:trPr/>
        <w:tc>
          <w:tcPr>
            <w:tcW w:w="42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Pastèque</w:t>
            </w:r>
          </w:p>
        </w:tc>
        <w:tc>
          <w:tcPr>
            <w:tcW w:w="307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90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200 F CFA</w:t>
            </w:r>
          </w:p>
        </w:tc>
      </w:tr>
      <w:tr>
        <w:trPr/>
        <w:tc>
          <w:tcPr>
            <w:tcW w:w="42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Petit mil</w:t>
            </w:r>
          </w:p>
        </w:tc>
        <w:tc>
          <w:tcPr>
            <w:tcW w:w="307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90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200 F CFA</w:t>
            </w:r>
          </w:p>
        </w:tc>
      </w:tr>
      <w:tr>
        <w:trPr/>
        <w:tc>
          <w:tcPr>
            <w:tcW w:w="4298"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Maïs</w:t>
            </w:r>
          </w:p>
        </w:tc>
        <w:tc>
          <w:tcPr>
            <w:tcW w:w="307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390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200 F CFA</w:t>
            </w:r>
          </w:p>
        </w:tc>
      </w:tr>
    </w:tbl>
    <w:p>
      <w:pPr>
        <w:pStyle w:val="Normal"/>
        <w:jc w:val="both"/>
        <w:rPr/>
      </w:pPr>
      <w:r>
        <w:rPr/>
        <w:t>Les prix proposés par les concurrents de l’entreprise :</w:t>
      </w:r>
    </w:p>
    <w:tbl>
      <w:tblPr>
        <w:tblW w:w="10130" w:type="dxa"/>
        <w:jc w:val="left"/>
        <w:tblInd w:w="-5" w:type="dxa"/>
        <w:tblLayout w:type="fixed"/>
        <w:tblCellMar>
          <w:top w:w="150" w:type="dxa"/>
          <w:left w:w="5" w:type="dxa"/>
          <w:bottom w:w="150" w:type="dxa"/>
          <w:right w:w="235" w:type="dxa"/>
        </w:tblCellMar>
      </w:tblPr>
      <w:tblGrid>
        <w:gridCol w:w="3282"/>
        <w:gridCol w:w="2376"/>
        <w:gridCol w:w="4472"/>
      </w:tblGrid>
      <w:tr>
        <w:trPr>
          <w:tblHeader w:val="true"/>
          <w:trHeight w:val="42" w:hRule="atLeast"/>
        </w:trPr>
        <w:tc>
          <w:tcPr>
            <w:tcW w:w="328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Désignation</w:t>
            </w:r>
          </w:p>
        </w:tc>
        <w:tc>
          <w:tcPr>
            <w:tcW w:w="237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Unité</w:t>
            </w:r>
          </w:p>
        </w:tc>
        <w:tc>
          <w:tcPr>
            <w:tcW w:w="4472"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Prix</w:t>
            </w:r>
          </w:p>
        </w:tc>
      </w:tr>
      <w:tr>
        <w:trPr>
          <w:trHeight w:val="40" w:hRule="atLeast"/>
        </w:trPr>
        <w:tc>
          <w:tcPr>
            <w:tcW w:w="328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Oignon</w:t>
            </w:r>
          </w:p>
        </w:tc>
        <w:tc>
          <w:tcPr>
            <w:tcW w:w="237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4472"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500 à 600 F CFA</w:t>
            </w:r>
          </w:p>
        </w:tc>
      </w:tr>
      <w:tr>
        <w:trPr>
          <w:trHeight w:val="40" w:hRule="atLeast"/>
        </w:trPr>
        <w:tc>
          <w:tcPr>
            <w:tcW w:w="328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Gombo</w:t>
            </w:r>
          </w:p>
        </w:tc>
        <w:tc>
          <w:tcPr>
            <w:tcW w:w="237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4472"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400 à 500 F CFA</w:t>
            </w:r>
          </w:p>
        </w:tc>
      </w:tr>
      <w:tr>
        <w:trPr>
          <w:trHeight w:val="42" w:hRule="atLeast"/>
        </w:trPr>
        <w:tc>
          <w:tcPr>
            <w:tcW w:w="3282"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Pastèque</w:t>
            </w:r>
          </w:p>
        </w:tc>
        <w:tc>
          <w:tcPr>
            <w:tcW w:w="237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Kg</w:t>
            </w:r>
          </w:p>
        </w:tc>
        <w:tc>
          <w:tcPr>
            <w:tcW w:w="4472"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150 à 200 F CFA</w:t>
            </w:r>
          </w:p>
        </w:tc>
      </w:tr>
    </w:tbl>
    <w:p>
      <w:pPr>
        <w:pStyle w:val="Normal"/>
        <w:jc w:val="both"/>
        <w:rPr/>
      </w:pPr>
      <w:r>
        <w:rPr/>
        <w:t>Les concurrents de l’entreprise dans la zone :</w:t>
      </w:r>
    </w:p>
    <w:tbl>
      <w:tblPr>
        <w:tblW w:w="10077" w:type="dxa"/>
        <w:jc w:val="left"/>
        <w:tblInd w:w="-5" w:type="dxa"/>
        <w:tblLayout w:type="fixed"/>
        <w:tblCellMar>
          <w:top w:w="150" w:type="dxa"/>
          <w:left w:w="5" w:type="dxa"/>
          <w:bottom w:w="150" w:type="dxa"/>
          <w:right w:w="235" w:type="dxa"/>
        </w:tblCellMar>
      </w:tblPr>
      <w:tblGrid>
        <w:gridCol w:w="875"/>
        <w:gridCol w:w="6133"/>
        <w:gridCol w:w="3069"/>
      </w:tblGrid>
      <w:tr>
        <w:trPr>
          <w:tblHeader w:val="true"/>
          <w:trHeight w:val="257" w:hRule="atLeast"/>
        </w:trPr>
        <w:tc>
          <w:tcPr>
            <w:tcW w:w="87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N°</w:t>
            </w:r>
          </w:p>
        </w:tc>
        <w:tc>
          <w:tcPr>
            <w:tcW w:w="613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Noms des concurrents</w:t>
            </w:r>
          </w:p>
        </w:tc>
        <w:tc>
          <w:tcPr>
            <w:tcW w:w="306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Localisation</w:t>
            </w:r>
          </w:p>
        </w:tc>
      </w:tr>
      <w:tr>
        <w:trPr>
          <w:trHeight w:val="241" w:hRule="atLeast"/>
        </w:trPr>
        <w:tc>
          <w:tcPr>
            <w:tcW w:w="87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1</w:t>
            </w:r>
          </w:p>
        </w:tc>
        <w:tc>
          <w:tcPr>
            <w:tcW w:w="613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Quelques périmètres maraîchers</w:t>
            </w:r>
          </w:p>
        </w:tc>
        <w:tc>
          <w:tcPr>
            <w:tcW w:w="3069"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Fiah et environs</w:t>
            </w:r>
          </w:p>
        </w:tc>
      </w:tr>
      <w:tr>
        <w:trPr>
          <w:trHeight w:val="257" w:hRule="atLeast"/>
        </w:trPr>
        <w:tc>
          <w:tcPr>
            <w:tcW w:w="87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t>2</w:t>
            </w:r>
          </w:p>
        </w:tc>
        <w:tc>
          <w:tcPr>
            <w:tcW w:w="613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pPr>
            <w:r>
              <w:rPr/>
              <w:t>Producteurs céréaliers locaux</w:t>
            </w:r>
          </w:p>
        </w:tc>
        <w:tc>
          <w:tcPr>
            <w:tcW w:w="3069"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pPr>
            <w:r>
              <w:rPr/>
              <w:t>Fiah et environs</w:t>
            </w:r>
          </w:p>
        </w:tc>
      </w:tr>
    </w:tbl>
    <w:p>
      <w:pPr>
        <w:pStyle w:val="Normal"/>
        <w:jc w:val="both"/>
        <w:rPr/>
      </w:pPr>
      <w:r>
        <w:rPr/>
      </w:r>
    </w:p>
    <w:p>
      <w:pPr>
        <w:pStyle w:val="Normal"/>
        <w:jc w:val="both"/>
        <w:rPr>
          <w:b/>
          <w:bCs/>
        </w:rPr>
      </w:pPr>
      <w:r>
        <w:rPr>
          <w:b/>
          <w:bCs/>
        </w:rPr>
        <w:t>4. L’analyse de la concurrence</w:t>
      </w:r>
    </w:p>
    <w:p>
      <w:pPr>
        <w:pStyle w:val="Normal"/>
        <w:jc w:val="both"/>
        <w:rPr/>
      </w:pPr>
      <w:r>
        <w:rPr/>
        <w:t>L’entreprise est face à des concurrents très expérimentés mais non formels dans la zone du projet, c’est-à-dire d’autres maraîchers et producteurs céréaliers. Mais c’est le respect des itinéraires techniques de production et l’application des bonnes pratiques agricoles qui permettra à FERME NAGRO de fournir sur le marché des produits de très bonne qualité qui seront appréciés par les clients.</w:t>
      </w:r>
    </w:p>
    <w:p>
      <w:pPr>
        <w:pStyle w:val="Normal"/>
        <w:jc w:val="both"/>
        <w:rPr/>
      </w:pPr>
      <w:r>
        <w:rPr/>
        <w:t>Les concurrents qui fournissent des produits de même qualité que ceux de l’entreprise pratiquent généralement des prix plus élevés que les siens.</w:t>
      </w:r>
    </w:p>
    <w:p>
      <w:pPr>
        <w:pStyle w:val="Normal"/>
        <w:jc w:val="both"/>
        <w:rPr/>
      </w:pPr>
      <w:r>
        <w:rPr/>
        <w:t>Cependant l’entreprise développera des stratégies pour mieux se positionner sur le marché en :</w:t>
      </w:r>
    </w:p>
    <w:p>
      <w:pPr>
        <w:pStyle w:val="Normal"/>
        <w:tabs>
          <w:tab w:val="clear" w:pos="708"/>
          <w:tab w:val="left" w:pos="720" w:leader="none"/>
        </w:tabs>
        <w:jc w:val="both"/>
        <w:rPr/>
      </w:pPr>
      <w:r>
        <w:rPr/>
        <w:t>Fidélisant ses clients afin d’étendre sa part de marché ;</w:t>
      </w:r>
    </w:p>
    <w:p>
      <w:pPr>
        <w:pStyle w:val="Normal"/>
        <w:tabs>
          <w:tab w:val="clear" w:pos="708"/>
          <w:tab w:val="left" w:pos="720" w:leader="none"/>
        </w:tabs>
        <w:jc w:val="both"/>
        <w:rPr/>
      </w:pPr>
      <w:r>
        <w:rPr/>
        <w:t>Renforçant sa capacité de production et de distribution avec de nouveaux équipements pour mieux satisfaire la demande croissante des clients.</w:t>
      </w:r>
    </w:p>
    <w:p>
      <w:pPr>
        <w:pStyle w:val="Normal"/>
        <w:jc w:val="both"/>
        <w:rPr/>
      </w:pPr>
      <w:r>
        <w:rPr/>
        <w:t>L’entreprise prévoit également de participer aux foires agricoles et de développer des actions de promotion pour toucher le maximum de prospects.</w:t>
      </w:r>
    </w:p>
    <w:p>
      <w:pPr>
        <w:pStyle w:val="Normal"/>
        <w:jc w:val="both"/>
        <w:rPr>
          <w:b/>
          <w:bCs/>
        </w:rPr>
      </w:pPr>
      <w:r>
        <w:rPr>
          <w:b/>
          <w:bCs/>
        </w:rPr>
        <w:t>5. La demande (clientèle cible)</w:t>
      </w:r>
    </w:p>
    <w:p>
      <w:pPr>
        <w:pStyle w:val="Normal"/>
        <w:jc w:val="both"/>
        <w:rPr/>
      </w:pPr>
      <w:r>
        <w:rPr/>
        <w:t>La clientèle cible est constituée par les commerçants grossistes, les détaillants, les revendeurs de produits maraîchers et céréaliers, les restaurateurs, les hôtels et les particuliers consommateurs de la ville de Fiah, des communes environnantes et de Bamak</w:t>
      </w:r>
      <w:r>
        <w:rPr>
          <w:b/>
          <w:bCs/>
        </w:rPr>
        <w:t>o</w:t>
      </w:r>
      <w:r>
        <w:rPr/>
        <w:t>. En général, les clients sont exigeants sur certains éléments clés : la taille du produit, la durée de conservation à l’état frais et la nature des fertilisants et pesticides utilisés par le producteur.</w:t>
      </w:r>
    </w:p>
    <w:p>
      <w:pPr>
        <w:pStyle w:val="Normal"/>
        <w:jc w:val="both"/>
        <w:rPr/>
      </w:pPr>
      <w:r>
        <w:rPr/>
        <w:t>En tenant compte de ces critères de qualité, l’entreprise se distingue par le fait qu’elle utilise peu de fertilisants et de pesticides chimiques. Le respect des itinéraires techniques de production et une bonne taille aux produits attirent les clients.</w:t>
      </w:r>
    </w:p>
    <w:p>
      <w:pPr>
        <w:pStyle w:val="Normal"/>
        <w:jc w:val="both"/>
        <w:rPr/>
      </w:pPr>
      <w:r>
        <w:rPr/>
        <w:t>Cela permet également d’avoir une longue durée de conservation des produits maraîchers à l’état frais.</w:t>
      </w:r>
    </w:p>
    <w:p>
      <w:pPr>
        <w:pStyle w:val="Normal"/>
        <w:jc w:val="both"/>
        <w:rPr/>
      </w:pPr>
      <w:r>
        <w:rPr/>
        <w:t>La stratégie de l’entreprise pour satisfaire les besoins des clients consiste à recenser les commandes afin de mieux planifier les jours de livraison, maintenir le contact avec les clients à travers une vérification de l’appréciation des clients sur les produits, sur la base des appels téléphoniques et souvent des visites de terrain.</w:t>
      </w:r>
    </w:p>
    <w:p>
      <w:pPr>
        <w:pStyle w:val="Normal"/>
        <w:jc w:val="both"/>
        <w:rPr>
          <w:b/>
          <w:bCs/>
        </w:rPr>
      </w:pPr>
      <w:r>
        <w:rPr>
          <w:b/>
          <w:bCs/>
        </w:rPr>
        <w:t>6. Stratégies marketing</w:t>
      </w:r>
    </w:p>
    <w:p>
      <w:pPr>
        <w:pStyle w:val="Normal"/>
        <w:jc w:val="both"/>
        <w:rPr>
          <w:b/>
          <w:bCs/>
        </w:rPr>
      </w:pPr>
      <w:r>
        <w:rPr>
          <w:b/>
          <w:bCs/>
        </w:rPr>
        <w:t>6.1 Politique de Produit :</w:t>
      </w:r>
    </w:p>
    <w:p>
      <w:pPr>
        <w:pStyle w:val="Normal"/>
        <w:jc w:val="both"/>
        <w:rPr/>
      </w:pPr>
      <w:r>
        <w:rPr/>
        <w:t xml:space="preserve">La politique de produit est axée sur la production de produits maraîchers et céréaliers de haute qualité, disponibles en saison sèche comme en saison des pluies et répondant aux attentes des consommateurs exigeants. La marque </w:t>
      </w:r>
      <w:r>
        <w:rPr>
          <w:b/>
          <w:bCs/>
        </w:rPr>
        <w:t>FERME NAGRO</w:t>
      </w:r>
      <w:r>
        <w:rPr/>
        <w:t xml:space="preserve"> véhicule une image de fraîcheur, de qualité et de diversité. Les produits sont proposés sous plusieurs formes : oignon, gombo, concombre, carotte, aubergine, pastèque (saison sèche), petit mil et maïs (saison des pluies). Cette politique vise à fidéliser la clientèle et à assurer l’écoulement régulier de la production tout au long de l’année.</w:t>
      </w:r>
    </w:p>
    <w:p>
      <w:pPr>
        <w:pStyle w:val="Normal"/>
        <w:jc w:val="both"/>
        <w:rPr>
          <w:b/>
          <w:bCs/>
        </w:rPr>
      </w:pPr>
      <w:r>
        <w:rPr>
          <w:b/>
          <w:bCs/>
        </w:rPr>
        <w:t>6.2 Politique de prix :</w:t>
      </w:r>
    </w:p>
    <w:p>
      <w:pPr>
        <w:pStyle w:val="Normal"/>
        <w:jc w:val="both"/>
        <w:rPr/>
      </w:pPr>
      <w:r>
        <w:rPr/>
        <w:t>La politique de prix a consisté à fixer un prix incitatif pour les clients afin de les fidéliser, augmenter le chiffre d’affaires de l’entreprise et mieux se positionner face à la concurrence. Les prix de vente sont fixés comme suit : oignon 500 F/kg, gombo 400 F/kg, concombre 300 F/kg, carotte 350 F/kg, aubergine 300 F/kg, pastèque 200 F/kg, petit mil 200 F/kg, maïs 200 F/kg. Des conditions favorables de livraison sont proposées pour les clients qui passent des commandes importantes.</w:t>
      </w:r>
    </w:p>
    <w:p>
      <w:pPr>
        <w:pStyle w:val="Normal"/>
        <w:jc w:val="both"/>
        <w:rPr>
          <w:b/>
          <w:bCs/>
        </w:rPr>
      </w:pPr>
      <w:r>
        <w:rPr>
          <w:b/>
          <w:bCs/>
        </w:rPr>
        <w:t>6.3 Politique de place</w:t>
      </w:r>
    </w:p>
    <w:p>
      <w:pPr>
        <w:pStyle w:val="Normal"/>
        <w:jc w:val="both"/>
        <w:rPr/>
      </w:pPr>
      <w:r>
        <w:rPr/>
        <w:t xml:space="preserve">La localisation de la ferme à </w:t>
      </w:r>
      <w:r>
        <w:rPr>
          <w:b/>
          <w:bCs/>
        </w:rPr>
        <w:t>Fiah</w:t>
      </w:r>
      <w:r>
        <w:rPr/>
        <w:t xml:space="preserve"> est une zone agricole par excellence et stratégique parce qu’elle permet d’attirer les clients vers les produits. Les grossistes se rendent dans cette zone de production pour négocier avec les producteurs. Cela facilite l’établissement des liens de marché solides et durables dans la commercialisation de la production.</w:t>
      </w:r>
    </w:p>
    <w:p>
      <w:pPr>
        <w:pStyle w:val="Normal"/>
        <w:jc w:val="both"/>
        <w:rPr>
          <w:b/>
          <w:bCs/>
        </w:rPr>
      </w:pPr>
      <w:r>
        <w:rPr>
          <w:b/>
          <w:bCs/>
        </w:rPr>
        <w:t>6.4 Politique de promotion/communication :</w:t>
      </w:r>
    </w:p>
    <w:p>
      <w:pPr>
        <w:pStyle w:val="Normal"/>
        <w:jc w:val="both"/>
        <w:rPr/>
      </w:pPr>
      <w:r>
        <w:rPr/>
        <w:t>La politique de promotion et de communication développée comprend :</w:t>
      </w:r>
    </w:p>
    <w:p>
      <w:pPr>
        <w:pStyle w:val="Normal"/>
        <w:rPr>
          <w:lang w:eastAsia="en-US"/>
        </w:rPr>
      </w:pPr>
      <w:r>
        <w:rPr>
          <w:b/>
          <w:bCs/>
          <w:lang w:eastAsia="en-US"/>
        </w:rPr>
        <w:t>L’identification des prospects :</w:t>
      </w:r>
      <w:r>
        <w:rPr>
          <w:lang w:eastAsia="en-US"/>
        </w:rPr>
        <w:br/>
        <w:t>Il s’agit d’identifier les clients potentiels afin d’avoir leurs contacts et des informations sur les quantités de produits dont ils ont besoin par mois.</w:t>
      </w:r>
    </w:p>
    <w:p>
      <w:pPr>
        <w:pStyle w:val="Normal"/>
        <w:rPr>
          <w:lang w:eastAsia="en-US"/>
        </w:rPr>
      </w:pPr>
      <w:r>
        <w:rPr>
          <w:b/>
          <w:bCs/>
          <w:lang w:eastAsia="en-US"/>
        </w:rPr>
        <w:t>Identification des canaux de communication :</w:t>
        <w:br/>
      </w:r>
      <w:r>
        <w:rPr>
          <w:lang w:eastAsia="en-US"/>
        </w:rPr>
        <w:t>Les différents canaux de communication identifiés sont le contact direct, le téléphone, les radios de proximité et les réseaux sociaux.</w:t>
      </w:r>
    </w:p>
    <w:p>
      <w:pPr>
        <w:pStyle w:val="Normal"/>
        <w:rPr>
          <w:lang w:eastAsia="en-US"/>
        </w:rPr>
      </w:pPr>
      <w:r>
        <w:rPr>
          <w:b/>
          <w:bCs/>
          <w:lang w:eastAsia="en-US"/>
        </w:rPr>
        <w:t>Elaboration des outils de communication :</w:t>
        <w:br/>
      </w:r>
      <w:r>
        <w:rPr>
          <w:lang w:eastAsia="en-US"/>
        </w:rPr>
        <w:t>Les outils de communication retenus par l’entreprise sont les appels téléphoniques, les spots radios, WhatsApp, Facebook et TikTok.</w:t>
      </w:r>
    </w:p>
    <w:p>
      <w:pPr>
        <w:pStyle w:val="Normal"/>
        <w:rPr>
          <w:lang w:eastAsia="en-US"/>
        </w:rPr>
      </w:pPr>
      <w:r>
        <w:rPr>
          <w:b/>
          <w:bCs/>
          <w:lang w:eastAsia="en-US"/>
        </w:rPr>
        <w:t>Elaboration d’un plan de communication</w:t>
      </w:r>
      <w:r>
        <w:rPr>
          <w:lang w:eastAsia="en-US"/>
        </w:rPr>
        <w:t xml:space="preserve"> :</w:t>
        <w:br/>
        <w:t>Un plan de communication cohérent et adapté aux moyens de l’entreprise sera élaboré afin de mieux cibler les clients potentiels et mieux faire face à la concurrence.</w:t>
      </w:r>
    </w:p>
    <w:p>
      <w:pPr>
        <w:pStyle w:val="Normal"/>
        <w:rPr>
          <w:lang w:eastAsia="en-US"/>
        </w:rPr>
      </w:pPr>
      <w:r>
        <w:rPr>
          <w:lang w:eastAsia="en-US"/>
        </w:rPr>
        <w:t>Mise en œuvre du plan de communication.</w:t>
        <w:br/>
        <w:t>Les différents canaux identifiés seront utilisés dans la mise en œuvre de ce plan de communication. L’accent sera mis sur les périodes de grande consommation, de foires agricoles et commerciales.</w:t>
      </w:r>
    </w:p>
    <w:p>
      <w:pPr>
        <w:pStyle w:val="Normal"/>
        <w:jc w:val="both"/>
        <w:rPr>
          <w:lang w:eastAsia="en-US"/>
        </w:rPr>
      </w:pPr>
      <w:r>
        <w:rPr>
          <w:lang w:eastAsia="en-US"/>
        </w:rPr>
      </w:r>
    </w:p>
    <w:p>
      <w:pPr>
        <w:pStyle w:val="Normal"/>
        <w:jc w:val="both"/>
        <w:rPr/>
      </w:pPr>
      <w:r>
        <w:rPr/>
      </w:r>
    </w:p>
    <w:p>
      <w:pPr>
        <w:pStyle w:val="Heading1"/>
        <w:keepLines/>
        <w:numPr>
          <w:ilvl w:val="0"/>
          <w:numId w:val="5"/>
        </w:numPr>
        <w:spacing w:before="0" w:after="120"/>
        <w:ind w:hanging="431" w:left="431" w:right="0"/>
        <w:jc w:val="both"/>
        <w:rPr>
          <w:rFonts w:ascii="Times New Roman" w:hAnsi="Times New Roman" w:cs="Times New Roman"/>
          <w:caps/>
          <w:color w:val="166B7F"/>
          <w:kern w:val="0"/>
          <w:lang w:eastAsia="en-US"/>
        </w:rPr>
      </w:pPr>
      <w:bookmarkStart w:id="10" w:name="__RefHeading___Toc234831707"/>
      <w:bookmarkEnd w:id="10"/>
      <w:r>
        <w:rPr>
          <w:rFonts w:cs="Times New Roman" w:ascii="Times New Roman" w:hAnsi="Times New Roman"/>
          <w:caps/>
          <w:color w:val="166B7F"/>
          <w:kern w:val="0"/>
          <w:lang w:eastAsia="en-US"/>
        </w:rPr>
        <w:t>ÉTUDE TECHNIQUE</w:t>
      </w:r>
    </w:p>
    <w:p>
      <w:pPr>
        <w:pStyle w:val="Heading2"/>
        <w:keepLines/>
        <w:numPr>
          <w:ilvl w:val="0"/>
          <w:numId w:val="16"/>
        </w:numPr>
        <w:spacing w:before="120" w:after="120"/>
        <w:ind w:hanging="360" w:left="720" w:right="0"/>
        <w:jc w:val="both"/>
        <w:rPr>
          <w:rFonts w:ascii="Times New Roman" w:hAnsi="Times New Roman" w:cs="Times New Roman"/>
          <w:i w:val="false"/>
          <w:i w:val="false"/>
          <w:iCs w:val="false"/>
          <w:sz w:val="24"/>
          <w:szCs w:val="24"/>
          <w:lang w:val="fr-CI"/>
        </w:rPr>
      </w:pPr>
      <w:bookmarkStart w:id="11" w:name="__RefHeading___Toc234831708"/>
      <w:bookmarkEnd w:id="11"/>
      <w:r>
        <w:rPr>
          <w:rFonts w:cs="Times New Roman" w:ascii="Times New Roman" w:hAnsi="Times New Roman"/>
          <w:i w:val="false"/>
          <w:iCs w:val="false"/>
          <w:sz w:val="24"/>
          <w:szCs w:val="24"/>
          <w:lang w:val="fr-CI"/>
        </w:rPr>
        <w:t xml:space="preserve">Site d’implantation : </w:t>
      </w:r>
    </w:p>
    <w:p>
      <w:pPr>
        <w:pStyle w:val="Normal"/>
        <w:jc w:val="both"/>
        <w:rPr/>
      </w:pPr>
      <w:r>
        <w:rPr/>
        <w:t xml:space="preserve">Le projet sera réalisé sur une superficie de </w:t>
      </w:r>
      <w:r>
        <w:rPr>
          <w:b/>
          <w:bCs/>
        </w:rPr>
        <w:t>5 hectares</w:t>
      </w:r>
      <w:r>
        <w:rPr/>
        <w:t xml:space="preserve"> à </w:t>
      </w:r>
      <w:r>
        <w:rPr>
          <w:b/>
          <w:bCs/>
        </w:rPr>
        <w:t>Fiah</w:t>
      </w:r>
      <w:r>
        <w:rPr/>
        <w:t>. Le site du projet est accessible avec des routes praticables en toute saison, cela facilitera le transport de la production pour la livraison aux clients.</w:t>
      </w:r>
    </w:p>
    <w:p>
      <w:pPr>
        <w:pStyle w:val="Normal"/>
        <w:jc w:val="both"/>
        <w:rPr/>
      </w:pPr>
      <w:r>
        <w:rPr/>
        <w:t xml:space="preserve">Le titre de propriété de la superficie est détenu par un membre de la famille qui en autorise l’exploitation par le promoteur pour une durée de </w:t>
      </w:r>
      <w:r>
        <w:rPr>
          <w:b/>
          <w:bCs/>
        </w:rPr>
        <w:t>7 ans</w:t>
      </w:r>
      <w:r>
        <w:rPr/>
        <w:t>, renouvelable. L’acte de mise à disposition du terrain, dûment signé et légalisé, sera joint en annexe du présent plan d’affaires.</w:t>
      </w:r>
    </w:p>
    <w:p>
      <w:pPr>
        <w:pStyle w:val="Normal"/>
        <w:ind w:left="720" w:right="0"/>
        <w:rPr/>
      </w:pPr>
      <w:r>
        <w:rPr/>
        <w:t xml:space="preserve">2.1 Constructions </w:t>
      </w:r>
    </w:p>
    <w:tbl>
      <w:tblPr>
        <w:tblW w:w="7420" w:type="dxa"/>
        <w:jc w:val="left"/>
        <w:tblInd w:w="80" w:type="dxa"/>
        <w:tblLayout w:type="fixed"/>
        <w:tblCellMar>
          <w:top w:w="0" w:type="dxa"/>
          <w:left w:w="70" w:type="dxa"/>
          <w:bottom w:w="0" w:type="dxa"/>
          <w:right w:w="70" w:type="dxa"/>
        </w:tblCellMar>
      </w:tblPr>
      <w:tblGrid>
        <w:gridCol w:w="3250"/>
        <w:gridCol w:w="992"/>
        <w:gridCol w:w="1417"/>
        <w:gridCol w:w="1760"/>
      </w:tblGrid>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992"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417"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76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25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rPr>
            </w:pPr>
            <w:r>
              <w:rPr>
                <w:color w:val="000000"/>
              </w:rPr>
              <w:t>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0</w:t>
            </w:r>
          </w:p>
        </w:tc>
      </w:tr>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992"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7"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76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0</w:t>
            </w:r>
          </w:p>
        </w:tc>
      </w:tr>
    </w:tbl>
    <w:p>
      <w:pPr>
        <w:pStyle w:val="Normal"/>
        <w:ind w:left="720" w:right="0"/>
        <w:rPr>
          <w:lang w:val="fr-CI"/>
        </w:rPr>
      </w:pPr>
      <w:r>
        <w:rPr>
          <w:lang w:val="fr-CI"/>
        </w:rPr>
      </w:r>
    </w:p>
    <w:p>
      <w:pPr>
        <w:pStyle w:val="Normal"/>
        <w:ind w:left="720" w:right="0"/>
        <w:rPr>
          <w:lang w:val="fr-CI"/>
        </w:rPr>
      </w:pPr>
      <w:r>
        <w:rPr>
          <w:lang w:val="fr-CI"/>
        </w:rPr>
        <w:t>2.2 Aménagements /installations</w:t>
      </w:r>
    </w:p>
    <w:p>
      <w:pPr>
        <w:pStyle w:val="Normal"/>
        <w:rPr/>
      </w:pPr>
      <w:r>
        <w:rPr/>
        <w:t> </w:t>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999"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520"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Forage + pompe solaire</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99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3 500 000</w:t>
            </w:r>
          </w:p>
        </w:tc>
        <w:tc>
          <w:tcPr>
            <w:tcW w:w="1520"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3 500 000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Bassin de rétention 100 m³</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99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1 000 000</w:t>
            </w:r>
          </w:p>
        </w:tc>
        <w:tc>
          <w:tcPr>
            <w:tcW w:w="1520"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1 000 000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Système goutte-à-goutte (5 ha)</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5 000 000</w:t>
            </w:r>
          </w:p>
        </w:tc>
        <w:tc>
          <w:tcPr>
            <w:tcW w:w="1520"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5 000 000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Clôture 5 ha (grillage)</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3 000 000</w:t>
            </w:r>
          </w:p>
        </w:tc>
        <w:tc>
          <w:tcPr>
            <w:tcW w:w="1520"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3 000 000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Aménagement du terrain (labour, billons)</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1 500 000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1 500 000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99"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520"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14 000 000</w:t>
            </w:r>
          </w:p>
        </w:tc>
      </w:tr>
    </w:tbl>
    <w:p>
      <w:pPr>
        <w:pStyle w:val="Heading3"/>
        <w:numPr>
          <w:ilvl w:val="1"/>
          <w:numId w:val="13"/>
        </w:numPr>
        <w:ind w:hanging="360" w:left="1211" w:right="0"/>
        <w:rPr>
          <w:rFonts w:ascii="Times New Roman" w:hAnsi="Times New Roman" w:cs="Times New Roman"/>
          <w:sz w:val="24"/>
          <w:szCs w:val="24"/>
        </w:rPr>
      </w:pPr>
      <w:bookmarkStart w:id="12" w:name="__RefHeading___Toc234831710"/>
      <w:bookmarkEnd w:id="12"/>
      <w:r>
        <w:rPr>
          <w:rFonts w:cs="Times New Roman" w:ascii="Times New Roman" w:hAnsi="Times New Roman"/>
          <w:sz w:val="24"/>
          <w:szCs w:val="24"/>
        </w:rPr>
        <w:t>Equipements de production :</w:t>
      </w:r>
    </w:p>
    <w:p>
      <w:pPr>
        <w:pStyle w:val="Normal"/>
        <w:rPr>
          <w:sz w:val="22"/>
          <w:szCs w:val="22"/>
        </w:rPr>
      </w:pPr>
      <w:r>
        <w:rPr>
          <w:sz w:val="22"/>
          <w:szCs w:val="22"/>
        </w:rPr>
        <w:t>Les équipements de production sont consignés dans le tableau ci-dessous :</w:t>
      </w:r>
    </w:p>
    <w:p>
      <w:pPr>
        <w:pStyle w:val="Normal"/>
        <w:rPr>
          <w:b/>
          <w:bCs/>
          <w:sz w:val="22"/>
          <w:szCs w:val="22"/>
          <w:lang w:eastAsia="fr-CA"/>
        </w:rPr>
      </w:pPr>
      <w:r>
        <w:rPr>
          <w:b/>
          <w:bCs/>
          <w:sz w:val="22"/>
          <w:szCs w:val="22"/>
          <w:lang w:eastAsia="fr-CA"/>
        </w:rPr>
        <w:t xml:space="preserve"> </w:t>
      </w:r>
      <w:r>
        <w:rPr>
          <w:b/>
          <w:bCs/>
          <w:sz w:val="22"/>
          <w:szCs w:val="22"/>
          <w:lang w:eastAsia="fr-CA"/>
        </w:rPr>
        <w:t>Equipements de production</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Pulvérisateurs</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125 000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Brouettes + Houes</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65 000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325 000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jc w:val="both"/>
              <w:rPr>
                <w:color w:val="000000"/>
                <w:sz w:val="22"/>
                <w:szCs w:val="22"/>
              </w:rPr>
            </w:pPr>
            <w:r>
              <w:rPr>
                <w:color w:val="000000"/>
                <w:sz w:val="22"/>
                <w:szCs w:val="22"/>
              </w:rPr>
              <w:t>Dabas / Pelles (1 lot)</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100 000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100 000</w:t>
            </w:r>
          </w:p>
        </w:tc>
      </w:tr>
      <w:tr>
        <w:trPr>
          <w:trHeight w:val="25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Caisses de récolte</w:t>
            </w:r>
          </w:p>
        </w:tc>
        <w:tc>
          <w:tcPr>
            <w:tcW w:w="100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150 000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Balances</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60 000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Petit matériel divers (1 lot)</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240 000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240 000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Séchoirs artisanaux</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1 500 000</w:t>
            </w:r>
          </w:p>
        </w:tc>
      </w:tr>
    </w:tbl>
    <w:p>
      <w:pPr>
        <w:pStyle w:val="Normal"/>
        <w:rPr>
          <w:b/>
          <w:bCs/>
          <w:sz w:val="22"/>
          <w:szCs w:val="22"/>
          <w:lang w:eastAsia="fr-CA"/>
        </w:rPr>
      </w:pPr>
      <w:r>
        <w:rPr>
          <w:b/>
          <w:bCs/>
          <w:sz w:val="22"/>
          <w:szCs w:val="22"/>
          <w:lang w:eastAsia="fr-CA"/>
        </w:rPr>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55" w:hRule="atLeast"/>
        </w:trPr>
        <w:tc>
          <w:tcPr>
            <w:tcW w:w="3899" w:type="dxa"/>
            <w:tcBorders/>
            <w:shd w:fill="FFFFFF" w:val="clear"/>
            <w:vAlign w:val="bottom"/>
          </w:tcPr>
          <w:p>
            <w:pPr>
              <w:pStyle w:val="Normal"/>
              <w:snapToGrid w:val="false"/>
              <w:rPr>
                <w:rFonts w:ascii="Cambria" w:hAnsi="Cambria" w:cs="Calibri"/>
                <w:b/>
                <w:bCs/>
                <w:sz w:val="20"/>
                <w:szCs w:val="20"/>
              </w:rPr>
            </w:pPr>
            <w:r>
              <w:rPr>
                <w:rFonts w:cs="Calibri" w:ascii="Cambria" w:hAnsi="Cambria"/>
                <w:b/>
                <w:bCs/>
                <w:sz w:val="20"/>
                <w:szCs w:val="20"/>
              </w:rPr>
            </w:r>
          </w:p>
        </w:tc>
        <w:tc>
          <w:tcPr>
            <w:tcW w:w="1001" w:type="dxa"/>
            <w:tcBorders/>
            <w:shd w:fill="FFFFFF" w:val="clear"/>
            <w:vAlign w:val="bottom"/>
          </w:tcPr>
          <w:p>
            <w:pPr>
              <w:pStyle w:val="Normal"/>
              <w:rPr>
                <w:rFonts w:ascii="Cambria" w:hAnsi="Cambria" w:cs="Calibri"/>
                <w:sz w:val="20"/>
                <w:szCs w:val="20"/>
              </w:rPr>
            </w:pPr>
            <w:r>
              <w:rPr/>
            </w:r>
          </w:p>
        </w:tc>
        <w:tc>
          <w:tcPr>
            <w:tcW w:w="999" w:type="dxa"/>
            <w:tcBorders/>
            <w:shd w:fill="FFFFFF" w:val="clear"/>
            <w:vAlign w:val="bottom"/>
          </w:tcPr>
          <w:p>
            <w:pPr>
              <w:pStyle w:val="Normal"/>
              <w:rPr>
                <w:rFonts w:ascii="Cambria" w:hAnsi="Cambria" w:cs="Calibri"/>
                <w:sz w:val="20"/>
                <w:szCs w:val="20"/>
              </w:rPr>
            </w:pPr>
            <w:r>
              <w:rPr/>
            </w:r>
          </w:p>
        </w:tc>
        <w:tc>
          <w:tcPr>
            <w:tcW w:w="1520" w:type="dxa"/>
            <w:tcBorders/>
            <w:shd w:fill="FFFFFF" w:val="clear"/>
            <w:vAlign w:val="bottom"/>
          </w:tcPr>
          <w:p>
            <w:pPr>
              <w:pStyle w:val="Normal"/>
              <w:rPr>
                <w:rFonts w:ascii="Cambria" w:hAnsi="Cambria" w:cs="Calibri"/>
                <w:sz w:val="20"/>
                <w:szCs w:val="20"/>
              </w:rPr>
            </w:pPr>
            <w:r>
              <w:rPr/>
            </w:r>
          </w:p>
        </w:tc>
      </w:tr>
    </w:tbl>
    <w:p>
      <w:pPr>
        <w:pStyle w:val="Heading2"/>
        <w:keepLines/>
        <w:numPr>
          <w:ilvl w:val="0"/>
          <w:numId w:val="16"/>
        </w:numPr>
        <w:spacing w:before="120" w:after="120"/>
        <w:ind w:hanging="360" w:left="720" w:right="0"/>
        <w:jc w:val="both"/>
        <w:rPr>
          <w:rFonts w:ascii="Times New Roman" w:hAnsi="Times New Roman" w:cs="Times New Roman"/>
          <w:b w:val="false"/>
          <w:bCs w:val="false"/>
          <w:i w:val="false"/>
          <w:i w:val="false"/>
          <w:sz w:val="22"/>
          <w:szCs w:val="22"/>
          <w:lang w:val="fr-CI"/>
        </w:rPr>
      </w:pPr>
      <w:bookmarkStart w:id="13" w:name="__RefHeading___Toc234831711"/>
      <w:bookmarkEnd w:id="13"/>
      <w:r>
        <w:rPr>
          <w:rFonts w:cs="Times New Roman" w:ascii="Times New Roman" w:hAnsi="Times New Roman"/>
          <w:i w:val="false"/>
          <w:iCs w:val="false"/>
          <w:sz w:val="22"/>
          <w:szCs w:val="22"/>
          <w:lang w:val="fr-CI"/>
        </w:rPr>
        <w:t xml:space="preserve">Le processus de production : </w:t>
      </w:r>
      <w:r>
        <w:rPr>
          <w:rFonts w:cs="Times New Roman" w:ascii="Times New Roman" w:hAnsi="Times New Roman"/>
          <w:b w:val="false"/>
          <w:bCs w:val="false"/>
          <w:i w:val="false"/>
          <w:sz w:val="22"/>
          <w:szCs w:val="22"/>
          <w:lang w:val="fr-CI"/>
        </w:rPr>
        <w:t>(définir le process et la capacité de production de l’entreprise)</w:t>
      </w:r>
    </w:p>
    <w:p>
      <w:pPr>
        <w:pStyle w:val="Normal"/>
        <w:rPr/>
      </w:pPr>
      <w:r>
        <w:rPr>
          <w:b/>
          <w:bCs/>
          <w:sz w:val="22"/>
          <w:szCs w:val="22"/>
        </w:rPr>
        <w:t>Maraîchage (saison sèche) :</w:t>
      </w:r>
      <w:r>
        <w:rPr>
          <w:bCs/>
          <w:sz w:val="22"/>
          <w:szCs w:val="22"/>
        </w:rPr>
        <w:br/>
      </w:r>
      <w:r>
        <w:rPr/>
        <w:t>Préparation du sol → Semis en pépinière/alvéoles → Repiquage → Irrigation → Fertilisation → Entretien → Floraison/Pollinisation → Récolte → Tri → Conditionnement.</w:t>
      </w:r>
    </w:p>
    <w:p>
      <w:pPr>
        <w:pStyle w:val="Normal"/>
        <w:rPr/>
      </w:pPr>
      <w:r>
        <w:rPr>
          <w:b/>
          <w:bCs/>
        </w:rPr>
        <w:t>Céréales (saison des pluies)</w:t>
      </w:r>
      <w:r>
        <w:rPr/>
        <w:t xml:space="preserve"> :</w:t>
        <w:br/>
        <w:t>Labour → Semis → Entretien → Récolte → Battage → Stockage.</w:t>
      </w:r>
    </w:p>
    <w:p>
      <w:pPr>
        <w:pStyle w:val="Normal"/>
        <w:rPr/>
      </w:pPr>
      <w:r>
        <w:rPr/>
        <w:t>Le processus de production au niveau de la FERME NAGRO comprend :</w:t>
      </w:r>
    </w:p>
    <w:p>
      <w:pPr>
        <w:pStyle w:val="Normal"/>
        <w:tabs>
          <w:tab w:val="clear" w:pos="708"/>
          <w:tab w:val="left" w:pos="720" w:leader="none"/>
        </w:tabs>
        <w:rPr/>
      </w:pPr>
      <w:r>
        <w:rPr>
          <w:b/>
          <w:bCs/>
        </w:rPr>
        <w:t>Préparation et amélioration du sol</w:t>
      </w:r>
      <w:r>
        <w:rPr/>
        <w:br/>
        <w:t>Le sol est enrichi principalement par des apports organiques, notamment du compost et du fumier bien décomposé, afin d’améliorer la fertilité avec l’appui modéré d’engrais chimiques. Cette pratique est essentielle pour garantir des rendements durables sur les 5 hectares.</w:t>
      </w:r>
    </w:p>
    <w:p>
      <w:pPr>
        <w:pStyle w:val="Normal"/>
        <w:tabs>
          <w:tab w:val="clear" w:pos="708"/>
          <w:tab w:val="left" w:pos="720" w:leader="none"/>
        </w:tabs>
        <w:rPr/>
      </w:pPr>
      <w:r>
        <w:rPr>
          <w:b/>
          <w:bCs/>
        </w:rPr>
        <w:t>Gestion durable de l’eau</w:t>
      </w:r>
      <w:r>
        <w:rPr/>
        <w:br/>
        <w:t>L’entreprise utilisera un forage équipé d’une pompe solaire et un bassin de rétention de 100 m³, avec un système d’irrigation goutte-à-goutte pour assurer un approvisionnement constant en eau. Ces techniques permettront de réduire la consommation d’eau de 40 % tout en augmentant les rendements.</w:t>
      </w:r>
    </w:p>
    <w:p>
      <w:pPr>
        <w:pStyle w:val="Normal"/>
        <w:tabs>
          <w:tab w:val="clear" w:pos="708"/>
          <w:tab w:val="left" w:pos="720" w:leader="none"/>
        </w:tabs>
        <w:rPr/>
      </w:pPr>
      <w:r>
        <w:rPr>
          <w:b/>
          <w:bCs/>
        </w:rPr>
        <w:t>Semis et repiquage (maraîchage)</w:t>
      </w:r>
      <w:r>
        <w:rPr/>
        <w:br/>
        <w:t>Les semences de variétés adaptées (Violet de Galmi pour l’oignon, variétés locales pour le gombo et l’aubergine, Koloss et Sugar Baby pour la pastèque, Nantaise pour la carotte) sont semées en pépinière ou en alvéoles, puis repiquées sur la parcelle après préparation du sol.</w:t>
      </w:r>
    </w:p>
    <w:p>
      <w:pPr>
        <w:pStyle w:val="Normal"/>
        <w:tabs>
          <w:tab w:val="clear" w:pos="708"/>
          <w:tab w:val="left" w:pos="720" w:leader="none"/>
        </w:tabs>
        <w:rPr/>
      </w:pPr>
      <w:r>
        <w:rPr/>
        <w:t>Semis direct (céréales)</w:t>
        <w:br/>
        <w:t>Le petit mil et le maïs sont semés directement en saison des pluies, après labour et préparation du sol.</w:t>
      </w:r>
    </w:p>
    <w:p>
      <w:pPr>
        <w:pStyle w:val="Normal"/>
        <w:tabs>
          <w:tab w:val="clear" w:pos="708"/>
          <w:tab w:val="left" w:pos="720" w:leader="none"/>
        </w:tabs>
        <w:rPr/>
      </w:pPr>
      <w:r>
        <w:rPr>
          <w:b/>
          <w:bCs/>
        </w:rPr>
        <w:t>Suivi et optimisation des intrants</w:t>
      </w:r>
      <w:r>
        <w:rPr/>
        <w:br/>
        <w:t>L’utilisation d’outils pour mieux doser les apports en eau et en nutriments en fonction des besoins réels des cultures, optimisant ainsi la production tout en limitant les pertes.</w:t>
      </w:r>
    </w:p>
    <w:p>
      <w:pPr>
        <w:pStyle w:val="Normal"/>
        <w:tabs>
          <w:tab w:val="clear" w:pos="708"/>
          <w:tab w:val="left" w:pos="720" w:leader="none"/>
        </w:tabs>
        <w:rPr/>
      </w:pPr>
      <w:r>
        <w:rPr>
          <w:b/>
          <w:bCs/>
        </w:rPr>
        <w:t>Gestion des maladies</w:t>
      </w:r>
      <w:r>
        <w:rPr/>
        <w:br/>
        <w:t>Un plan de protection phytosanitaire préventif sera mis en place : rotation des cultures, utilisation de variétés résistantes, traitement précoce des foyers d’infection, formation du personnel aux bonnes pratiques agricoles.</w:t>
      </w:r>
    </w:p>
    <w:p>
      <w:pPr>
        <w:pStyle w:val="Normal"/>
        <w:tabs>
          <w:tab w:val="clear" w:pos="708"/>
          <w:tab w:val="left" w:pos="720" w:leader="none"/>
        </w:tabs>
        <w:rPr/>
      </w:pPr>
      <w:r>
        <w:rPr>
          <w:b/>
          <w:bCs/>
        </w:rPr>
        <w:t>Récolte, tri et conditionnement</w:t>
      </w:r>
      <w:r>
        <w:rPr/>
        <w:br/>
        <w:t>La récolte est effectuée au moment optimal pour garantir la qualité et la fraîcheur des produits. Le tri permet de séparer les produits selon leurs calibres (gros, moyen, petit) avant conditionnement et livraison aux clients.</w:t>
      </w:r>
    </w:p>
    <w:p>
      <w:pPr>
        <w:pStyle w:val="Normal"/>
        <w:rPr/>
      </w:pPr>
      <w:r>
        <w:rPr/>
        <w:t xml:space="preserve">La capacité de production de </w:t>
      </w:r>
      <w:r>
        <w:rPr>
          <w:b/>
          <w:bCs/>
        </w:rPr>
        <w:t>FERME NAGRO</w:t>
      </w:r>
      <w:r>
        <w:rPr/>
        <w:t xml:space="preserve"> est définie dans la projection de vente ci-dessous :</w:t>
      </w:r>
    </w:p>
    <w:tbl>
      <w:tblPr>
        <w:tblW w:w="8586" w:type="dxa"/>
        <w:jc w:val="left"/>
        <w:tblInd w:w="-5" w:type="dxa"/>
        <w:tblLayout w:type="fixed"/>
        <w:tblCellMar>
          <w:top w:w="150" w:type="dxa"/>
          <w:left w:w="5" w:type="dxa"/>
          <w:bottom w:w="150" w:type="dxa"/>
          <w:right w:w="235" w:type="dxa"/>
        </w:tblCellMar>
      </w:tblPr>
      <w:tblGrid>
        <w:gridCol w:w="2076"/>
        <w:gridCol w:w="1065"/>
        <w:gridCol w:w="1540"/>
        <w:gridCol w:w="1808"/>
        <w:gridCol w:w="2097"/>
      </w:tblGrid>
      <w:tr>
        <w:trPr>
          <w:tblHeader w:val="true"/>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b/>
                <w:bCs/>
                <w:sz w:val="23"/>
                <w:szCs w:val="23"/>
                <w:lang w:eastAsia="fr-FR"/>
              </w:rPr>
            </w:pPr>
            <w:bookmarkStart w:id="14" w:name="__RefHeading___Toc234831712"/>
            <w:bookmarkEnd w:id="14"/>
            <w:r>
              <w:rPr>
                <w:rFonts w:cs="Segoe UI" w:ascii="Segoe UI" w:hAnsi="Segoe UI"/>
                <w:b/>
                <w:bCs/>
                <w:sz w:val="23"/>
                <w:szCs w:val="23"/>
                <w:lang w:eastAsia="fr-FR"/>
              </w:rPr>
              <w:t>Désignation</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b/>
                <w:bCs/>
                <w:sz w:val="23"/>
                <w:szCs w:val="23"/>
                <w:lang w:eastAsia="fr-FR"/>
              </w:rPr>
            </w:pPr>
            <w:r>
              <w:rPr>
                <w:rFonts w:cs="Segoe UI" w:ascii="Segoe UI" w:hAnsi="Segoe UI"/>
                <w:b/>
                <w:bCs/>
                <w:sz w:val="23"/>
                <w:szCs w:val="23"/>
                <w:lang w:eastAsia="fr-FR"/>
              </w:rPr>
              <w:t>Unité</w:t>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b/>
                <w:bCs/>
                <w:sz w:val="23"/>
                <w:szCs w:val="23"/>
                <w:lang w:eastAsia="fr-FR"/>
              </w:rPr>
            </w:pPr>
            <w:r>
              <w:rPr>
                <w:rFonts w:cs="Segoe UI" w:ascii="Segoe UI" w:hAnsi="Segoe UI"/>
                <w:b/>
                <w:bCs/>
                <w:sz w:val="23"/>
                <w:szCs w:val="23"/>
                <w:lang w:eastAsia="fr-FR"/>
              </w:rPr>
              <w:t>Qté/an</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b/>
                <w:bCs/>
                <w:sz w:val="23"/>
                <w:szCs w:val="23"/>
                <w:lang w:eastAsia="fr-FR"/>
              </w:rPr>
            </w:pPr>
            <w:r>
              <w:rPr>
                <w:rFonts w:cs="Segoe UI" w:ascii="Segoe UI" w:hAnsi="Segoe UI"/>
                <w:b/>
                <w:bCs/>
                <w:sz w:val="23"/>
                <w:szCs w:val="23"/>
                <w:lang w:eastAsia="fr-FR"/>
              </w:rPr>
              <w:t>Prix unitaire</w:t>
            </w:r>
          </w:p>
        </w:tc>
        <w:tc>
          <w:tcPr>
            <w:tcW w:w="2097"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b/>
                <w:bCs/>
                <w:sz w:val="23"/>
                <w:szCs w:val="23"/>
                <w:lang w:eastAsia="fr-FR"/>
              </w:rPr>
            </w:pPr>
            <w:r>
              <w:rPr>
                <w:rFonts w:cs="Segoe UI" w:ascii="Segoe UI" w:hAnsi="Segoe UI"/>
                <w:b/>
                <w:bCs/>
                <w:sz w:val="23"/>
                <w:szCs w:val="23"/>
                <w:lang w:eastAsia="fr-FR"/>
              </w:rPr>
              <w:t>Montant</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Vente Oignon</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Kg</w:t>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20 000</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500 F</w:t>
            </w:r>
          </w:p>
        </w:tc>
        <w:tc>
          <w:tcPr>
            <w:tcW w:w="209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10 000 000 F</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Vente Gombo</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Kg</w:t>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8 000</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400 F</w:t>
            </w:r>
          </w:p>
        </w:tc>
        <w:tc>
          <w:tcPr>
            <w:tcW w:w="209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3 200 000 F</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Vente Concombre</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Kg</w:t>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7 500</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300 F</w:t>
            </w:r>
          </w:p>
        </w:tc>
        <w:tc>
          <w:tcPr>
            <w:tcW w:w="209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2 250 000 F</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Vente Carotte</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Kg</w:t>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7 500</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350 F</w:t>
            </w:r>
          </w:p>
        </w:tc>
        <w:tc>
          <w:tcPr>
            <w:tcW w:w="209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2 625 000 F</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Vente Aubergine</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Kg</w:t>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15 000</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300 F</w:t>
            </w:r>
          </w:p>
        </w:tc>
        <w:tc>
          <w:tcPr>
            <w:tcW w:w="209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4 500 000 F</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Vente Pastèque</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Kg</w:t>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25 000</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200 F</w:t>
            </w:r>
          </w:p>
        </w:tc>
        <w:tc>
          <w:tcPr>
            <w:tcW w:w="209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5 000 000 F</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Vente Petit mil</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Kg</w:t>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3 750</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200 F</w:t>
            </w:r>
          </w:p>
        </w:tc>
        <w:tc>
          <w:tcPr>
            <w:tcW w:w="209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750 000 F</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Vente Maïs</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Kg</w:t>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5 000</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200 F</w:t>
            </w:r>
          </w:p>
        </w:tc>
        <w:tc>
          <w:tcPr>
            <w:tcW w:w="209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sz w:val="23"/>
                <w:szCs w:val="23"/>
                <w:lang w:eastAsia="fr-FR"/>
              </w:rPr>
              <w:t>1 000 000 F</w:t>
            </w:r>
          </w:p>
        </w:tc>
      </w:tr>
      <w:tr>
        <w:trPr/>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b/>
                <w:bCs/>
                <w:sz w:val="23"/>
                <w:szCs w:val="23"/>
                <w:lang w:eastAsia="fr-FR"/>
              </w:rPr>
              <w:t>TOTAL</w:t>
            </w:r>
          </w:p>
        </w:tc>
        <w:tc>
          <w:tcPr>
            <w:tcW w:w="106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napToGrid w:val="false"/>
              <w:spacing w:lineRule="atLeast" w:line="375"/>
              <w:rPr>
                <w:rFonts w:ascii="Segoe UI" w:hAnsi="Segoe UI" w:cs="Segoe UI"/>
                <w:sz w:val="23"/>
                <w:szCs w:val="23"/>
                <w:lang w:eastAsia="fr-FR"/>
              </w:rPr>
            </w:pPr>
            <w:r>
              <w:rPr>
                <w:rFonts w:cs="Segoe UI" w:ascii="Segoe UI" w:hAnsi="Segoe UI"/>
                <w:sz w:val="23"/>
                <w:szCs w:val="23"/>
                <w:lang w:eastAsia="fr-FR"/>
              </w:rPr>
            </w:r>
          </w:p>
        </w:tc>
        <w:tc>
          <w:tcPr>
            <w:tcW w:w="15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b/>
                <w:bCs/>
                <w:sz w:val="23"/>
                <w:szCs w:val="23"/>
                <w:lang w:eastAsia="fr-FR"/>
              </w:rPr>
              <w:t>91 750 kg</w:t>
            </w:r>
          </w:p>
        </w:tc>
        <w:tc>
          <w:tcPr>
            <w:tcW w:w="18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uppressAutoHyphens w:val="false"/>
              <w:snapToGrid w:val="false"/>
              <w:spacing w:lineRule="atLeast" w:line="375"/>
              <w:rPr>
                <w:rFonts w:ascii="Segoe UI" w:hAnsi="Segoe UI" w:cs="Segoe UI"/>
                <w:sz w:val="23"/>
                <w:szCs w:val="23"/>
                <w:lang w:eastAsia="fr-FR"/>
              </w:rPr>
            </w:pPr>
            <w:r>
              <w:rPr>
                <w:rFonts w:cs="Segoe UI" w:ascii="Segoe UI" w:hAnsi="Segoe UI"/>
                <w:sz w:val="23"/>
                <w:szCs w:val="23"/>
                <w:lang w:eastAsia="fr-FR"/>
              </w:rPr>
            </w:r>
          </w:p>
        </w:tc>
        <w:tc>
          <w:tcPr>
            <w:tcW w:w="2097"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suppressAutoHyphens w:val="false"/>
              <w:spacing w:lineRule="atLeast" w:line="375"/>
              <w:rPr>
                <w:rFonts w:ascii="Segoe UI" w:hAnsi="Segoe UI" w:cs="Segoe UI"/>
                <w:sz w:val="23"/>
                <w:szCs w:val="23"/>
                <w:lang w:eastAsia="fr-FR"/>
              </w:rPr>
            </w:pPr>
            <w:r>
              <w:rPr>
                <w:rFonts w:cs="Segoe UI" w:ascii="Segoe UI" w:hAnsi="Segoe UI"/>
                <w:b/>
                <w:bCs/>
                <w:sz w:val="23"/>
                <w:szCs w:val="23"/>
                <w:lang w:eastAsia="fr-FR"/>
              </w:rPr>
              <w:t>29 325 000 F CFA</w:t>
            </w:r>
          </w:p>
        </w:tc>
      </w:tr>
    </w:tbl>
    <w:p>
      <w:pPr>
        <w:pStyle w:val="Normal"/>
        <w:shd w:val="clear" w:fill="FFFFFF"/>
        <w:suppressAutoHyphens w:val="false"/>
        <w:spacing w:before="240" w:after="240"/>
        <w:rPr>
          <w:rFonts w:ascii="Segoe UI" w:hAnsi="Segoe UI" w:cs="Segoe UI"/>
          <w:color w:val="0F1115"/>
          <w:lang w:eastAsia="fr-FR"/>
        </w:rPr>
      </w:pPr>
      <w:r>
        <w:rPr>
          <w:rFonts w:cs="Segoe UI" w:ascii="Segoe UI" w:hAnsi="Segoe UI"/>
          <w:i/>
          <w:iCs/>
          <w:color w:val="0F1115"/>
          <w:lang w:eastAsia="fr-FR"/>
        </w:rPr>
        <w:t xml:space="preserve">Hypothèse prudente : 68 % du potentiel, soit </w:t>
      </w:r>
      <w:r>
        <w:rPr>
          <w:rFonts w:cs="Segoe UI" w:ascii="Segoe UI" w:hAnsi="Segoe UI"/>
          <w:b/>
          <w:bCs/>
          <w:i/>
          <w:iCs/>
          <w:color w:val="0F1115"/>
          <w:lang w:eastAsia="fr-FR"/>
        </w:rPr>
        <w:t>20 000 000 F CFA</w:t>
      </w:r>
      <w:r>
        <w:rPr>
          <w:rFonts w:cs="Segoe UI" w:ascii="Segoe UI" w:hAnsi="Segoe UI"/>
          <w:i/>
          <w:iCs/>
          <w:color w:val="0F1115"/>
          <w:lang w:eastAsia="fr-FR"/>
        </w:rPr>
        <w:t xml:space="preserve"> de chiffre d’affaires AN1.</w:t>
      </w:r>
    </w:p>
    <w:p>
      <w:pPr>
        <w:pStyle w:val="Normal"/>
        <w:shd w:val="clear" w:fill="FFFFFF"/>
        <w:suppressAutoHyphens w:val="false"/>
        <w:spacing w:before="240" w:after="240"/>
        <w:rPr>
          <w:rFonts w:ascii="Segoe UI" w:hAnsi="Segoe UI" w:cs="Segoe UI"/>
          <w:color w:val="0F1115"/>
          <w:lang w:eastAsia="fr-FR"/>
        </w:rPr>
      </w:pPr>
      <w:r>
        <w:rPr>
          <w:rFonts w:cs="Segoe UI" w:ascii="Segoe UI" w:hAnsi="Segoe UI"/>
          <w:i/>
          <w:iCs/>
          <w:color w:val="0F1115"/>
          <w:lang w:eastAsia="fr-FR"/>
        </w:rPr>
        <w:t>(Soit environ 57 tonnes de produits maraîchers et 6 tonnes de céréales par an, correspondant à un rendement adapté à la superficie de 5 hectares.)</w:t>
      </w:r>
    </w:p>
    <w:p>
      <w:pPr>
        <w:pStyle w:val="Heading2"/>
        <w:keepLines/>
        <w:numPr>
          <w:ilvl w:val="0"/>
          <w:numId w:val="16"/>
        </w:numPr>
        <w:spacing w:before="120" w:after="120"/>
        <w:ind w:hanging="360" w:left="720" w:right="0"/>
        <w:jc w:val="both"/>
        <w:rPr>
          <w:rFonts w:ascii="Times New Roman" w:hAnsi="Times New Roman" w:cs="Times New Roman"/>
          <w:sz w:val="24"/>
          <w:szCs w:val="24"/>
          <w:lang w:val="fr-CI"/>
        </w:rPr>
      </w:pPr>
      <w:bookmarkStart w:id="15" w:name="__RefHeading___Toc43369_4017987919"/>
      <w:bookmarkEnd w:id="15"/>
      <w:r>
        <w:rPr>
          <w:rFonts w:cs="Times New Roman" w:ascii="Times New Roman" w:hAnsi="Times New Roman"/>
          <w:i w:val="false"/>
          <w:iCs w:val="false"/>
          <w:sz w:val="24"/>
          <w:szCs w:val="24"/>
          <w:lang w:val="fr-CI"/>
        </w:rPr>
        <w:t xml:space="preserve">Le personnel : </w:t>
      </w:r>
      <w:r>
        <w:rPr>
          <w:rFonts w:cs="Times New Roman" w:ascii="Times New Roman" w:hAnsi="Times New Roman"/>
          <w:sz w:val="24"/>
          <w:szCs w:val="24"/>
          <w:lang w:val="fr-CI"/>
        </w:rPr>
        <w:t>(profil et compétences)</w:t>
      </w:r>
    </w:p>
    <w:p>
      <w:pPr>
        <w:pStyle w:val="Normal"/>
        <w:rPr>
          <w:sz w:val="22"/>
          <w:szCs w:val="22"/>
          <w:lang w:val="fr-CI"/>
        </w:rPr>
      </w:pPr>
      <w:r>
        <w:rPr>
          <w:sz w:val="22"/>
          <w:szCs w:val="22"/>
          <w:lang w:val="fr-CI"/>
        </w:rPr>
        <w:t xml:space="preserve">L’entreprise emploie quinze (15) hommes : cinq (5) en permanence (le promoteur, non salarié la première année, l’agronome et trois ouvriers) et dix (10) ouvriers saisonniers (3 mois). </w:t>
      </w:r>
    </w:p>
    <w:tbl>
      <w:tblPr>
        <w:tblW w:w="4750" w:type="pct"/>
        <w:jc w:val="center"/>
        <w:tblInd w:w="0" w:type="dxa"/>
        <w:tblLayout w:type="fixed"/>
        <w:tblCellMar>
          <w:top w:w="0" w:type="dxa"/>
          <w:left w:w="70" w:type="dxa"/>
          <w:bottom w:w="0" w:type="dxa"/>
          <w:right w:w="70" w:type="dxa"/>
        </w:tblCellMar>
      </w:tblPr>
      <w:tblGrid>
        <w:gridCol w:w="2549"/>
        <w:gridCol w:w="963"/>
        <w:gridCol w:w="1002"/>
        <w:gridCol w:w="2269"/>
        <w:gridCol w:w="1072"/>
        <w:gridCol w:w="1302"/>
      </w:tblGrid>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Cambria" w:hAnsi="Cambria" w:cs="Arial"/>
                <w:b/>
                <w:bCs/>
                <w:sz w:val="22"/>
                <w:szCs w:val="22"/>
                <w:lang w:val="fr-ML" w:eastAsia="fr-ML"/>
              </w:rPr>
            </w:pPr>
            <w:r>
              <w:rPr>
                <w:rFonts w:cs="Arial" w:ascii="Cambria" w:hAnsi="Cambria"/>
                <w:b/>
                <w:bCs/>
                <w:sz w:val="22"/>
                <w:szCs w:val="22"/>
              </w:rPr>
              <w:t>Noms et Prénoms</w:t>
            </w:r>
          </w:p>
        </w:tc>
        <w:tc>
          <w:tcPr>
            <w:tcW w:w="9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Sexe</w:t>
            </w:r>
          </w:p>
        </w:tc>
        <w:tc>
          <w:tcPr>
            <w:tcW w:w="10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Nombre</w:t>
            </w:r>
          </w:p>
        </w:tc>
        <w:tc>
          <w:tcPr>
            <w:tcW w:w="22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Poste</w:t>
            </w:r>
          </w:p>
        </w:tc>
        <w:tc>
          <w:tcPr>
            <w:tcW w:w="107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Salaire mensuel</w:t>
            </w:r>
          </w:p>
        </w:tc>
        <w:tc>
          <w:tcPr>
            <w:tcW w:w="13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Montant annuel</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BANOU</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Gérant (promoteur)</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sz w:val="22"/>
                <w:szCs w:val="22"/>
                <w:lang w:val="fr-CA" w:eastAsia="fr-CA"/>
              </w:rPr>
              <w:t>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sz w:val="22"/>
                <w:szCs w:val="22"/>
                <w:lang w:val="fr-CA" w:eastAsia="fr-CA"/>
              </w:rPr>
            </w:pPr>
            <w:r>
              <w:rPr>
                <w:sz w:val="22"/>
                <w:szCs w:val="22"/>
                <w:lang w:val="fr-CA" w:eastAsia="fr-CA"/>
              </w:rPr>
              <w:t>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Agronome</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Responsable production</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22"/>
                <w:szCs w:val="22"/>
                <w:lang w:val="fr-CA"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Ouvriers permanents</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ria" w:hAnsi="Cambria" w:cs="Arial"/>
                <w:sz w:val="22"/>
                <w:szCs w:val="22"/>
                <w:lang w:eastAsia="fr-CA"/>
              </w:rPr>
            </w:pPr>
            <w:r>
              <w:rPr>
                <w:rFonts w:cs="Arial" w:ascii="Cambria" w:hAnsi="Cambria"/>
                <w:sz w:val="22"/>
                <w:szCs w:val="22"/>
                <w:lang w:eastAsia="fr-CA"/>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3</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Aide-production</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lang w:eastAsia="fr-CA"/>
              </w:rPr>
            </w:pPr>
            <w:r>
              <w:rPr>
                <w:lang w:eastAsia="fr-CA"/>
              </w:rPr>
              <w:t>1 800 000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Ouvriers saisonniers</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10</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Aide-production (3 mois)</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25 000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pPr>
            <w:r>
              <w:rPr/>
              <w:t>750 000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both"/>
              <w:rPr>
                <w:rFonts w:ascii="Cambria" w:hAnsi="Cambria" w:cs="Arial"/>
                <w:b/>
                <w:bCs/>
                <w:sz w:val="22"/>
                <w:szCs w:val="22"/>
              </w:rPr>
            </w:pPr>
            <w:r>
              <w:rPr>
                <w:rFonts w:cs="Arial" w:ascii="Cambria" w:hAnsi="Cambria"/>
                <w:b/>
                <w:bCs/>
                <w:sz w:val="22"/>
                <w:szCs w:val="22"/>
              </w:rPr>
              <w:t>Total</w:t>
            </w:r>
          </w:p>
        </w:tc>
        <w:tc>
          <w:tcPr>
            <w:tcW w:w="963"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
          </w:p>
        </w:tc>
        <w:tc>
          <w:tcPr>
            <w:tcW w:w="10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15</w:t>
            </w:r>
          </w:p>
        </w:tc>
        <w:tc>
          <w:tcPr>
            <w:tcW w:w="2269" w:type="dxa"/>
            <w:tcBorders>
              <w:top w:val="single" w:sz="4" w:space="0" w:color="000000"/>
              <w:left w:val="single" w:sz="4" w:space="0" w:color="000000"/>
              <w:bottom w:val="single" w:sz="4" w:space="0" w:color="000000"/>
              <w:right w:val="single" w:sz="4" w:space="0" w:color="000000"/>
            </w:tcBorders>
            <w:shd w:fill="C4BD97" w:val="clear"/>
          </w:tcPr>
          <w:p>
            <w:pPr>
              <w:pStyle w:val="Normal"/>
              <w:snapToGrid w:val="false"/>
              <w:jc w:val="center"/>
              <w:rPr>
                <w:rFonts w:ascii="Cambria" w:hAnsi="Cambria" w:cs="Arial"/>
                <w:b/>
                <w:bCs/>
                <w:sz w:val="22"/>
                <w:szCs w:val="22"/>
              </w:rPr>
            </w:pPr>
            <w:r>
              <w:rPr>
                <w:rFonts w:cs="Arial" w:ascii="Cambria" w:hAnsi="Cambria"/>
                <w:b/>
                <w:bCs/>
                <w:sz w:val="22"/>
                <w:szCs w:val="22"/>
              </w:rPr>
            </w:r>
          </w:p>
        </w:tc>
        <w:tc>
          <w:tcPr>
            <w:tcW w:w="107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snapToGrid w:val="false"/>
              <w:jc w:val="center"/>
              <w:rPr>
                <w:rFonts w:ascii="Cambria" w:hAnsi="Cambria" w:cs="Arial"/>
                <w:b/>
                <w:bCs/>
                <w:sz w:val="22"/>
                <w:szCs w:val="22"/>
              </w:rPr>
            </w:pPr>
            <w:r>
              <w:rPr>
                <w:rFonts w:cs="Arial" w:ascii="Cambria" w:hAnsi="Cambria"/>
                <w:b/>
                <w:bCs/>
                <w:sz w:val="22"/>
                <w:szCs w:val="22"/>
              </w:rPr>
              <w:t>125 000</w:t>
            </w:r>
          </w:p>
        </w:tc>
        <w:tc>
          <w:tcPr>
            <w:tcW w:w="13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snapToGrid w:val="false"/>
              <w:jc w:val="center"/>
              <w:rPr>
                <w:rFonts w:ascii="Cambria" w:hAnsi="Cambria" w:cs="Arial"/>
                <w:b/>
                <w:bCs/>
                <w:sz w:val="22"/>
                <w:szCs w:val="22"/>
              </w:rPr>
            </w:pPr>
            <w:r>
              <w:rPr>
                <w:rFonts w:cs="Arial" w:ascii="Cambria" w:hAnsi="Cambria"/>
                <w:b/>
                <w:bCs/>
                <w:sz w:val="22"/>
                <w:szCs w:val="22"/>
              </w:rPr>
              <w:t>3 150 000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both"/>
              <w:rPr>
                <w:rFonts w:ascii="Cambria" w:hAnsi="Cambria" w:cs="Arial"/>
                <w:b/>
                <w:bCs/>
                <w:i/>
                <w:i/>
                <w:iCs/>
                <w:sz w:val="22"/>
                <w:szCs w:val="22"/>
              </w:rPr>
            </w:pPr>
            <w:r>
              <w:rPr>
                <w:rFonts w:cs="Arial" w:ascii="Cambria" w:hAnsi="Cambria"/>
                <w:b/>
                <w:bCs/>
                <w:i/>
                <w:iCs/>
                <w:sz w:val="22"/>
                <w:szCs w:val="22"/>
              </w:rPr>
              <w:t>Frais du personnel</w:t>
            </w:r>
          </w:p>
        </w:tc>
        <w:tc>
          <w:tcPr>
            <w:tcW w:w="963"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2269" w:type="dxa"/>
            <w:tcBorders>
              <w:top w:val="single" w:sz="4" w:space="0" w:color="000000"/>
              <w:left w:val="single" w:sz="4" w:space="0" w:color="000000"/>
              <w:bottom w:val="single" w:sz="4" w:space="0" w:color="000000"/>
              <w:right w:val="single" w:sz="4" w:space="0" w:color="000000"/>
            </w:tcBorders>
            <w:shd w:fill="8DB4E2" w:val="clear"/>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7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t>125 000</w:t>
            </w:r>
          </w:p>
        </w:tc>
        <w:tc>
          <w:tcPr>
            <w:tcW w:w="13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t>3 150 000</w:t>
            </w:r>
          </w:p>
        </w:tc>
      </w:tr>
    </w:tbl>
    <w:p>
      <w:pPr>
        <w:pStyle w:val="Heading1"/>
        <w:keepLines/>
        <w:numPr>
          <w:ilvl w:val="0"/>
          <w:numId w:val="5"/>
        </w:numPr>
        <w:spacing w:before="240" w:after="120"/>
        <w:ind w:hanging="431" w:left="431" w:right="0"/>
        <w:jc w:val="both"/>
        <w:rPr>
          <w:rFonts w:ascii="Times New Roman" w:hAnsi="Times New Roman" w:cs="Times New Roman"/>
          <w:caps/>
          <w:color w:val="166B7F"/>
          <w:kern w:val="0"/>
          <w:lang w:eastAsia="en-US"/>
        </w:rPr>
      </w:pPr>
      <w:bookmarkStart w:id="16" w:name="__RefHeading___Toc234831713"/>
      <w:bookmarkEnd w:id="16"/>
      <w:r>
        <w:rPr>
          <w:rFonts w:cs="Times New Roman" w:ascii="Times New Roman" w:hAnsi="Times New Roman"/>
          <w:caps/>
          <w:color w:val="166B7F"/>
          <w:kern w:val="0"/>
          <w:lang w:eastAsia="en-US"/>
        </w:rPr>
        <w:t>ÉTUDE ÉCONOMIQUE ET FINANCIÈRE</w:t>
      </w:r>
    </w:p>
    <w:p>
      <w:pPr>
        <w:pStyle w:val="Heading2"/>
        <w:keepLines/>
        <w:numPr>
          <w:ilvl w:val="1"/>
          <w:numId w:val="5"/>
        </w:numPr>
        <w:spacing w:before="120" w:after="120"/>
        <w:ind w:hanging="491" w:left="851" w:right="0"/>
        <w:jc w:val="both"/>
        <w:rPr>
          <w:rFonts w:ascii="Times New Roman" w:hAnsi="Times New Roman" w:cs="Times New Roman"/>
          <w:i w:val="false"/>
          <w:i w:val="false"/>
          <w:iCs w:val="false"/>
          <w:lang w:val="fr-CI"/>
        </w:rPr>
      </w:pPr>
      <w:bookmarkStart w:id="17" w:name="__RefHeading___Toc234831714"/>
      <w:bookmarkEnd w:id="17"/>
      <w:r>
        <w:rPr>
          <w:rFonts w:cs="Times New Roman" w:ascii="Times New Roman" w:hAnsi="Times New Roman"/>
          <w:i w:val="false"/>
          <w:iCs w:val="false"/>
          <w:lang w:val="fr-CI"/>
        </w:rPr>
        <w:t xml:space="preserve">Hypothèses de base </w:t>
      </w:r>
    </w:p>
    <w:p>
      <w:pPr>
        <w:pStyle w:val="Heading3"/>
        <w:numPr>
          <w:ilvl w:val="2"/>
          <w:numId w:val="5"/>
        </w:numPr>
        <w:ind w:hanging="720" w:left="3195" w:right="0"/>
        <w:rPr>
          <w:rFonts w:ascii="Times New Roman" w:hAnsi="Times New Roman" w:cs="Times New Roman"/>
          <w:sz w:val="24"/>
          <w:szCs w:val="24"/>
        </w:rPr>
      </w:pPr>
      <w:bookmarkStart w:id="18" w:name="__RefHeading___Toc234831715"/>
      <w:bookmarkEnd w:id="18"/>
      <w:r>
        <w:rPr>
          <w:rFonts w:cs="Times New Roman" w:ascii="Times New Roman" w:hAnsi="Times New Roman"/>
          <w:sz w:val="24"/>
          <w:szCs w:val="24"/>
        </w:rPr>
        <w:t>Recettes prévisionnelles annuelles</w:t>
      </w:r>
    </w:p>
    <w:p>
      <w:pPr>
        <w:pStyle w:val="Normal"/>
        <w:rPr/>
      </w:pPr>
      <w:r>
        <w:rPr>
          <w:sz w:val="22"/>
          <w:szCs w:val="22"/>
        </w:rPr>
        <w:t>Les recettes prévisionnelles annuelles sont croissantes sur les cinq années. Elles sont décrites</w:t>
      </w:r>
      <w:r>
        <w:rPr/>
        <w:t xml:space="preserve"> dans le tableau ci-dessous :</w:t>
      </w:r>
    </w:p>
    <w:p>
      <w:pPr>
        <w:pStyle w:val="Normal"/>
        <w:rPr/>
      </w:pPr>
      <w:r>
        <w:rPr/>
      </w:r>
    </w:p>
    <w:tbl>
      <w:tblPr>
        <w:tblW w:w="9791" w:type="dxa"/>
        <w:jc w:val="left"/>
        <w:tblInd w:w="60" w:type="dxa"/>
        <w:tblLayout w:type="fixed"/>
        <w:tblCellMar>
          <w:top w:w="0" w:type="dxa"/>
          <w:left w:w="70" w:type="dxa"/>
          <w:bottom w:w="0" w:type="dxa"/>
          <w:right w:w="70" w:type="dxa"/>
        </w:tblCellMar>
      </w:tblPr>
      <w:tblGrid>
        <w:gridCol w:w="3271"/>
        <w:gridCol w:w="1274"/>
        <w:gridCol w:w="1276"/>
        <w:gridCol w:w="1277"/>
        <w:gridCol w:w="1276"/>
        <w:gridCol w:w="1416"/>
      </w:tblGrid>
      <w:tr>
        <w:trPr>
          <w:trHeight w:val="360" w:hRule="atLeast"/>
        </w:trPr>
        <w:tc>
          <w:tcPr>
            <w:tcW w:w="3271"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8"/>
                <w:szCs w:val="28"/>
              </w:rPr>
            </w:pPr>
            <w:r>
              <w:rPr>
                <w:rFonts w:cs="Calibri" w:ascii="Cambria" w:hAnsi="Cambria"/>
                <w:b/>
                <w:bCs/>
                <w:i/>
                <w:iCs/>
                <w:color w:val="FFFFFF"/>
                <w:sz w:val="28"/>
                <w:szCs w:val="28"/>
              </w:rPr>
              <w:t>Recettes prévisionnelles</w:t>
            </w:r>
          </w:p>
        </w:tc>
        <w:tc>
          <w:tcPr>
            <w:tcW w:w="1274"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7"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41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r>
      <w:tr>
        <w:trPr>
          <w:trHeight w:val="285" w:hRule="atLeast"/>
        </w:trPr>
        <w:tc>
          <w:tcPr>
            <w:tcW w:w="3271" w:type="dxa"/>
            <w:tcBorders/>
            <w:vAlign w:val="bottom"/>
          </w:tcPr>
          <w:p>
            <w:pPr>
              <w:pStyle w:val="Normal"/>
              <w:rPr>
                <w:rFonts w:ascii="Cambria" w:hAnsi="Cambria" w:cs="Calibri"/>
                <w:b/>
                <w:bCs/>
                <w:i/>
                <w:i/>
                <w:iCs/>
                <w:sz w:val="20"/>
                <w:szCs w:val="20"/>
              </w:rPr>
            </w:pPr>
            <w:r>
              <w:rPr>
                <w:rFonts w:cs="Calibri" w:ascii="Cambria" w:hAnsi="Cambria"/>
                <w:b/>
                <w:bCs/>
                <w:i/>
                <w:iCs/>
                <w:sz w:val="20"/>
                <w:szCs w:val="20"/>
              </w:rPr>
              <w:t>Taux de croissance</w:t>
            </w:r>
          </w:p>
        </w:tc>
        <w:tc>
          <w:tcPr>
            <w:tcW w:w="1274"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0%</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7"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41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r>
      <w:tr>
        <w:trPr>
          <w:trHeight w:val="315" w:hRule="atLeast"/>
        </w:trPr>
        <w:tc>
          <w:tcPr>
            <w:tcW w:w="3271"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rPr>
            </w:pPr>
            <w:r>
              <w:rPr>
                <w:rFonts w:cs="Calibri" w:ascii="Cambria" w:hAnsi="Cambria"/>
                <w:b/>
                <w:bCs/>
                <w:i/>
                <w:iCs/>
              </w:rPr>
              <w:t>Désignations/Années</w:t>
            </w:r>
          </w:p>
        </w:tc>
        <w:tc>
          <w:tcPr>
            <w:tcW w:w="1274"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AN1</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AN2</w:t>
            </w:r>
          </w:p>
        </w:tc>
        <w:tc>
          <w:tcPr>
            <w:tcW w:w="1277"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AN3</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AN4</w:t>
            </w:r>
          </w:p>
        </w:tc>
        <w:tc>
          <w:tcPr>
            <w:tcW w:w="141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AN5</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oignon</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6 820 000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6 956 400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7 095 528</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7 237 439</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7 382 187</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gombo</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2 182 400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2 226 048</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2 270 569</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2 315 980</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2 362 300</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concombre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1 534 500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1 565 190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1 596 494</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1 628 424</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1 660 992</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carotte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1 790 250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1 826 055</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1 862 576</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1 899 828</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1 937 824</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aubergine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3 069 000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3 130 380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3 192 988</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3 256 847</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3 321 984</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pastèque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3 410 000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3 478 200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3 547 764</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3 618 719</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3 691 094</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petit mil</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511 600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521 832</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532 269</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542 914</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553 772</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maïs</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682 000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695 640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709 553</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723 744</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738 219</w:t>
            </w:r>
          </w:p>
        </w:tc>
      </w:tr>
      <w:tr>
        <w:trPr>
          <w:trHeight w:val="285" w:hRule="atLeast"/>
        </w:trPr>
        <w:tc>
          <w:tcPr>
            <w:tcW w:w="3271"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recettes</w:t>
            </w:r>
          </w:p>
        </w:tc>
        <w:tc>
          <w:tcPr>
            <w:tcW w:w="1274"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19 999 750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20 399 745</w:t>
            </w:r>
          </w:p>
        </w:tc>
        <w:tc>
          <w:tcPr>
            <w:tcW w:w="1277"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20 807 740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21 223 895</w:t>
            </w:r>
          </w:p>
        </w:tc>
        <w:tc>
          <w:tcPr>
            <w:tcW w:w="141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21 648 373</w:t>
            </w:r>
          </w:p>
        </w:tc>
      </w:tr>
    </w:tbl>
    <w:p>
      <w:pPr>
        <w:pStyle w:val="Heading3"/>
        <w:numPr>
          <w:ilvl w:val="2"/>
          <w:numId w:val="5"/>
        </w:numPr>
        <w:spacing w:before="0" w:after="60"/>
        <w:ind w:hanging="720" w:left="3195" w:right="0"/>
        <w:rPr>
          <w:rFonts w:ascii="Times New Roman" w:hAnsi="Times New Roman" w:cs="Times New Roman"/>
          <w:sz w:val="24"/>
          <w:szCs w:val="24"/>
        </w:rPr>
      </w:pPr>
      <w:bookmarkStart w:id="19" w:name="__RefHeading___Toc234831716"/>
      <w:bookmarkEnd w:id="19"/>
      <w:r>
        <w:rPr>
          <w:rFonts w:cs="Times New Roman" w:ascii="Times New Roman" w:hAnsi="Times New Roman"/>
          <w:sz w:val="24"/>
          <w:szCs w:val="24"/>
        </w:rPr>
        <w:t xml:space="preserve">Données prévisionnelles sur les achats </w:t>
      </w:r>
    </w:p>
    <w:p>
      <w:pPr>
        <w:pStyle w:val="Heading3"/>
        <w:tabs>
          <w:tab w:val="clear" w:pos="0"/>
        </w:tabs>
        <w:spacing w:before="0" w:after="60"/>
        <w:ind w:hanging="720" w:left="720" w:right="0"/>
        <w:rPr>
          <w:rFonts w:ascii="Times New Roman" w:hAnsi="Times New Roman" w:cs="Times New Roman"/>
          <w:sz w:val="24"/>
          <w:szCs w:val="24"/>
        </w:rPr>
      </w:pPr>
      <w:bookmarkStart w:id="20" w:name="__RefHeading___Toc234831717"/>
      <w:bookmarkEnd w:id="20"/>
      <w:r>
        <w:rPr>
          <w:rFonts w:cs="Times New Roman" w:ascii="Times New Roman" w:hAnsi="Times New Roman"/>
          <w:sz w:val="24"/>
          <w:szCs w:val="24"/>
        </w:rPr>
        <w:t>Achats de matières premières</w:t>
      </w:r>
    </w:p>
    <w:p>
      <w:pPr>
        <w:pStyle w:val="Normal"/>
        <w:jc w:val="both"/>
        <w:rPr>
          <w:iCs/>
          <w:sz w:val="22"/>
          <w:szCs w:val="22"/>
        </w:rPr>
      </w:pPr>
      <w:r>
        <w:rPr>
          <w:iCs/>
          <w:sz w:val="22"/>
          <w:szCs w:val="22"/>
        </w:rPr>
        <w:t>Les achats de matières premières ont été évalués en tenant compte des quantités qui seront utilisées par an. Les projections d’achat sont les suivantes :</w:t>
      </w:r>
    </w:p>
    <w:p>
      <w:pPr>
        <w:pStyle w:val="Normal"/>
        <w:jc w:val="both"/>
        <w:rPr>
          <w:b/>
          <w:bCs/>
          <w:iCs/>
          <w:sz w:val="22"/>
          <w:szCs w:val="22"/>
          <w:lang w:eastAsia="fr-CA"/>
        </w:rPr>
      </w:pPr>
      <w:r>
        <w:rPr>
          <w:b/>
          <w:bCs/>
          <w:iCs/>
          <w:sz w:val="22"/>
          <w:szCs w:val="22"/>
          <w:lang w:eastAsia="fr-CA"/>
        </w:rPr>
        <w:t>ACHAT DE MATIERES PREMIERES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Semences maraîchères (oignon, gombo, concombre, carotte, aubergine, pastèque)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1 500 000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1 500 000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Semences céréalières (petit mil, maïs)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500 000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Engrais NPK + Urée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100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2 500 000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Fumure organique / compost</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Tonne</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50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15 000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750 000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Produits phytosanitaires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1 200 000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1 200 000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6 450 000</w:t>
            </w:r>
          </w:p>
        </w:tc>
      </w:tr>
    </w:tbl>
    <w:p>
      <w:pPr>
        <w:pStyle w:val="Normal"/>
        <w:jc w:val="both"/>
        <w:rPr>
          <w:b/>
          <w:bCs/>
          <w:iCs/>
          <w:sz w:val="22"/>
          <w:szCs w:val="22"/>
          <w:lang w:eastAsia="fr-CA"/>
        </w:rPr>
      </w:pPr>
      <w:r>
        <w:rPr>
          <w:b/>
          <w:bCs/>
          <w:iCs/>
          <w:sz w:val="22"/>
          <w:szCs w:val="22"/>
          <w:lang w:eastAsia="fr-CA"/>
        </w:rPr>
        <w:t>AUTRES ACHATS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Carburant / énergie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800 000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800 000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Emballages (sacs, caisses)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400 000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400 000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Eau d'irrigation</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300 000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1 500 000</w:t>
            </w:r>
          </w:p>
        </w:tc>
      </w:tr>
    </w:tbl>
    <w:p>
      <w:pPr>
        <w:pStyle w:val="Heading3"/>
        <w:numPr>
          <w:ilvl w:val="2"/>
          <w:numId w:val="5"/>
        </w:numPr>
        <w:ind w:hanging="720" w:left="3195" w:right="0"/>
        <w:rPr>
          <w:rFonts w:ascii="Times New Roman" w:hAnsi="Times New Roman" w:cs="Times New Roman"/>
          <w:sz w:val="24"/>
          <w:szCs w:val="24"/>
        </w:rPr>
      </w:pPr>
      <w:bookmarkStart w:id="21" w:name="__RefHeading___Toc234831718"/>
      <w:bookmarkEnd w:id="21"/>
      <w:r>
        <w:rPr>
          <w:rFonts w:cs="Times New Roman" w:ascii="Times New Roman" w:hAnsi="Times New Roman"/>
          <w:sz w:val="24"/>
          <w:szCs w:val="24"/>
        </w:rPr>
        <w:t>Frais Généraux</w:t>
      </w:r>
    </w:p>
    <w:p>
      <w:pPr>
        <w:pStyle w:val="Normal"/>
        <w:rPr>
          <w:sz w:val="22"/>
          <w:szCs w:val="22"/>
        </w:rPr>
      </w:pPr>
      <w:r>
        <w:rPr>
          <w:sz w:val="22"/>
          <w:szCs w:val="22"/>
        </w:rPr>
        <w:t>Les frais généraux de l’entreprise portent sur les éléments qui sont : transports/déplacements et communication/publicité. Le montant est évalué à 800 000 F durant toute l’année.</w:t>
      </w:r>
    </w:p>
    <w:p>
      <w:pPr>
        <w:pStyle w:val="Normal"/>
        <w:rPr>
          <w:b/>
          <w:bCs/>
          <w:sz w:val="22"/>
          <w:szCs w:val="22"/>
          <w:lang w:eastAsia="fr-CA"/>
        </w:rPr>
      </w:pPr>
      <w:r>
        <w:rPr>
          <w:b/>
          <w:bCs/>
          <w:sz w:val="22"/>
          <w:szCs w:val="22"/>
          <w:lang w:eastAsia="fr-CA"/>
        </w:rPr>
        <w:t>Frais généraux :</w:t>
      </w:r>
    </w:p>
    <w:tbl>
      <w:tblPr>
        <w:tblW w:w="9828" w:type="dxa"/>
        <w:jc w:val="center"/>
        <w:tblInd w:w="0" w:type="dxa"/>
        <w:tblLayout w:type="fixed"/>
        <w:tblCellMar>
          <w:top w:w="0" w:type="dxa"/>
          <w:left w:w="70" w:type="dxa"/>
          <w:bottom w:w="0" w:type="dxa"/>
          <w:right w:w="70" w:type="dxa"/>
        </w:tblCellMar>
      </w:tblPr>
      <w:tblGrid>
        <w:gridCol w:w="3546"/>
        <w:gridCol w:w="920"/>
        <w:gridCol w:w="1545"/>
        <w:gridCol w:w="1392"/>
        <w:gridCol w:w="1069"/>
        <w:gridCol w:w="1355"/>
      </w:tblGrid>
      <w:tr>
        <w:trPr>
          <w:trHeight w:val="573" w:hRule="atLeast"/>
        </w:trPr>
        <w:tc>
          <w:tcPr>
            <w:tcW w:w="3546" w:type="dxa"/>
            <w:tcBorders>
              <w:top w:val="single" w:sz="8" w:space="0" w:color="000000"/>
              <w:left w:val="single" w:sz="8" w:space="0" w:color="000000"/>
              <w:bottom w:val="single" w:sz="8" w:space="0" w:color="000000"/>
              <w:right w:val="single" w:sz="4" w:space="0" w:color="000000"/>
            </w:tcBorders>
            <w:shd w:fill="C65911" w:val="clear"/>
            <w:vAlign w:val="center"/>
          </w:tcPr>
          <w:p>
            <w:pPr>
              <w:pStyle w:val="Normal"/>
              <w:rPr>
                <w:b/>
                <w:bCs/>
                <w:color w:val="FFFFFF"/>
                <w:sz w:val="22"/>
                <w:szCs w:val="22"/>
                <w:lang w:eastAsia="fr-CA"/>
              </w:rPr>
            </w:pPr>
            <w:r>
              <w:rPr>
                <w:b/>
                <w:bCs/>
                <w:color w:val="FFFFFF"/>
                <w:sz w:val="22"/>
                <w:szCs w:val="22"/>
                <w:lang w:eastAsia="fr-CA"/>
              </w:rPr>
              <w:t>Désignation</w:t>
            </w:r>
          </w:p>
        </w:tc>
        <w:tc>
          <w:tcPr>
            <w:tcW w:w="920"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Unité</w:t>
            </w:r>
          </w:p>
        </w:tc>
        <w:tc>
          <w:tcPr>
            <w:tcW w:w="1545"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Qté/nbre/mois</w:t>
            </w:r>
          </w:p>
        </w:tc>
        <w:tc>
          <w:tcPr>
            <w:tcW w:w="1392"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Qté/nbre/an</w:t>
            </w:r>
          </w:p>
        </w:tc>
        <w:tc>
          <w:tcPr>
            <w:tcW w:w="1069"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Prix unitaire</w:t>
            </w:r>
          </w:p>
        </w:tc>
        <w:tc>
          <w:tcPr>
            <w:tcW w:w="1355" w:type="dxa"/>
            <w:tcBorders>
              <w:top w:val="single" w:sz="8" w:space="0" w:color="000000"/>
              <w:right w:val="single" w:sz="8"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Montant</w:t>
              <w:br/>
              <w:t xml:space="preserve"> (F.CFA)</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Transports / déplacements</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50 000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600 000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Communications / publicité</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16 667</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200 000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Maintenance</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0</w:t>
            </w:r>
          </w:p>
        </w:tc>
      </w:tr>
      <w:tr>
        <w:trPr>
          <w:trHeight w:val="295" w:hRule="atLeast"/>
        </w:trPr>
        <w:tc>
          <w:tcPr>
            <w:tcW w:w="3546" w:type="dxa"/>
            <w:tcBorders>
              <w:top w:val="single" w:sz="4" w:space="0" w:color="000000"/>
              <w:left w:val="single" w:sz="4" w:space="0" w:color="000000"/>
              <w:bottom w:val="single" w:sz="8" w:space="0" w:color="000000"/>
              <w:right w:val="single" w:sz="4" w:space="0" w:color="000000"/>
            </w:tcBorders>
            <w:shd w:fill="ACB9CA" w:val="clear"/>
            <w:vAlign w:val="center"/>
          </w:tcPr>
          <w:p>
            <w:pPr>
              <w:pStyle w:val="Normal"/>
              <w:jc w:val="center"/>
              <w:rPr>
                <w:b/>
                <w:bCs/>
                <w:sz w:val="22"/>
                <w:szCs w:val="22"/>
                <w:lang w:eastAsia="fr-CA"/>
              </w:rPr>
            </w:pPr>
            <w:r>
              <w:rPr>
                <w:b/>
                <w:bCs/>
                <w:sz w:val="22"/>
                <w:szCs w:val="22"/>
                <w:lang w:eastAsia="fr-CA"/>
              </w:rPr>
              <w:t>TOTAL</w:t>
            </w:r>
          </w:p>
        </w:tc>
        <w:tc>
          <w:tcPr>
            <w:tcW w:w="920"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545"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92"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069"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55" w:type="dxa"/>
            <w:tcBorders>
              <w:bottom w:val="single" w:sz="8" w:space="0" w:color="000000"/>
              <w:right w:val="single" w:sz="4" w:space="0" w:color="000000"/>
            </w:tcBorders>
            <w:shd w:fill="ACB9CA" w:val="clear"/>
            <w:vAlign w:val="center"/>
          </w:tcPr>
          <w:p>
            <w:pPr>
              <w:pStyle w:val="Normal"/>
              <w:jc w:val="center"/>
              <w:rPr>
                <w:sz w:val="22"/>
                <w:szCs w:val="22"/>
                <w:lang w:eastAsia="fr-CA"/>
              </w:rPr>
            </w:pPr>
            <w:r>
              <w:rPr>
                <w:sz w:val="22"/>
                <w:szCs w:val="22"/>
                <w:lang w:eastAsia="fr-CA"/>
              </w:rPr>
              <w:t>800 000</w:t>
            </w:r>
          </w:p>
        </w:tc>
      </w:tr>
    </w:tbl>
    <w:p>
      <w:pPr>
        <w:pStyle w:val="Heading3"/>
        <w:numPr>
          <w:ilvl w:val="2"/>
          <w:numId w:val="5"/>
        </w:numPr>
        <w:ind w:hanging="720" w:left="3195" w:right="0"/>
        <w:rPr>
          <w:rFonts w:ascii="Times New Roman" w:hAnsi="Times New Roman" w:cs="Times New Roman"/>
          <w:sz w:val="24"/>
          <w:szCs w:val="24"/>
        </w:rPr>
      </w:pPr>
      <w:bookmarkStart w:id="22" w:name="__RefHeading___Toc234831719"/>
      <w:bookmarkEnd w:id="22"/>
      <w:r>
        <w:rPr>
          <w:rFonts w:cs="Times New Roman" w:ascii="Times New Roman" w:hAnsi="Times New Roman"/>
          <w:sz w:val="24"/>
          <w:szCs w:val="24"/>
        </w:rPr>
        <w:t>Dotations aux amortissements</w:t>
      </w:r>
    </w:p>
    <w:p>
      <w:pPr>
        <w:pStyle w:val="Normal"/>
        <w:spacing w:before="120" w:after="0"/>
        <w:jc w:val="both"/>
        <w:rPr>
          <w:iCs/>
          <w:sz w:val="22"/>
          <w:szCs w:val="22"/>
        </w:rPr>
      </w:pPr>
      <w:r>
        <w:rPr>
          <w:iCs/>
          <w:sz w:val="22"/>
          <w:szCs w:val="22"/>
        </w:rPr>
        <w:t>Les dotations aux amortissements sont calculées dans le tableau ci-dessous sur les cinq prochaines années.</w:t>
      </w:r>
    </w:p>
    <w:tbl>
      <w:tblPr>
        <w:tblW w:w="9644" w:type="dxa"/>
        <w:jc w:val="left"/>
        <w:tblInd w:w="65" w:type="dxa"/>
        <w:tblLayout w:type="fixed"/>
        <w:tblCellMar>
          <w:top w:w="0" w:type="dxa"/>
          <w:left w:w="70" w:type="dxa"/>
          <w:bottom w:w="0" w:type="dxa"/>
          <w:right w:w="70" w:type="dxa"/>
        </w:tblCellMar>
      </w:tblPr>
      <w:tblGrid>
        <w:gridCol w:w="2511"/>
        <w:gridCol w:w="1005"/>
        <w:gridCol w:w="1105"/>
        <w:gridCol w:w="1004"/>
        <w:gridCol w:w="1005"/>
        <w:gridCol w:w="1005"/>
        <w:gridCol w:w="1004"/>
        <w:gridCol w:w="1003"/>
      </w:tblGrid>
      <w:tr>
        <w:trPr>
          <w:trHeight w:val="315" w:hRule="atLeast"/>
        </w:trPr>
        <w:tc>
          <w:tcPr>
            <w:tcW w:w="2511"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Dotation aux amortissements</w:t>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1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3"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15" w:hRule="atLeast"/>
        </w:trPr>
        <w:tc>
          <w:tcPr>
            <w:tcW w:w="2511"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Désignations/Années</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Montant</w:t>
            </w:r>
          </w:p>
        </w:tc>
        <w:tc>
          <w:tcPr>
            <w:tcW w:w="11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Taux</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AN1</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AN2</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AN3</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AN4</w:t>
            </w:r>
          </w:p>
        </w:tc>
        <w:tc>
          <w:tcPr>
            <w:tcW w:w="1003"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AN5</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d'établissement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100,00%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200 000</w:t>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2.1 Constructions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3"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2.2 Agencement-Aménagement-Installations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Forage + pompe solaire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3 500 000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875 000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875 000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Bassin de rétention 100 m³</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1 000 000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250 000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250 000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Système goutte-à-goutte (5 ha)</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5 000 000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1 250 000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1 250 000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1 250 000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1 250 000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Clôture 5 ha (grillage)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3 000 000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Aménagement du terrain (labour, billons)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1 500 000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375 000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375 000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2.3 Mobiliers et matériels</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2.4 Equipements de production</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Pulvérisateurs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25 000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Brouettes + Houes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325 000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65 000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Dabas / Pelles (1 lot)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Caisses de récolte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30 000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Balances, petit matériel et séchoirs artisanaux</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160 000</w:t>
            </w:r>
          </w:p>
        </w:tc>
      </w:tr>
      <w:tr>
        <w:trPr>
          <w:trHeight w:val="285" w:hRule="atLeast"/>
        </w:trPr>
        <w:tc>
          <w:tcPr>
            <w:tcW w:w="2511"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15 700 000</w:t>
            </w:r>
          </w:p>
        </w:tc>
        <w:tc>
          <w:tcPr>
            <w:tcW w:w="1105" w:type="dxa"/>
            <w:tcBorders>
              <w:bottom w:val="single" w:sz="4" w:space="0" w:color="000000"/>
              <w:right w:val="single" w:sz="4" w:space="0" w:color="000000"/>
            </w:tcBorders>
            <w:shd w:fill="F4C9C8" w:val="clear"/>
            <w:vAlign w:val="bottom"/>
          </w:tcPr>
          <w:p>
            <w:pPr>
              <w:pStyle w:val="Normal"/>
              <w:snapToGrid w:val="false"/>
              <w:jc w:val="center"/>
              <w:rPr>
                <w:b/>
                <w:bCs/>
                <w:i/>
                <w:i/>
                <w:iCs/>
                <w:sz w:val="22"/>
                <w:szCs w:val="22"/>
              </w:rPr>
            </w:pPr>
            <w:r>
              <w:rPr>
                <w:b/>
                <w:bCs/>
                <w:i/>
                <w:iCs/>
                <w:sz w:val="22"/>
                <w:szCs w:val="22"/>
              </w:rPr>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4 000 000</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3 800 000</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3 800 000</w:t>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3 800 000</w:t>
            </w:r>
          </w:p>
        </w:tc>
        <w:tc>
          <w:tcPr>
            <w:tcW w:w="1003"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300 000</w:t>
            </w:r>
          </w:p>
        </w:tc>
      </w:tr>
      <w:tr>
        <w:trPr>
          <w:trHeight w:val="285" w:hRule="atLeast"/>
        </w:trPr>
        <w:tc>
          <w:tcPr>
            <w:tcW w:w="2511" w:type="dxa"/>
            <w:tcBorders/>
            <w:vAlign w:val="bottom"/>
          </w:tcPr>
          <w:p>
            <w:pPr>
              <w:pStyle w:val="Normal"/>
              <w:snapToGrid w:val="false"/>
              <w:jc w:val="right"/>
              <w:rPr>
                <w:b/>
                <w:bCs/>
                <w:i/>
                <w:i/>
                <w:iCs/>
                <w:sz w:val="22"/>
                <w:szCs w:val="22"/>
              </w:rPr>
            </w:pPr>
            <w:r>
              <w:rPr>
                <w:b/>
                <w:bCs/>
                <w:i/>
                <w:iCs/>
                <w:sz w:val="22"/>
                <w:szCs w:val="22"/>
              </w:rPr>
            </w:r>
          </w:p>
        </w:tc>
        <w:tc>
          <w:tcPr>
            <w:tcW w:w="1005" w:type="dxa"/>
            <w:tcBorders/>
            <w:vAlign w:val="bottom"/>
          </w:tcPr>
          <w:p>
            <w:pPr>
              <w:pStyle w:val="Normal"/>
              <w:snapToGrid w:val="false"/>
              <w:jc w:val="right"/>
              <w:rPr>
                <w:b/>
                <w:bCs/>
                <w:i/>
                <w:i/>
                <w:iCs/>
                <w:sz w:val="22"/>
                <w:szCs w:val="22"/>
              </w:rPr>
            </w:pPr>
            <w:r>
              <w:rPr>
                <w:b/>
                <w:bCs/>
                <w:i/>
                <w:iCs/>
                <w:sz w:val="22"/>
                <w:szCs w:val="22"/>
              </w:rPr>
            </w:r>
          </w:p>
        </w:tc>
        <w:tc>
          <w:tcPr>
            <w:tcW w:w="11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3" w:type="dxa"/>
            <w:tcBorders/>
            <w:vAlign w:val="bottom"/>
          </w:tcPr>
          <w:p>
            <w:pPr>
              <w:pStyle w:val="Normal"/>
              <w:snapToGrid w:val="false"/>
              <w:jc w:val="right"/>
              <w:rPr>
                <w:sz w:val="22"/>
                <w:szCs w:val="22"/>
              </w:rPr>
            </w:pPr>
            <w:r>
              <w:rPr>
                <w:sz w:val="22"/>
                <w:szCs w:val="22"/>
              </w:rPr>
            </w:r>
          </w:p>
        </w:tc>
      </w:tr>
    </w:tbl>
    <w:p>
      <w:pPr>
        <w:pStyle w:val="Heading3"/>
        <w:numPr>
          <w:ilvl w:val="2"/>
          <w:numId w:val="5"/>
        </w:numPr>
        <w:spacing w:before="120" w:after="120"/>
        <w:ind w:hanging="720" w:left="3195" w:right="0"/>
        <w:jc w:val="both"/>
        <w:rPr>
          <w:rFonts w:ascii="Times New Roman" w:hAnsi="Times New Roman" w:cs="Times New Roman"/>
          <w:iCs/>
          <w:sz w:val="22"/>
          <w:szCs w:val="22"/>
        </w:rPr>
      </w:pPr>
      <w:bookmarkStart w:id="23" w:name="__RefHeading___Toc234831720"/>
      <w:bookmarkEnd w:id="23"/>
      <w:r>
        <w:rPr>
          <w:rFonts w:cs="Times New Roman" w:ascii="Times New Roman" w:hAnsi="Times New Roman"/>
          <w:sz w:val="24"/>
          <w:szCs w:val="24"/>
        </w:rPr>
        <w:t>Echéancier de remboursement</w:t>
      </w:r>
    </w:p>
    <w:p>
      <w:pPr>
        <w:pStyle w:val="Normal"/>
        <w:spacing w:before="120" w:after="120"/>
        <w:jc w:val="both"/>
        <w:rPr>
          <w:iCs/>
          <w:sz w:val="22"/>
          <w:szCs w:val="22"/>
        </w:rPr>
      </w:pPr>
      <w:r>
        <w:rPr>
          <w:iCs/>
          <w:sz w:val="22"/>
          <w:szCs w:val="22"/>
        </w:rPr>
        <w:t>L’échéancier de remboursement porte sur 60 mois, dont un différé de 6 mois pendant lequel seuls les intérêts sont payés, soit 54 échéances mensuelles.</w:t>
      </w:r>
    </w:p>
    <w:tbl>
      <w:tblPr>
        <w:tblW w:w="10070" w:type="dxa"/>
        <w:jc w:val="left"/>
        <w:tblInd w:w="65" w:type="dxa"/>
        <w:tblLayout w:type="fixed"/>
        <w:tblCellMar>
          <w:top w:w="0" w:type="dxa"/>
          <w:left w:w="70" w:type="dxa"/>
          <w:bottom w:w="0" w:type="dxa"/>
          <w:right w:w="70" w:type="dxa"/>
        </w:tblCellMar>
      </w:tblPr>
      <w:tblGrid>
        <w:gridCol w:w="997"/>
        <w:gridCol w:w="1417"/>
        <w:gridCol w:w="1134"/>
        <w:gridCol w:w="1134"/>
        <w:gridCol w:w="1135"/>
        <w:gridCol w:w="1701"/>
        <w:gridCol w:w="1276"/>
        <w:gridCol w:w="1274"/>
      </w:tblGrid>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Montant du Prêt :</w:t>
            </w:r>
          </w:p>
        </w:tc>
        <w:tc>
          <w:tcPr>
            <w:tcW w:w="1134" w:type="dxa"/>
            <w:tcBorders>
              <w:top w:val="single" w:sz="4" w:space="0" w:color="000000"/>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13 440 000</w:t>
            </w:r>
          </w:p>
        </w:tc>
        <w:tc>
          <w:tcPr>
            <w:tcW w:w="1134" w:type="dxa"/>
            <w:tcBorders>
              <w:top w:val="single" w:sz="4" w:space="0" w:color="000000"/>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FCFA</w:t>
            </w:r>
          </w:p>
        </w:tc>
        <w:tc>
          <w:tcPr>
            <w:tcW w:w="1135"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8%</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 soit</w:t>
            </w:r>
          </w:p>
        </w:tc>
        <w:tc>
          <w:tcPr>
            <w:tcW w:w="1135" w:type="dxa"/>
            <w:tcBorders>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0,67%</w:t>
            </w:r>
          </w:p>
        </w:tc>
        <w:tc>
          <w:tcPr>
            <w:tcW w:w="1701"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mois</w:t>
            </w:r>
          </w:p>
        </w:tc>
        <w:tc>
          <w:tcPr>
            <w:tcW w:w="1276"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TAF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17%</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appliqué TTC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9,36%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remboursement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sz w:val="22"/>
                <w:szCs w:val="22"/>
              </w:rPr>
            </w:pPr>
            <w:r>
              <w:rPr>
                <w:sz w:val="22"/>
                <w:szCs w:val="22"/>
              </w:rPr>
              <w:t>par mois</w:t>
            </w:r>
          </w:p>
        </w:tc>
        <w:tc>
          <w:tcPr>
            <w:tcW w:w="1134"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différé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Durée du prêt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60</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Nombre d'échéance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54</w:t>
            </w:r>
          </w:p>
        </w:tc>
        <w:tc>
          <w:tcPr>
            <w:tcW w:w="1134"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00" w:hRule="atLeast"/>
        </w:trPr>
        <w:tc>
          <w:tcPr>
            <w:tcW w:w="997" w:type="dxa"/>
            <w:tcBorders/>
            <w:shd w:fill="FFFFFF" w:val="clear"/>
            <w:vAlign w:val="bottom"/>
          </w:tcPr>
          <w:p>
            <w:pPr>
              <w:pStyle w:val="Normal"/>
              <w:snapToGrid w:val="false"/>
              <w:jc w:val="center"/>
              <w:rPr>
                <w:color w:val="800000"/>
                <w:sz w:val="22"/>
                <w:szCs w:val="22"/>
              </w:rPr>
            </w:pPr>
            <w:r>
              <w:rPr>
                <w:color w:val="800000"/>
                <w:sz w:val="22"/>
                <w:szCs w:val="22"/>
              </w:rPr>
            </w:r>
          </w:p>
        </w:tc>
        <w:tc>
          <w:tcPr>
            <w:tcW w:w="1417" w:type="dxa"/>
            <w:tcBorders/>
            <w:shd w:fill="FFFFFF" w:val="clear"/>
            <w:vAlign w:val="bottom"/>
          </w:tcPr>
          <w:p>
            <w:pPr>
              <w:pStyle w:val="Normal"/>
              <w:snapToGrid w:val="false"/>
              <w:jc w:val="center"/>
              <w:rPr>
                <w:color w:val="800000"/>
                <w:sz w:val="22"/>
                <w:szCs w:val="22"/>
              </w:rPr>
            </w:pPr>
            <w:r>
              <w:rPr>
                <w:color w:val="800000"/>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5" w:type="dxa"/>
            <w:tcBorders/>
            <w:shd w:fill="FFFFFF" w:val="clear"/>
            <w:vAlign w:val="bottom"/>
          </w:tcPr>
          <w:p>
            <w:pPr>
              <w:pStyle w:val="Normal"/>
              <w:snapToGrid w:val="false"/>
              <w:jc w:val="center"/>
              <w:rPr>
                <w:sz w:val="22"/>
                <w:szCs w:val="22"/>
              </w:rPr>
            </w:pPr>
            <w:r>
              <w:rPr>
                <w:sz w:val="22"/>
                <w:szCs w:val="22"/>
              </w:rPr>
            </w:r>
          </w:p>
        </w:tc>
        <w:tc>
          <w:tcPr>
            <w:tcW w:w="1701" w:type="dxa"/>
            <w:tcBorders/>
            <w:shd w:fill="FFFFFF" w:val="clear"/>
            <w:vAlign w:val="bottom"/>
          </w:tcPr>
          <w:p>
            <w:pPr>
              <w:pStyle w:val="Normal"/>
              <w:snapToGrid w:val="false"/>
              <w:jc w:val="center"/>
              <w:rPr>
                <w:sz w:val="22"/>
                <w:szCs w:val="22"/>
              </w:rPr>
            </w:pPr>
            <w:r>
              <w:rPr>
                <w:sz w:val="22"/>
                <w:szCs w:val="22"/>
              </w:rPr>
            </w:r>
          </w:p>
        </w:tc>
        <w:tc>
          <w:tcPr>
            <w:tcW w:w="1276" w:type="dxa"/>
            <w:tcBorders/>
            <w:shd w:fill="FFFFFF" w:val="clear"/>
            <w:vAlign w:val="bottom"/>
          </w:tcPr>
          <w:p>
            <w:pPr>
              <w:pStyle w:val="Normal"/>
              <w:snapToGrid w:val="false"/>
              <w:jc w:val="center"/>
              <w:rPr>
                <w:sz w:val="22"/>
                <w:szCs w:val="22"/>
              </w:rPr>
            </w:pPr>
            <w:r>
              <w:rPr>
                <w:sz w:val="22"/>
                <w:szCs w:val="22"/>
              </w:rPr>
            </w:r>
          </w:p>
        </w:tc>
        <w:tc>
          <w:tcPr>
            <w:tcW w:w="1274" w:type="dxa"/>
            <w:tcBorders/>
            <w:shd w:fill="FFFFFF" w:val="clear"/>
            <w:vAlign w:val="bottom"/>
          </w:tcPr>
          <w:p>
            <w:pPr>
              <w:pStyle w:val="Normal"/>
              <w:snapToGrid w:val="false"/>
              <w:jc w:val="center"/>
              <w:rPr>
                <w:sz w:val="22"/>
                <w:szCs w:val="22"/>
              </w:rPr>
            </w:pPr>
            <w:r>
              <w:rPr>
                <w:sz w:val="22"/>
                <w:szCs w:val="22"/>
              </w:rPr>
            </w:r>
          </w:p>
        </w:tc>
      </w:tr>
      <w:tr>
        <w:trPr>
          <w:trHeight w:val="315" w:hRule="atLeast"/>
        </w:trPr>
        <w:tc>
          <w:tcPr>
            <w:tcW w:w="99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Période</w:t>
            </w:r>
          </w:p>
        </w:tc>
        <w:tc>
          <w:tcPr>
            <w:tcW w:w="141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Montant</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Intérêts</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TAF</w:t>
            </w:r>
          </w:p>
        </w:tc>
        <w:tc>
          <w:tcPr>
            <w:tcW w:w="1135"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Frais Financier</w:t>
            </w:r>
          </w:p>
        </w:tc>
        <w:tc>
          <w:tcPr>
            <w:tcW w:w="1701" w:type="dxa"/>
            <w:tcBorders>
              <w:top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Remboursement</w:t>
            </w:r>
          </w:p>
        </w:tc>
        <w:tc>
          <w:tcPr>
            <w:tcW w:w="1276"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274"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r>
      <w:tr>
        <w:trPr>
          <w:trHeight w:val="630" w:hRule="atLeast"/>
        </w:trPr>
        <w:tc>
          <w:tcPr>
            <w:tcW w:w="99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41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5"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701"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Principal</w:t>
            </w:r>
          </w:p>
        </w:tc>
        <w:tc>
          <w:tcPr>
            <w:tcW w:w="1276"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dégressive</w:t>
            </w:r>
          </w:p>
        </w:tc>
        <w:tc>
          <w:tcPr>
            <w:tcW w:w="1274"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linéaire</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sz w:val="22"/>
                <w:szCs w:val="22"/>
              </w:rPr>
            </w:pPr>
            <w:r>
              <w:rPr>
                <w:b/>
                <w:bCs/>
                <w:sz w:val="22"/>
                <w:szCs w:val="22"/>
              </w:rPr>
              <w:t>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13 440 000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89 600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15 232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13 440 000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89 600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15 232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13 440 000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89 600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15 232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13 440 000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89 600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15 232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13 440 000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89 600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15 232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13 440 000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89 600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15 232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13 440 000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89 600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15 232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104 832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353 721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13 191 111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87 941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14 950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102 891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351 780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12 942 222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86 281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14 668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100 949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349 838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12 693 333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84 622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14 386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99 008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347 897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12 444 444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82 963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14 104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97 067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345 956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12</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12 195 556</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81 304</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13 822</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95 125</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248 889</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344 014</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11 946 667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79 644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13 540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93 184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342 073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11 697 778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77 985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13 257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91 243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340 132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11 448 889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76 326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12 975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89 301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338 190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11 200 000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74 667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12 693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87 360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336 249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10 951 111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73 007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12 411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85 419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334 308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10 702 222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71 348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12 129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83 477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332 366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10 453 333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69 689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11 847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81 536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330 425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10 204 444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68 030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11 565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79 595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328 484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9 955 556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66 370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11 283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77 653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326 542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9 706 667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64 711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11 001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75 712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324 601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9 457 778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63 052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10 719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73 771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322 660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9 208 889</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61 393</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10 437</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71 829</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248 889</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320 718</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8 960 000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59 733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10 155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69 888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318 777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8 711 111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58 074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9 873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67 947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316 836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8 462 222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56 415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9 591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66 005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314 894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8 213 333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54 756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9 308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64 064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312 953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7 964 444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53 096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9 026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62 123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311 012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7 715 556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51 437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8 744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60 181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309 070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7 466 667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49 778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8 462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58 240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307 129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7 217 778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48 119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8 180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56 299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305 188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6 968 889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46 459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7 898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54 357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303 246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6 720 000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44 800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7 616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52 416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301 305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6 471 111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43 141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7 334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50 475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299 364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36</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6 222 222</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41 481</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7 052</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48 533</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248 889</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297 422</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5 973 333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39 822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6 770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46 592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295 481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5 724 444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38 163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6 488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44 651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293 540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5 475 556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36 504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6 206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42 709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291 598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5 226 667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34 844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5 924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40 768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289 657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4 977 778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33 185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5 641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38 827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287 716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4 728 889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31 526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5 359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36 885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285 774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4 480 000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29 867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5 077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34 944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283 833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4 231 111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28 207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4 795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33 003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281 892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3 982 222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26 548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4 513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31 061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279 950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3 733 333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24 889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4 231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29 120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278 009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3 484 444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23 230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3 949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27 179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276 068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48</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3 235 556</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21 570</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3 667</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25 237</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248 889</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274 126</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2 986 667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19 911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3 385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23 296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272 185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2 737 778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18 252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3 103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21 355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270 244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2 488 889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16 593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2 821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19 413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268 302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2 240 000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14 933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2 539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17 472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266 361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1 991 111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13 274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2 257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15 531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264 420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1 742 222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11 615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1 975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13 589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262 478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1 493 333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9 956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1 692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11 648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260 537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1 244 444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8 296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1 410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9 707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258 596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995 556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6 637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1 128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7 765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256 654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746 667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4 978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846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5 824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254 713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497 778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3 319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564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3 883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248 889</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252 772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60</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248 889</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1 659</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282</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1 941</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248 889</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250 830</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313 924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TOTAL</w:t>
            </w:r>
          </w:p>
        </w:tc>
        <w:tc>
          <w:tcPr>
            <w:tcW w:w="1417"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5"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3 511 872</w:t>
            </w:r>
          </w:p>
        </w:tc>
        <w:tc>
          <w:tcPr>
            <w:tcW w:w="1701"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13 440 000</w:t>
            </w:r>
          </w:p>
        </w:tc>
        <w:tc>
          <w:tcPr>
            <w:tcW w:w="1276"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16 951 872</w:t>
            </w:r>
          </w:p>
        </w:tc>
        <w:tc>
          <w:tcPr>
            <w:tcW w:w="1274"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16 951 872</w:t>
            </w:r>
          </w:p>
        </w:tc>
      </w:tr>
    </w:tbl>
    <w:p>
      <w:pPr>
        <w:pStyle w:val="Heading2"/>
        <w:keepLines/>
        <w:numPr>
          <w:ilvl w:val="1"/>
          <w:numId w:val="5"/>
        </w:numPr>
        <w:spacing w:before="120" w:after="120"/>
        <w:ind w:hanging="491" w:left="851" w:right="0"/>
        <w:jc w:val="both"/>
        <w:rPr>
          <w:rFonts w:ascii="Times New Roman" w:hAnsi="Times New Roman" w:cs="Times New Roman"/>
          <w:i w:val="false"/>
          <w:i w:val="false"/>
          <w:iCs w:val="false"/>
          <w:lang w:val="fr-CI"/>
        </w:rPr>
      </w:pPr>
      <w:bookmarkStart w:id="24" w:name="__RefHeading___Toc234831721"/>
      <w:bookmarkEnd w:id="24"/>
      <w:r>
        <w:rPr>
          <w:rFonts w:cs="Times New Roman" w:ascii="Times New Roman" w:hAnsi="Times New Roman"/>
          <w:i w:val="false"/>
          <w:iCs w:val="false"/>
          <w:lang w:val="fr-CI"/>
        </w:rPr>
        <w:t>Coût total du projet</w:t>
      </w:r>
    </w:p>
    <w:p>
      <w:pPr>
        <w:pStyle w:val="Normal"/>
        <w:spacing w:before="120" w:after="120"/>
        <w:rPr>
          <w:iCs/>
          <w:sz w:val="22"/>
          <w:szCs w:val="22"/>
        </w:rPr>
      </w:pPr>
      <w:r>
        <w:rPr>
          <w:iCs/>
          <w:sz w:val="22"/>
          <w:szCs w:val="22"/>
        </w:rPr>
        <w:t xml:space="preserve">Le coût total du projet est évalué à </w:t>
      </w:r>
      <w:r>
        <w:rPr>
          <w:b/>
          <w:bCs/>
          <w:iCs/>
          <w:color w:val="000000"/>
          <w:sz w:val="22"/>
          <w:szCs w:val="22"/>
          <w:lang w:eastAsia="fr-CA"/>
        </w:rPr>
        <w:t xml:space="preserve">19 200 000 </w:t>
      </w:r>
      <w:r>
        <w:rPr>
          <w:iCs/>
          <w:sz w:val="22"/>
          <w:szCs w:val="22"/>
        </w:rPr>
        <w:t xml:space="preserve">FCFA. Ce montant est composé par : les frais d’investissement </w:t>
      </w:r>
      <w:r>
        <w:rPr>
          <w:b/>
          <w:bCs/>
          <w:iCs/>
          <w:sz w:val="22"/>
          <w:szCs w:val="22"/>
          <w:lang w:eastAsia="fr-CA"/>
        </w:rPr>
        <w:t xml:space="preserve">15 500 000 </w:t>
      </w:r>
      <w:r>
        <w:rPr>
          <w:iCs/>
          <w:sz w:val="22"/>
          <w:szCs w:val="22"/>
        </w:rPr>
        <w:t xml:space="preserve">FCFA (80,7%) , le besoin en fonds de roulement </w:t>
      </w:r>
      <w:r>
        <w:rPr>
          <w:b/>
          <w:bCs/>
          <w:iCs/>
          <w:sz w:val="22"/>
          <w:szCs w:val="22"/>
          <w:lang w:eastAsia="fr-CA"/>
        </w:rPr>
        <w:t xml:space="preserve">3 500 000 </w:t>
      </w:r>
      <w:r>
        <w:rPr>
          <w:iCs/>
          <w:sz w:val="22"/>
          <w:szCs w:val="22"/>
        </w:rPr>
        <w:t xml:space="preserve"> FCFA (18,2%) et les frais d’établissement 200 000 FCFA (1,0%).</w:t>
      </w:r>
    </w:p>
    <w:tbl>
      <w:tblPr>
        <w:tblW w:w="9600" w:type="dxa"/>
        <w:jc w:val="left"/>
        <w:tblInd w:w="65" w:type="dxa"/>
        <w:tblLayout w:type="fixed"/>
        <w:tblCellMar>
          <w:top w:w="0" w:type="dxa"/>
          <w:left w:w="70" w:type="dxa"/>
          <w:bottom w:w="0" w:type="dxa"/>
          <w:right w:w="70" w:type="dxa"/>
        </w:tblCellMar>
      </w:tblPr>
      <w:tblGrid>
        <w:gridCol w:w="5940"/>
        <w:gridCol w:w="1289"/>
        <w:gridCol w:w="1551"/>
        <w:gridCol w:w="819"/>
      </w:tblGrid>
      <w:tr>
        <w:trPr>
          <w:trHeight w:val="405" w:hRule="atLeast"/>
        </w:trPr>
        <w:tc>
          <w:tcPr>
            <w:tcW w:w="5940" w:type="dxa"/>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EVALUATION DU COÛT DE  PROJET (FCFA)</w:t>
            </w:r>
          </w:p>
        </w:tc>
        <w:tc>
          <w:tcPr>
            <w:tcW w:w="2840" w:type="dxa"/>
            <w:gridSpan w:val="2"/>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Montant FCFA</w:t>
            </w:r>
          </w:p>
        </w:tc>
        <w:tc>
          <w:tcPr>
            <w:tcW w:w="819" w:type="dxa"/>
            <w:tcBorders>
              <w:top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w:t>
            </w:r>
          </w:p>
        </w:tc>
      </w:tr>
      <w:tr>
        <w:trPr>
          <w:trHeight w:val="300" w:hRule="atLeast"/>
        </w:trPr>
        <w:tc>
          <w:tcPr>
            <w:tcW w:w="5940" w:type="dxa"/>
            <w:tcBorders>
              <w:left w:val="single" w:sz="4" w:space="0" w:color="000000"/>
            </w:tcBorders>
            <w:vAlign w:val="bottom"/>
          </w:tcPr>
          <w:p>
            <w:pPr>
              <w:pStyle w:val="Normal"/>
              <w:rPr>
                <w:color w:val="000000"/>
                <w:sz w:val="22"/>
                <w:szCs w:val="22"/>
              </w:rPr>
            </w:pPr>
            <w:r>
              <w:rPr/>
            </w:r>
          </w:p>
        </w:tc>
        <w:tc>
          <w:tcPr>
            <w:tcW w:w="1289" w:type="dxa"/>
            <w:tcBorders/>
            <w:vAlign w:val="center"/>
          </w:tcPr>
          <w:p>
            <w:pPr>
              <w:pStyle w:val="Normal"/>
              <w:snapToGrid w:val="false"/>
              <w:jc w:val="center"/>
              <w:rPr>
                <w:color w:val="000000"/>
                <w:sz w:val="22"/>
                <w:szCs w:val="22"/>
              </w:rPr>
            </w:pPr>
            <w:r>
              <w:rPr>
                <w:color w:val="000000"/>
                <w:sz w:val="22"/>
                <w:szCs w:val="22"/>
              </w:rPr>
            </w:r>
          </w:p>
        </w:tc>
        <w:tc>
          <w:tcPr>
            <w:tcW w:w="1551" w:type="dxa"/>
            <w:tcBorders/>
            <w:vAlign w:val="center"/>
          </w:tcPr>
          <w:p>
            <w:pPr>
              <w:pStyle w:val="Normal"/>
              <w:snapToGrid w:val="false"/>
              <w:jc w:val="center"/>
              <w:rPr>
                <w:color w:val="000000"/>
                <w:sz w:val="22"/>
                <w:szCs w:val="22"/>
              </w:rPr>
            </w:pPr>
            <w:r>
              <w:rPr>
                <w:color w:val="000000"/>
                <w:sz w:val="22"/>
                <w:szCs w:val="22"/>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Frais d'établissement</w:t>
            </w:r>
          </w:p>
        </w:tc>
        <w:tc>
          <w:tcPr>
            <w:tcW w:w="128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200 000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1,0%</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de constitution</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Frais d'investissement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15 500 000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80,7%</w:t>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Constructions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Agencement-Aménagement-Installations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14 000 000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Forage + pompe solaire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3 500 000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pPr>
            <w:r>
              <w:rPr>
                <w:color w:val="000000"/>
                <w:sz w:val="22"/>
                <w:szCs w:val="22"/>
              </w:rPr>
              <w:t>Bassin de rétention 100 m³</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1 000 000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Système goutte-à-goutte (5 ha)</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5 000 000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Clôture 5 ha (grillage)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3 000 000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Aménagement du terrain (labour, billons)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1 500 000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Mobiliers et matériels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2.4 Equipements de production</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1 500 000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Pulvérisateurs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125 000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Brouettes + Houes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325 000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Dabas / Pelles (1 lot)</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Caisses de récolte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Balances, petit matériel et séchoirs artisanaux</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800 000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3. Besoin en fonds de roulement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3 500 000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18,2%</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Achats de matières premières (3 mois)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1 987 500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Sécurité de caisse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1 512 500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447" w:hRule="atLeast"/>
        </w:trPr>
        <w:tc>
          <w:tcPr>
            <w:tcW w:w="7229" w:type="dxa"/>
            <w:gridSpan w:val="2"/>
            <w:tcBorders>
              <w:top w:val="single" w:sz="4" w:space="0" w:color="000000"/>
              <w:left w:val="single" w:sz="4" w:space="0" w:color="000000"/>
              <w:bottom w:val="single" w:sz="4" w:space="0" w:color="000000"/>
              <w:right w:val="single" w:sz="4" w:space="0" w:color="000000"/>
            </w:tcBorders>
            <w:shd w:fill="CCFFFF" w:val="clear"/>
            <w:vAlign w:val="center"/>
          </w:tcPr>
          <w:p>
            <w:pPr>
              <w:pStyle w:val="Normal"/>
              <w:jc w:val="center"/>
              <w:rPr>
                <w:b/>
                <w:bCs/>
                <w:color w:val="000000"/>
                <w:sz w:val="22"/>
                <w:szCs w:val="22"/>
              </w:rPr>
            </w:pPr>
            <w:r>
              <w:rPr>
                <w:b/>
                <w:bCs/>
                <w:color w:val="000000"/>
                <w:sz w:val="22"/>
                <w:szCs w:val="22"/>
              </w:rPr>
              <w:t>COÛT TOTAL DU PROJET</w:t>
            </w:r>
          </w:p>
        </w:tc>
        <w:tc>
          <w:tcPr>
            <w:tcW w:w="1551" w:type="dxa"/>
            <w:tcBorders>
              <w:bottom w:val="single" w:sz="4" w:space="0" w:color="000000"/>
              <w:right w:val="single" w:sz="4" w:space="0" w:color="000000"/>
            </w:tcBorders>
            <w:shd w:fill="CCFFFF" w:val="clear"/>
            <w:vAlign w:val="center"/>
          </w:tcPr>
          <w:p>
            <w:pPr>
              <w:pStyle w:val="Normal"/>
              <w:jc w:val="right"/>
              <w:rPr>
                <w:b/>
                <w:bCs/>
                <w:color w:val="000000"/>
                <w:sz w:val="22"/>
                <w:szCs w:val="22"/>
              </w:rPr>
            </w:pPr>
            <w:r>
              <w:rPr>
                <w:b/>
                <w:bCs/>
                <w:color w:val="000000"/>
                <w:sz w:val="22"/>
                <w:szCs w:val="22"/>
              </w:rPr>
              <w:t>19 200 000</w:t>
            </w:r>
          </w:p>
        </w:tc>
        <w:tc>
          <w:tcPr>
            <w:tcW w:w="819" w:type="dxa"/>
            <w:tcBorders>
              <w:bottom w:val="single" w:sz="4" w:space="0" w:color="000000"/>
              <w:right w:val="single" w:sz="4" w:space="0" w:color="000000"/>
            </w:tcBorders>
            <w:shd w:fill="CCFFFF" w:val="clear"/>
            <w:vAlign w:val="center"/>
          </w:tcPr>
          <w:p>
            <w:pPr>
              <w:pStyle w:val="Normal"/>
              <w:rPr>
                <w:b/>
                <w:bCs/>
                <w:color w:val="000000"/>
                <w:sz w:val="22"/>
                <w:szCs w:val="22"/>
              </w:rPr>
            </w:pPr>
            <w:r>
              <w:rPr/>
            </w:r>
          </w:p>
        </w:tc>
      </w:tr>
    </w:tbl>
    <w:p>
      <w:pPr>
        <w:pStyle w:val="Normal"/>
        <w:spacing w:before="120" w:after="120"/>
        <w:jc w:val="both"/>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Heading2"/>
        <w:keepLines/>
        <w:numPr>
          <w:ilvl w:val="1"/>
          <w:numId w:val="5"/>
        </w:numPr>
        <w:spacing w:before="120" w:after="120"/>
        <w:ind w:hanging="491" w:left="851" w:right="0"/>
        <w:jc w:val="both"/>
        <w:rPr>
          <w:rFonts w:ascii="Times New Roman" w:hAnsi="Times New Roman" w:cs="Times New Roman"/>
          <w:i w:val="false"/>
          <w:i w:val="false"/>
          <w:iCs w:val="false"/>
          <w:lang w:val="fr-CI"/>
        </w:rPr>
      </w:pPr>
      <w:bookmarkStart w:id="25" w:name="__RefHeading___Toc234831722"/>
      <w:bookmarkEnd w:id="25"/>
      <w:r>
        <w:rPr>
          <w:rFonts w:cs="Times New Roman" w:ascii="Times New Roman" w:hAnsi="Times New Roman"/>
          <w:i w:val="false"/>
          <w:iCs w:val="false"/>
          <w:lang w:val="fr-CI"/>
        </w:rPr>
        <w:t>Plan de financement</w:t>
      </w:r>
    </w:p>
    <w:p>
      <w:pPr>
        <w:pStyle w:val="Normal"/>
        <w:spacing w:before="120" w:after="120"/>
        <w:jc w:val="both"/>
        <w:rPr>
          <w:iCs/>
          <w:sz w:val="22"/>
          <w:szCs w:val="22"/>
        </w:rPr>
      </w:pPr>
      <w:r>
        <w:rPr>
          <w:iCs/>
          <w:sz w:val="22"/>
          <w:szCs w:val="22"/>
        </w:rPr>
        <w:t xml:space="preserve">Le plan de financement montre que sur un coût total du projet de </w:t>
      </w:r>
      <w:r>
        <w:rPr>
          <w:b/>
          <w:bCs/>
          <w:iCs/>
          <w:color w:val="000000"/>
          <w:sz w:val="22"/>
          <w:szCs w:val="22"/>
          <w:lang w:eastAsia="fr-CA"/>
        </w:rPr>
        <w:t>19 200 000</w:t>
      </w:r>
      <w:r>
        <w:rPr>
          <w:iCs/>
          <w:sz w:val="22"/>
          <w:szCs w:val="22"/>
        </w:rPr>
        <w:t xml:space="preserve"> FCFA, le promoteur s’engage à contribuer à hauteur de 10% de ce montant, soit </w:t>
      </w:r>
      <w:r>
        <w:rPr>
          <w:rFonts w:cs="Calibri" w:ascii="Cambria" w:hAnsi="Cambria"/>
          <w:b/>
          <w:iCs/>
          <w:color w:val="000000"/>
          <w:sz w:val="22"/>
          <w:szCs w:val="22"/>
        </w:rPr>
        <w:t>1 920 000</w:t>
      </w:r>
      <w:r>
        <w:rPr>
          <w:rFonts w:cs="Calibri" w:ascii="Cambria" w:hAnsi="Cambria"/>
          <w:iCs/>
          <w:color w:val="000000"/>
          <w:sz w:val="22"/>
          <w:szCs w:val="22"/>
        </w:rPr>
        <w:t xml:space="preserve"> </w:t>
      </w:r>
      <w:r>
        <w:rPr>
          <w:iCs/>
          <w:sz w:val="22"/>
          <w:szCs w:val="22"/>
        </w:rPr>
        <w:t>FCFA ; la subvention « Projet Vert » (20 %) couvre 3 840 000 FCFA et le crédit sollicité (70 %) s’élève à 13 440 000 FCFA, remboursable sur 60 mois dont 6 mois de différé.</w:t>
      </w:r>
    </w:p>
    <w:tbl>
      <w:tblPr>
        <w:tblW w:w="8580" w:type="dxa"/>
        <w:jc w:val="left"/>
        <w:tblInd w:w="65" w:type="dxa"/>
        <w:tblLayout w:type="fixed"/>
        <w:tblCellMar>
          <w:top w:w="0" w:type="dxa"/>
          <w:left w:w="70" w:type="dxa"/>
          <w:bottom w:w="0" w:type="dxa"/>
          <w:right w:w="70" w:type="dxa"/>
        </w:tblCellMar>
      </w:tblPr>
      <w:tblGrid>
        <w:gridCol w:w="5860"/>
        <w:gridCol w:w="1199"/>
        <w:gridCol w:w="1521"/>
      </w:tblGrid>
      <w:tr>
        <w:trPr>
          <w:trHeight w:val="420" w:hRule="atLeast"/>
        </w:trPr>
        <w:tc>
          <w:tcPr>
            <w:tcW w:w="586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b/>
                <w:bCs/>
                <w:color w:val="FFFFFF"/>
                <w:sz w:val="22"/>
                <w:szCs w:val="22"/>
              </w:rPr>
              <w:t>PLAN DE FINANCEMENT</w:t>
            </w:r>
          </w:p>
        </w:tc>
        <w:tc>
          <w:tcPr>
            <w:tcW w:w="1199" w:type="dxa"/>
            <w:tcBorders>
              <w:top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r>
          </w:p>
        </w:tc>
        <w:tc>
          <w:tcPr>
            <w:tcW w:w="1521" w:type="dxa"/>
            <w:tcBorders>
              <w:top w:val="single" w:sz="4"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r>
      <w:tr>
        <w:trPr>
          <w:trHeight w:val="360" w:hRule="atLeast"/>
        </w:trPr>
        <w:tc>
          <w:tcPr>
            <w:tcW w:w="5860"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Le coût total de projet</w:t>
            </w:r>
          </w:p>
        </w:tc>
        <w:tc>
          <w:tcPr>
            <w:tcW w:w="1199" w:type="dxa"/>
            <w:tcBorders>
              <w:top w:val="single" w:sz="8"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100%</w:t>
            </w:r>
          </w:p>
        </w:tc>
        <w:tc>
          <w:tcPr>
            <w:tcW w:w="1521" w:type="dxa"/>
            <w:tcBorders>
              <w:top w:val="single" w:sz="8"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b/>
                <w:bCs/>
                <w:i/>
                <w:iCs/>
                <w:color w:val="FFFFFF"/>
                <w:sz w:val="22"/>
                <w:szCs w:val="22"/>
              </w:rPr>
              <w:t>19 200 000</w:t>
            </w:r>
          </w:p>
        </w:tc>
      </w:tr>
      <w:tr>
        <w:trPr>
          <w:trHeight w:val="360" w:hRule="atLeast"/>
        </w:trPr>
        <w:tc>
          <w:tcPr>
            <w:tcW w:w="5860" w:type="dxa"/>
            <w:tcBorders>
              <w:top w:val="single" w:sz="4"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Le financement de projet</w:t>
            </w:r>
          </w:p>
        </w:tc>
        <w:tc>
          <w:tcPr>
            <w:tcW w:w="1199"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r>
          </w:p>
        </w:tc>
        <w:tc>
          <w:tcPr>
            <w:tcW w:w="1521" w:type="dxa"/>
            <w:tcBorders>
              <w:top w:val="single" w:sz="4"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L'apport personnel</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10%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1 920 000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en numéraire</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1 920 000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La contribution (Primes) du FACEJ</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20%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3 840 000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création emploi »</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innovants»</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(Projets verts et Verdissement)</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3 840 000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Le crédit sollicité</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70%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13 440 000</w:t>
            </w:r>
          </w:p>
        </w:tc>
      </w:tr>
      <w:tr>
        <w:trPr>
          <w:trHeight w:val="300" w:hRule="atLeast"/>
        </w:trPr>
        <w:tc>
          <w:tcPr>
            <w:tcW w:w="5860" w:type="dxa"/>
            <w:tcBorders>
              <w:left w:val="single" w:sz="8" w:space="0" w:color="000000"/>
              <w:bottom w:val="single" w:sz="8" w:space="0" w:color="000000"/>
              <w:right w:val="single" w:sz="4" w:space="0" w:color="000000"/>
            </w:tcBorders>
            <w:vAlign w:val="bottom"/>
          </w:tcPr>
          <w:p>
            <w:pPr>
              <w:pStyle w:val="Normal"/>
              <w:rPr>
                <w:color w:val="000000"/>
                <w:sz w:val="22"/>
                <w:szCs w:val="22"/>
              </w:rPr>
            </w:pPr>
            <w:r>
              <w:rPr>
                <w:color w:val="000000"/>
                <w:sz w:val="22"/>
                <w:szCs w:val="22"/>
              </w:rPr>
              <w:t>Financement</w:t>
            </w:r>
          </w:p>
        </w:tc>
        <w:tc>
          <w:tcPr>
            <w:tcW w:w="1199" w:type="dxa"/>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70%</w:t>
            </w:r>
          </w:p>
        </w:tc>
        <w:tc>
          <w:tcPr>
            <w:tcW w:w="1521" w:type="dxa"/>
            <w:tcBorders>
              <w:bottom w:val="single" w:sz="8" w:space="0" w:color="000000"/>
              <w:right w:val="single" w:sz="8" w:space="0" w:color="000000"/>
            </w:tcBorders>
            <w:shd w:fill="E2EFD9" w:val="clear"/>
            <w:vAlign w:val="center"/>
          </w:tcPr>
          <w:p>
            <w:pPr>
              <w:pStyle w:val="Normal"/>
              <w:jc w:val="center"/>
              <w:rPr>
                <w:b/>
                <w:bCs/>
                <w:color w:val="000000"/>
                <w:sz w:val="22"/>
                <w:szCs w:val="22"/>
              </w:rPr>
            </w:pPr>
            <w:r>
              <w:rPr>
                <w:b/>
                <w:bCs/>
                <w:color w:val="000000"/>
                <w:sz w:val="22"/>
                <w:szCs w:val="22"/>
              </w:rPr>
              <w:t>13 440 000</w:t>
            </w:r>
          </w:p>
        </w:tc>
      </w:tr>
      <w:tr>
        <w:trPr>
          <w:trHeight w:val="285" w:hRule="atLeast"/>
        </w:trPr>
        <w:tc>
          <w:tcPr>
            <w:tcW w:w="5860" w:type="dxa"/>
            <w:tcBorders>
              <w:left w:val="single" w:sz="8" w:space="0" w:color="000000"/>
              <w:bottom w:val="single" w:sz="4" w:space="0" w:color="000000"/>
              <w:right w:val="single" w:sz="4" w:space="0" w:color="000000"/>
            </w:tcBorders>
            <w:shd w:fill="D63431" w:val="clear"/>
            <w:vAlign w:val="center"/>
          </w:tcPr>
          <w:p>
            <w:pPr>
              <w:pStyle w:val="Normal"/>
              <w:rPr>
                <w:b/>
                <w:bCs/>
                <w:i/>
                <w:i/>
                <w:iCs/>
                <w:color w:val="FFFFFF"/>
                <w:sz w:val="22"/>
                <w:szCs w:val="22"/>
              </w:rPr>
            </w:pPr>
            <w:r>
              <w:rPr>
                <w:b/>
                <w:bCs/>
                <w:i/>
                <w:iCs/>
                <w:color w:val="FFFFFF"/>
                <w:sz w:val="22"/>
                <w:szCs w:val="22"/>
              </w:rPr>
              <w:t>Conditions de financement des IFS</w:t>
            </w:r>
          </w:p>
        </w:tc>
        <w:tc>
          <w:tcPr>
            <w:tcW w:w="1199" w:type="dxa"/>
            <w:tcBorders>
              <w:bottom w:val="single" w:sz="4" w:space="0" w:color="000000"/>
              <w:right w:val="single" w:sz="4" w:space="0" w:color="000000"/>
            </w:tcBorders>
            <w:shd w:fill="D63431" w:val="clear"/>
            <w:vAlign w:val="bottom"/>
          </w:tcPr>
          <w:p>
            <w:pPr>
              <w:pStyle w:val="Normal"/>
              <w:rPr>
                <w:b/>
                <w:bCs/>
                <w:i/>
                <w:i/>
                <w:iCs/>
                <w:color w:val="FFFFFF"/>
                <w:sz w:val="22"/>
                <w:szCs w:val="22"/>
              </w:rPr>
            </w:pPr>
            <w:r>
              <w:rPr/>
            </w:r>
          </w:p>
        </w:tc>
        <w:tc>
          <w:tcPr>
            <w:tcW w:w="1521" w:type="dxa"/>
            <w:tcBorders>
              <w:bottom w:val="single" w:sz="4" w:space="0" w:color="000000"/>
              <w:right w:val="single" w:sz="8" w:space="0" w:color="000000"/>
            </w:tcBorders>
            <w:shd w:fill="D63431" w:val="clear"/>
            <w:vAlign w:val="bottom"/>
          </w:tcPr>
          <w:p>
            <w:pPr>
              <w:pStyle w:val="Normal"/>
              <w:rPr>
                <w:b/>
                <w:bCs/>
                <w:i/>
                <w:i/>
                <w:iCs/>
                <w:color w:val="FFFFFF"/>
                <w:sz w:val="22"/>
                <w:szCs w:val="22"/>
              </w:rPr>
            </w:pPr>
            <w:r>
              <w:rPr/>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Durée du prêt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60</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Taux d'intérêt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8%</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An</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Différé</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6</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Échéance de paiement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54</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échéances</w:t>
            </w:r>
          </w:p>
        </w:tc>
      </w:tr>
      <w:tr>
        <w:trPr>
          <w:trHeight w:val="300" w:hRule="atLeast"/>
        </w:trPr>
        <w:tc>
          <w:tcPr>
            <w:tcW w:w="5860" w:type="dxa"/>
            <w:tcBorders>
              <w:left w:val="single" w:sz="8" w:space="0" w:color="000000"/>
              <w:bottom w:val="single" w:sz="8" w:space="0" w:color="000000"/>
              <w:right w:val="single" w:sz="4" w:space="0" w:color="000000"/>
            </w:tcBorders>
            <w:shd w:fill="FFFFFF" w:val="clear"/>
            <w:vAlign w:val="center"/>
          </w:tcPr>
          <w:p>
            <w:pPr>
              <w:pStyle w:val="Normal"/>
              <w:rPr>
                <w:color w:val="000000"/>
                <w:sz w:val="22"/>
                <w:szCs w:val="22"/>
              </w:rPr>
            </w:pPr>
            <w:r>
              <w:rPr>
                <w:color w:val="000000"/>
                <w:sz w:val="22"/>
                <w:szCs w:val="22"/>
              </w:rPr>
              <w:t>TAF</w:t>
            </w:r>
          </w:p>
        </w:tc>
        <w:tc>
          <w:tcPr>
            <w:tcW w:w="1199" w:type="dxa"/>
            <w:tcBorders>
              <w:bottom w:val="single" w:sz="8"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17%</w:t>
            </w:r>
          </w:p>
        </w:tc>
        <w:tc>
          <w:tcPr>
            <w:tcW w:w="1521" w:type="dxa"/>
            <w:tcBorders>
              <w:bottom w:val="single" w:sz="8" w:space="0" w:color="000000"/>
              <w:right w:val="single" w:sz="8" w:space="0" w:color="000000"/>
            </w:tcBorders>
            <w:shd w:fill="FFFFFF" w:val="clear"/>
            <w:vAlign w:val="center"/>
          </w:tcPr>
          <w:p>
            <w:pPr>
              <w:pStyle w:val="Normal"/>
              <w:jc w:val="center"/>
              <w:rPr>
                <w:color w:val="000000"/>
                <w:sz w:val="22"/>
                <w:szCs w:val="22"/>
              </w:rPr>
            </w:pPr>
            <w:r>
              <w:rPr/>
            </w:r>
          </w:p>
        </w:tc>
      </w:tr>
    </w:tbl>
    <w:p>
      <w:pPr>
        <w:pStyle w:val="Normal"/>
        <w:jc w:val="center"/>
        <w:rPr/>
      </w:pPr>
      <w:r>
        <w:rPr/>
        <w:drawing>
          <wp:inline distT="0" distB="0" distL="0" distR="0">
            <wp:extent cx="5400040" cy="20053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
                    <a:stretch>
                      <a:fillRect/>
                    </a:stretch>
                  </pic:blipFill>
                  <pic:spPr bwMode="auto">
                    <a:xfrm>
                      <a:off x="0" y="0"/>
                      <a:ext cx="5400040" cy="2005330"/>
                    </a:xfrm>
                    <a:prstGeom prst="rect">
                      <a:avLst/>
                    </a:prstGeom>
                  </pic:spPr>
                </pic:pic>
              </a:graphicData>
            </a:graphic>
          </wp:inline>
        </w:drawing>
      </w:r>
    </w:p>
    <w:p>
      <w:pPr>
        <w:pStyle w:val="Normal"/>
        <w:jc w:val="center"/>
        <w:rPr/>
      </w:pPr>
      <w:r>
        <w:rPr>
          <w:i/>
          <w:sz w:val="18"/>
        </w:rPr>
        <w:t>Graphique 1 – Emplois et ressources du projet (millions de F CFA)</w:t>
      </w:r>
    </w:p>
    <w:p>
      <w:pPr>
        <w:pStyle w:val="Heading2"/>
        <w:keepLines/>
        <w:numPr>
          <w:ilvl w:val="1"/>
          <w:numId w:val="5"/>
        </w:numPr>
        <w:spacing w:before="120" w:after="120"/>
        <w:ind w:hanging="491" w:left="851" w:right="0"/>
        <w:jc w:val="both"/>
        <w:rPr>
          <w:rFonts w:ascii="Times New Roman" w:hAnsi="Times New Roman" w:cs="Times New Roman"/>
          <w:i w:val="false"/>
          <w:i w:val="false"/>
          <w:iCs w:val="false"/>
          <w:lang w:val="fr-CI"/>
        </w:rPr>
      </w:pPr>
      <w:bookmarkStart w:id="26" w:name="__RefHeading___Toc234831723"/>
      <w:bookmarkEnd w:id="26"/>
      <w:r>
        <w:rPr>
          <w:rFonts w:cs="Times New Roman" w:ascii="Times New Roman" w:hAnsi="Times New Roman"/>
          <w:i w:val="false"/>
          <w:iCs w:val="false"/>
          <w:lang w:val="fr-CI"/>
        </w:rPr>
        <w:t>Compte d'exploitation prévisionnel</w:t>
      </w:r>
    </w:p>
    <w:tbl>
      <w:tblPr>
        <w:tblW w:w="9928" w:type="dxa"/>
        <w:jc w:val="left"/>
        <w:tblInd w:w="65" w:type="dxa"/>
        <w:tblLayout w:type="fixed"/>
        <w:tblCellMar>
          <w:top w:w="0" w:type="dxa"/>
          <w:left w:w="70" w:type="dxa"/>
          <w:bottom w:w="0" w:type="dxa"/>
          <w:right w:w="70" w:type="dxa"/>
        </w:tblCellMar>
      </w:tblPr>
      <w:tblGrid>
        <w:gridCol w:w="3124"/>
        <w:gridCol w:w="1276"/>
        <w:gridCol w:w="1416"/>
        <w:gridCol w:w="1418"/>
        <w:gridCol w:w="1418"/>
        <w:gridCol w:w="284"/>
        <w:gridCol w:w="991"/>
      </w:tblGrid>
      <w:tr>
        <w:trPr>
          <w:trHeight w:val="405" w:hRule="atLeast"/>
        </w:trPr>
        <w:tc>
          <w:tcPr>
            <w:tcW w:w="7234" w:type="dxa"/>
            <w:gridSpan w:val="4"/>
            <w:tcBorders>
              <w:top w:val="single" w:sz="4" w:space="0" w:color="000000"/>
              <w:left w:val="single" w:sz="4" w:space="0" w:color="000000"/>
              <w:bottom w:val="single" w:sz="4" w:space="0" w:color="000000"/>
            </w:tcBorders>
            <w:shd w:fill="166B7F" w:val="clear"/>
            <w:vAlign w:val="bottom"/>
          </w:tcPr>
          <w:p>
            <w:pPr>
              <w:pStyle w:val="Normal"/>
              <w:jc w:val="center"/>
              <w:rPr>
                <w:b/>
                <w:bCs/>
                <w:sz w:val="22"/>
                <w:szCs w:val="22"/>
              </w:rPr>
            </w:pPr>
            <w:r>
              <w:rPr>
                <w:b/>
                <w:bCs/>
                <w:sz w:val="22"/>
                <w:szCs w:val="22"/>
              </w:rPr>
              <w:t>COMPTE D'EXPLOITATION PREVISIONNEL (FCFA)</w:t>
            </w:r>
          </w:p>
        </w:tc>
        <w:tc>
          <w:tcPr>
            <w:tcW w:w="1702" w:type="dxa"/>
            <w:gridSpan w:val="2"/>
            <w:tcBorders>
              <w:top w:val="single" w:sz="4" w:space="0" w:color="000000"/>
              <w:bottom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991"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60" w:hRule="atLeast"/>
        </w:trPr>
        <w:tc>
          <w:tcPr>
            <w:tcW w:w="312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41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AN4</w:t>
            </w:r>
          </w:p>
        </w:tc>
        <w:tc>
          <w:tcPr>
            <w:tcW w:w="1275" w:type="dxa"/>
            <w:gridSpan w:val="2"/>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AN5</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1. Recettes prévisionnelles</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recettes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19 999 750</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20 399 745</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20 807 740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21 223 895</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21 648 373</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2. Charges d'exploitation</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Achats (matières premières et autres achats)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7 950 000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8 427 000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9 101 160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9 829 253</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10 615 593</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Charges de Personnel</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3 150 000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3 307 500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3 307 500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3 307 500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3 307 500</w:t>
            </w:r>
          </w:p>
        </w:tc>
      </w:tr>
      <w:tr>
        <w:trPr>
          <w:trHeight w:val="570"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Travaux-Fournitures et Services Extérieurs (TFSE)</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800 000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840 000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840 000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840 000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840 000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Autres charges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financiers  et charges assimilées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1 228 864</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990 080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710 528</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430 976</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151 424</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Dotations aux amortissements</w:t>
            </w:r>
          </w:p>
        </w:tc>
        <w:tc>
          <w:tcPr>
            <w:tcW w:w="1276" w:type="dxa"/>
            <w:tcBorders>
              <w:bottom w:val="single" w:sz="4" w:space="0" w:color="000000"/>
              <w:right w:val="single" w:sz="4" w:space="0" w:color="000000"/>
            </w:tcBorders>
            <w:vAlign w:val="bottom"/>
          </w:tcPr>
          <w:p>
            <w:pPr>
              <w:pStyle w:val="Normal"/>
              <w:jc w:val="center"/>
              <w:rPr>
                <w:sz w:val="22"/>
                <w:szCs w:val="22"/>
              </w:rPr>
            </w:pPr>
            <w:r>
              <w:rPr>
                <w:sz w:val="22"/>
                <w:szCs w:val="22"/>
              </w:rPr>
              <w:t>4 000 000</w:t>
            </w:r>
          </w:p>
        </w:tc>
        <w:tc>
          <w:tcPr>
            <w:tcW w:w="1416" w:type="dxa"/>
            <w:tcBorders>
              <w:bottom w:val="single" w:sz="4" w:space="0" w:color="000000"/>
              <w:right w:val="single" w:sz="4" w:space="0" w:color="000000"/>
            </w:tcBorders>
            <w:vAlign w:val="bottom"/>
          </w:tcPr>
          <w:p>
            <w:pPr>
              <w:pStyle w:val="Normal"/>
              <w:jc w:val="center"/>
              <w:rPr>
                <w:sz w:val="22"/>
                <w:szCs w:val="22"/>
              </w:rPr>
            </w:pPr>
            <w:r>
              <w:rPr>
                <w:sz w:val="22"/>
                <w:szCs w:val="22"/>
              </w:rPr>
              <w:t>3 800 000</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3 800 000</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3 800 000</w:t>
            </w:r>
          </w:p>
        </w:tc>
        <w:tc>
          <w:tcPr>
            <w:tcW w:w="1275" w:type="dxa"/>
            <w:gridSpan w:val="2"/>
            <w:tcBorders>
              <w:bottom w:val="single" w:sz="4" w:space="0" w:color="000000"/>
              <w:right w:val="single" w:sz="4" w:space="0" w:color="000000"/>
            </w:tcBorders>
            <w:vAlign w:val="bottom"/>
          </w:tcPr>
          <w:p>
            <w:pPr>
              <w:pStyle w:val="Normal"/>
              <w:jc w:val="center"/>
              <w:rPr>
                <w:sz w:val="22"/>
                <w:szCs w:val="22"/>
              </w:rPr>
            </w:pPr>
            <w:r>
              <w:rPr>
                <w:sz w:val="22"/>
                <w:szCs w:val="22"/>
              </w:rPr>
              <w:t>300 000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charges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17 128 864</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17 364 580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17 759 188</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18 207 729</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15 214 517</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bruts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2 870 886</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3 035 165</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3 048 552</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3 016 166</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6 433 856</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BIC</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Impôts et taxes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283 500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297 675</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297 675</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297 675</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297 675</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nets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2 587 386</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2 737 490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2 750 877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2 718 491</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6 136 181</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CAF</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6 587 386</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6 537 490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6 550 877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6 518 491</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6 436 181</w:t>
            </w:r>
          </w:p>
        </w:tc>
      </w:tr>
      <w:tr>
        <w:trPr>
          <w:trHeight w:val="360" w:hRule="atLeast"/>
        </w:trPr>
        <w:tc>
          <w:tcPr>
            <w:tcW w:w="3124" w:type="dxa"/>
            <w:tcBorders>
              <w:left w:val="single" w:sz="4" w:space="0" w:color="000000"/>
              <w:bottom w:val="single" w:sz="4" w:space="0" w:color="000000"/>
              <w:right w:val="single" w:sz="4" w:space="0" w:color="000000"/>
            </w:tcBorders>
            <w:shd w:fill="00CCFF" w:val="clear"/>
            <w:vAlign w:val="bottom"/>
          </w:tcPr>
          <w:p>
            <w:pPr>
              <w:pStyle w:val="Normal"/>
              <w:jc w:val="center"/>
              <w:rPr>
                <w:b/>
                <w:bCs/>
                <w:sz w:val="22"/>
                <w:szCs w:val="22"/>
              </w:rPr>
            </w:pPr>
            <w:r>
              <w:rPr>
                <w:b/>
                <w:bCs/>
                <w:sz w:val="22"/>
                <w:szCs w:val="22"/>
              </w:rPr>
              <w:t>CAF CUMULEE</w:t>
            </w:r>
          </w:p>
        </w:tc>
        <w:tc>
          <w:tcPr>
            <w:tcW w:w="127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6 587 386</w:t>
            </w:r>
          </w:p>
        </w:tc>
        <w:tc>
          <w:tcPr>
            <w:tcW w:w="141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13 124 876</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19 675 753</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26 194 244</w:t>
            </w:r>
          </w:p>
        </w:tc>
        <w:tc>
          <w:tcPr>
            <w:tcW w:w="1275" w:type="dxa"/>
            <w:gridSpan w:val="2"/>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32 630 424</w:t>
            </w:r>
          </w:p>
        </w:tc>
      </w:tr>
    </w:tbl>
    <w:p>
      <w:pPr>
        <w:pStyle w:val="Normal"/>
        <w:jc w:val="center"/>
        <w:rPr/>
      </w:pPr>
      <w:r>
        <w:rPr/>
        <w:drawing>
          <wp:inline distT="0" distB="0" distL="0" distR="0">
            <wp:extent cx="5400040" cy="26231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3"/>
                    <a:stretch>
                      <a:fillRect/>
                    </a:stretch>
                  </pic:blipFill>
                  <pic:spPr bwMode="auto">
                    <a:xfrm>
                      <a:off x="0" y="0"/>
                      <a:ext cx="5400040" cy="2623185"/>
                    </a:xfrm>
                    <a:prstGeom prst="rect">
                      <a:avLst/>
                    </a:prstGeom>
                  </pic:spPr>
                </pic:pic>
              </a:graphicData>
            </a:graphic>
          </wp:inline>
        </w:drawing>
      </w:r>
    </w:p>
    <w:p>
      <w:pPr>
        <w:pStyle w:val="Normal"/>
        <w:jc w:val="center"/>
        <w:rPr/>
      </w:pPr>
      <w:r>
        <w:rPr>
          <w:i/>
          <w:sz w:val="18"/>
        </w:rPr>
        <w:t>Graphique 2 – Chiffre d'affaires et résultat net sur 5 ans (millions de F CFA)</w:t>
      </w:r>
    </w:p>
    <w:p>
      <w:pPr>
        <w:pStyle w:val="Normal"/>
        <w:jc w:val="center"/>
        <w:rPr>
          <w:sz w:val="22"/>
          <w:szCs w:val="22"/>
          <w:lang w:val="fr-CI"/>
        </w:rPr>
      </w:pPr>
      <w:r>
        <w:rPr>
          <w:sz w:val="22"/>
          <w:szCs w:val="22"/>
          <w:lang w:val="fr-CI"/>
        </w:rPr>
      </w:r>
    </w:p>
    <w:p>
      <w:pPr>
        <w:pStyle w:val="Heading2"/>
        <w:keepLines/>
        <w:numPr>
          <w:ilvl w:val="1"/>
          <w:numId w:val="5"/>
        </w:numPr>
        <w:spacing w:before="120" w:after="120"/>
        <w:ind w:hanging="491" w:left="851" w:right="0"/>
        <w:jc w:val="both"/>
        <w:rPr>
          <w:rFonts w:ascii="Times New Roman" w:hAnsi="Times New Roman" w:cs="Times New Roman"/>
          <w:i w:val="false"/>
          <w:i w:val="false"/>
          <w:iCs w:val="false"/>
          <w:lang w:val="fr-CI"/>
        </w:rPr>
      </w:pPr>
      <w:bookmarkStart w:id="27" w:name="__RefHeading___Toc234831724"/>
      <w:bookmarkEnd w:id="27"/>
      <w:r>
        <w:rPr>
          <w:rFonts w:cs="Times New Roman" w:ascii="Times New Roman" w:hAnsi="Times New Roman"/>
          <w:i w:val="false"/>
          <w:iCs w:val="false"/>
          <w:lang w:val="fr-CI"/>
        </w:rPr>
        <w:t>Tableau de financement annuel</w:t>
      </w:r>
    </w:p>
    <w:tbl>
      <w:tblPr>
        <w:tblW w:w="10070" w:type="dxa"/>
        <w:jc w:val="left"/>
        <w:tblInd w:w="65" w:type="dxa"/>
        <w:tblLayout w:type="fixed"/>
        <w:tblCellMar>
          <w:top w:w="0" w:type="dxa"/>
          <w:left w:w="70" w:type="dxa"/>
          <w:bottom w:w="0" w:type="dxa"/>
          <w:right w:w="70" w:type="dxa"/>
        </w:tblCellMar>
      </w:tblPr>
      <w:tblGrid>
        <w:gridCol w:w="2556"/>
        <w:gridCol w:w="1276"/>
        <w:gridCol w:w="1134"/>
        <w:gridCol w:w="1135"/>
        <w:gridCol w:w="1275"/>
        <w:gridCol w:w="142"/>
        <w:gridCol w:w="1276"/>
        <w:gridCol w:w="1275"/>
      </w:tblGrid>
      <w:tr>
        <w:trPr>
          <w:trHeight w:val="405" w:hRule="atLeast"/>
        </w:trPr>
        <w:tc>
          <w:tcPr>
            <w:tcW w:w="3832" w:type="dxa"/>
            <w:gridSpan w:val="2"/>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COMPTE DE TRESORERIE  (FCFA)</w:t>
            </w:r>
          </w:p>
        </w:tc>
        <w:tc>
          <w:tcPr>
            <w:tcW w:w="1134"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135"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417" w:type="dxa"/>
            <w:gridSpan w:val="2"/>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276" w:type="dxa"/>
            <w:tcBorders>
              <w:top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
          </w:p>
        </w:tc>
        <w:tc>
          <w:tcPr>
            <w:tcW w:w="1275" w:type="dxa"/>
            <w:tcBorders>
              <w:top w:val="single" w:sz="4" w:space="0" w:color="000000"/>
              <w:bottom w:val="single" w:sz="4" w:space="0" w:color="000000"/>
            </w:tcBorders>
            <w:shd w:fill="166B7F" w:val="clear"/>
            <w:vAlign w:val="bottom"/>
          </w:tcPr>
          <w:p>
            <w:pPr>
              <w:pStyle w:val="Normal"/>
              <w:rPr>
                <w:rFonts w:ascii="Cambria" w:hAnsi="Cambria" w:cs="Calibri"/>
                <w:b/>
                <w:bCs/>
                <w:color w:val="FFFFFF"/>
                <w:sz w:val="32"/>
                <w:szCs w:val="32"/>
              </w:rPr>
            </w:pPr>
            <w:r>
              <w:rPr/>
            </w:r>
          </w:p>
        </w:tc>
      </w:tr>
      <w:tr>
        <w:trPr>
          <w:trHeight w:val="375" w:hRule="atLeast"/>
        </w:trPr>
        <w:tc>
          <w:tcPr>
            <w:tcW w:w="255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27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134" w:type="dxa"/>
            <w:tcBorders/>
            <w:vAlign w:val="bottom"/>
          </w:tcPr>
          <w:p>
            <w:pPr>
              <w:pStyle w:val="Normal"/>
              <w:snapToGrid w:val="false"/>
              <w:rPr>
                <w:b/>
                <w:bCs/>
                <w:color w:val="000000"/>
                <w:sz w:val="22"/>
                <w:szCs w:val="22"/>
              </w:rPr>
            </w:pPr>
            <w:r>
              <w:rPr>
                <w:b/>
                <w:bCs/>
                <w:color w:val="000000"/>
                <w:sz w:val="22"/>
                <w:szCs w:val="22"/>
              </w:rPr>
            </w:r>
          </w:p>
        </w:tc>
        <w:tc>
          <w:tcPr>
            <w:tcW w:w="1135" w:type="dxa"/>
            <w:tcBorders/>
            <w:vAlign w:val="bottom"/>
          </w:tcPr>
          <w:p>
            <w:pPr>
              <w:pStyle w:val="Normal"/>
              <w:snapToGrid w:val="false"/>
              <w:rPr>
                <w:b/>
                <w:bCs/>
                <w:color w:val="000000"/>
                <w:sz w:val="22"/>
                <w:szCs w:val="22"/>
              </w:rPr>
            </w:pPr>
            <w:r>
              <w:rPr>
                <w:b/>
                <w:bCs/>
                <w:color w:val="000000"/>
                <w:sz w:val="22"/>
                <w:szCs w:val="22"/>
              </w:rPr>
            </w:r>
          </w:p>
        </w:tc>
        <w:tc>
          <w:tcPr>
            <w:tcW w:w="1417" w:type="dxa"/>
            <w:gridSpan w:val="2"/>
            <w:tcBorders/>
            <w:vAlign w:val="bottom"/>
          </w:tcPr>
          <w:p>
            <w:pPr>
              <w:pStyle w:val="Normal"/>
              <w:snapToGrid w:val="false"/>
              <w:rPr>
                <w:color w:val="000000"/>
                <w:sz w:val="22"/>
                <w:szCs w:val="22"/>
              </w:rPr>
            </w:pPr>
            <w:r>
              <w:rPr>
                <w:color w:val="000000"/>
                <w:sz w:val="22"/>
                <w:szCs w:val="22"/>
              </w:rPr>
            </w:r>
          </w:p>
        </w:tc>
        <w:tc>
          <w:tcPr>
            <w:tcW w:w="1276"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r>
      <w:tr>
        <w:trPr>
          <w:trHeight w:val="360"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AN0</w:t>
            </w:r>
          </w:p>
        </w:tc>
        <w:tc>
          <w:tcPr>
            <w:tcW w:w="1134"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13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gridSpan w:val="2"/>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AN4</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AN5</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SOURCES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personnel</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1 920 000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Crédit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13 440 000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(Projet Vert / Verdissement)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3 840 000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Dotation aux Amortissements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4 000 000</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3 800 000</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3 800 000</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3 800 000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300 000</w:t>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Résultats nets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2 587 386</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2 737 490</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2 750 877</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2 718 491</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6 136 181</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RESSOURCES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19 200 000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6 587 386</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6 537 490</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6 550 877</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6 518 491</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6 436 181</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EMPLOIS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d'établissements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d'investissement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15 500 000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BFR</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3 500 000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Remboursement de CREDIT MOYEN TERME</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1 493 333</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2 986 667</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2 986 667</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2 986 667</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2 986 667</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EMPLOIS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19 200 000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1 493 333</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2 986 667</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2 986 667</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2 986 667</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2 986 667</w:t>
            </w:r>
          </w:p>
        </w:tc>
      </w:tr>
      <w:tr>
        <w:trPr>
          <w:trHeight w:val="300" w:hRule="atLeast"/>
        </w:trPr>
        <w:tc>
          <w:tcPr>
            <w:tcW w:w="2556" w:type="dxa"/>
            <w:tcBorders/>
            <w:vAlign w:val="bottom"/>
          </w:tcPr>
          <w:p>
            <w:pPr>
              <w:pStyle w:val="Normal"/>
              <w:snapToGrid w:val="false"/>
              <w:rPr>
                <w:rFonts w:ascii="Cambria" w:hAnsi="Cambria" w:cs="Calibri"/>
                <w:b/>
                <w:bCs/>
                <w:i/>
                <w:i/>
                <w:iCs/>
                <w:color w:val="000000"/>
                <w:sz w:val="22"/>
                <w:szCs w:val="22"/>
              </w:rPr>
            </w:pPr>
            <w:r>
              <w:rPr>
                <w:rFonts w:cs="Calibri" w:ascii="Cambria" w:hAnsi="Cambria"/>
                <w:b/>
                <w:bCs/>
                <w:i/>
                <w:iCs/>
                <w:color w:val="000000"/>
                <w:sz w:val="22"/>
                <w:szCs w:val="22"/>
              </w:rPr>
            </w:r>
          </w:p>
        </w:tc>
        <w:tc>
          <w:tcPr>
            <w:tcW w:w="1276" w:type="dxa"/>
            <w:tcBorders/>
            <w:vAlign w:val="bottom"/>
          </w:tcPr>
          <w:p>
            <w:pPr>
              <w:pStyle w:val="Normal"/>
              <w:snapToGrid w:val="false"/>
              <w:jc w:val="center"/>
              <w:rPr>
                <w:rFonts w:ascii="Cambria" w:hAnsi="Cambria" w:cs="Calibri"/>
                <w:b/>
                <w:bCs/>
                <w:i/>
                <w:i/>
                <w:iCs/>
                <w:color w:val="000000"/>
                <w:sz w:val="22"/>
                <w:szCs w:val="22"/>
              </w:rPr>
            </w:pPr>
            <w:r>
              <w:rPr>
                <w:rFonts w:cs="Calibri" w:ascii="Cambria" w:hAnsi="Cambria"/>
                <w:b/>
                <w:bCs/>
                <w:i/>
                <w:iCs/>
                <w:color w:val="000000"/>
                <w:sz w:val="22"/>
                <w:szCs w:val="22"/>
              </w:rPr>
            </w:r>
          </w:p>
        </w:tc>
        <w:tc>
          <w:tcPr>
            <w:tcW w:w="1134" w:type="dxa"/>
            <w:tcBorders/>
            <w:vAlign w:val="bottom"/>
          </w:tcPr>
          <w:p>
            <w:pPr>
              <w:pStyle w:val="Normal"/>
              <w:snapToGrid w:val="false"/>
              <w:jc w:val="center"/>
              <w:rPr>
                <w:color w:val="000000"/>
                <w:sz w:val="22"/>
                <w:szCs w:val="22"/>
              </w:rPr>
            </w:pPr>
            <w:r>
              <w:rPr>
                <w:color w:val="000000"/>
                <w:sz w:val="22"/>
                <w:szCs w:val="22"/>
              </w:rPr>
            </w:r>
          </w:p>
        </w:tc>
        <w:tc>
          <w:tcPr>
            <w:tcW w:w="1135" w:type="dxa"/>
            <w:tcBorders/>
            <w:vAlign w:val="bottom"/>
          </w:tcPr>
          <w:p>
            <w:pPr>
              <w:pStyle w:val="Normal"/>
              <w:snapToGrid w:val="false"/>
              <w:jc w:val="center"/>
              <w:rPr>
                <w:color w:val="000000"/>
                <w:sz w:val="22"/>
                <w:szCs w:val="22"/>
              </w:rPr>
            </w:pPr>
            <w:r>
              <w:rPr>
                <w:color w:val="000000"/>
                <w:sz w:val="22"/>
                <w:szCs w:val="22"/>
              </w:rPr>
            </w:r>
          </w:p>
        </w:tc>
        <w:tc>
          <w:tcPr>
            <w:tcW w:w="1275" w:type="dxa"/>
            <w:tcBorders/>
            <w:vAlign w:val="bottom"/>
          </w:tcPr>
          <w:p>
            <w:pPr>
              <w:pStyle w:val="Normal"/>
              <w:snapToGrid w:val="false"/>
              <w:jc w:val="center"/>
              <w:rPr>
                <w:color w:val="000000"/>
                <w:sz w:val="22"/>
                <w:szCs w:val="22"/>
              </w:rPr>
            </w:pPr>
            <w:r>
              <w:rPr>
                <w:color w:val="000000"/>
                <w:sz w:val="22"/>
                <w:szCs w:val="22"/>
              </w:rPr>
            </w:r>
          </w:p>
        </w:tc>
        <w:tc>
          <w:tcPr>
            <w:tcW w:w="1418" w:type="dxa"/>
            <w:gridSpan w:val="2"/>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r>
      <w:tr>
        <w:trPr>
          <w:trHeight w:val="315"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DEGAGEE</w:t>
            </w:r>
          </w:p>
        </w:tc>
        <w:tc>
          <w:tcPr>
            <w:tcW w:w="1276"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5 094 053</w:t>
            </w:r>
          </w:p>
        </w:tc>
        <w:tc>
          <w:tcPr>
            <w:tcW w:w="113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3 550 823</w:t>
            </w:r>
          </w:p>
        </w:tc>
        <w:tc>
          <w:tcPr>
            <w:tcW w:w="127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3 564 210</w:t>
            </w:r>
          </w:p>
        </w:tc>
        <w:tc>
          <w:tcPr>
            <w:tcW w:w="1418" w:type="dxa"/>
            <w:gridSpan w:val="2"/>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3 531 824</w:t>
            </w:r>
          </w:p>
        </w:tc>
        <w:tc>
          <w:tcPr>
            <w:tcW w:w="1275"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i/>
                <w:color w:val="FFFFFF"/>
                <w:sz w:val="22"/>
              </w:rPr>
              <w:t>3 449 514</w:t>
            </w:r>
          </w:p>
        </w:tc>
      </w:tr>
      <w:tr>
        <w:trPr>
          <w:trHeight w:val="315" w:hRule="atLeast"/>
        </w:trPr>
        <w:tc>
          <w:tcPr>
            <w:tcW w:w="2556"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CUMULEE</w:t>
            </w:r>
          </w:p>
        </w:tc>
        <w:tc>
          <w:tcPr>
            <w:tcW w:w="1276"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5 094 053</w:t>
            </w:r>
          </w:p>
        </w:tc>
        <w:tc>
          <w:tcPr>
            <w:tcW w:w="113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8 644 876</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12 209 086</w:t>
            </w:r>
          </w:p>
        </w:tc>
        <w:tc>
          <w:tcPr>
            <w:tcW w:w="1418" w:type="dxa"/>
            <w:gridSpan w:val="2"/>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15 740 910</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19 190 424</w:t>
            </w:r>
          </w:p>
        </w:tc>
      </w:tr>
    </w:tbl>
    <w:p>
      <w:pPr>
        <w:pStyle w:val="Normal"/>
        <w:jc w:val="center"/>
        <w:rPr/>
      </w:pPr>
      <w:r>
        <w:rPr/>
        <w:drawing>
          <wp:inline distT="0" distB="0" distL="0" distR="0">
            <wp:extent cx="5400040" cy="24682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4"/>
                    <a:stretch>
                      <a:fillRect/>
                    </a:stretch>
                  </pic:blipFill>
                  <pic:spPr bwMode="auto">
                    <a:xfrm>
                      <a:off x="0" y="0"/>
                      <a:ext cx="5400040" cy="2468245"/>
                    </a:xfrm>
                    <a:prstGeom prst="rect">
                      <a:avLst/>
                    </a:prstGeom>
                  </pic:spPr>
                </pic:pic>
              </a:graphicData>
            </a:graphic>
          </wp:inline>
        </w:drawing>
      </w:r>
    </w:p>
    <w:p>
      <w:pPr>
        <w:pStyle w:val="Normal"/>
        <w:jc w:val="center"/>
        <w:rPr/>
      </w:pPr>
      <w:r>
        <w:rPr>
          <w:i/>
          <w:sz w:val="18"/>
        </w:rPr>
        <w:t>Graphique 3 – Trésorerie cumulée sur 5 ans (millions de F CFA)</w:t>
      </w:r>
    </w:p>
    <w:p>
      <w:pPr>
        <w:pStyle w:val="Normal"/>
        <w:rPr>
          <w:lang w:val="fr-CI"/>
        </w:rPr>
      </w:pPr>
      <w:r>
        <w:rPr>
          <w:lang w:val="fr-CI"/>
        </w:rPr>
      </w:r>
    </w:p>
    <w:p>
      <w:pPr>
        <w:pStyle w:val="Heading2"/>
        <w:keepLines/>
        <w:numPr>
          <w:ilvl w:val="1"/>
          <w:numId w:val="5"/>
        </w:numPr>
        <w:spacing w:before="120" w:after="120"/>
        <w:ind w:hanging="491" w:left="851" w:right="0"/>
        <w:jc w:val="both"/>
        <w:rPr>
          <w:rFonts w:ascii="Times New Roman" w:hAnsi="Times New Roman" w:cs="Times New Roman"/>
          <w:i w:val="false"/>
          <w:i w:val="false"/>
          <w:iCs w:val="false"/>
          <w:lang w:val="fr-CI"/>
        </w:rPr>
      </w:pPr>
      <w:bookmarkStart w:id="28" w:name="__RefHeading___Toc234831725"/>
      <w:bookmarkEnd w:id="28"/>
      <w:r>
        <w:rPr>
          <w:rFonts w:cs="Times New Roman" w:ascii="Times New Roman" w:hAnsi="Times New Roman"/>
          <w:i w:val="false"/>
          <w:iCs w:val="false"/>
          <w:lang w:val="fr-CI"/>
        </w:rPr>
        <w:t>Bilan de départ</w:t>
      </w:r>
    </w:p>
    <w:tbl>
      <w:tblPr>
        <w:tblW w:w="16240" w:type="dxa"/>
        <w:jc w:val="left"/>
        <w:tblInd w:w="65" w:type="dxa"/>
        <w:tblLayout w:type="fixed"/>
        <w:tblCellMar>
          <w:top w:w="0" w:type="dxa"/>
          <w:left w:w="70" w:type="dxa"/>
          <w:bottom w:w="0" w:type="dxa"/>
          <w:right w:w="70" w:type="dxa"/>
        </w:tblCellMar>
      </w:tblPr>
      <w:tblGrid>
        <w:gridCol w:w="9860"/>
        <w:gridCol w:w="1559"/>
        <w:gridCol w:w="3403"/>
        <w:gridCol w:w="1417"/>
      </w:tblGrid>
      <w:tr>
        <w:trPr>
          <w:trHeight w:val="300" w:hRule="atLeast"/>
        </w:trPr>
        <w:tc>
          <w:tcPr>
            <w:tcW w:w="9860" w:type="dxa"/>
            <w:tcBorders/>
            <w:shd w:fill="FFFFFF" w:val="clear"/>
            <w:vAlign w:val="bottom"/>
          </w:tcPr>
          <w:tbl>
            <w:tblPr>
              <w:tblW w:w="9711" w:type="dxa"/>
              <w:jc w:val="left"/>
              <w:tblInd w:w="225" w:type="dxa"/>
              <w:tblLayout w:type="fixed"/>
              <w:tblCellMar>
                <w:top w:w="0" w:type="dxa"/>
                <w:left w:w="70" w:type="dxa"/>
                <w:bottom w:w="0" w:type="dxa"/>
                <w:right w:w="70" w:type="dxa"/>
              </w:tblCellMar>
            </w:tblPr>
            <w:tblGrid>
              <w:gridCol w:w="3540"/>
              <w:gridCol w:w="1560"/>
              <w:gridCol w:w="3260"/>
              <w:gridCol w:w="1350"/>
            </w:tblGrid>
            <w:tr>
              <w:trPr>
                <w:trHeight w:val="360" w:hRule="atLeast"/>
              </w:trPr>
              <w:tc>
                <w:tcPr>
                  <w:tcW w:w="9710" w:type="dxa"/>
                  <w:gridSpan w:val="4"/>
                  <w:tcBorders>
                    <w:top w:val="single" w:sz="4" w:space="0" w:color="000000"/>
                    <w:left w:val="single" w:sz="4" w:space="0" w:color="000000"/>
                    <w:bottom w:val="single" w:sz="4" w:space="0" w:color="000000"/>
                  </w:tcBorders>
                  <w:shd w:fill="7F1F1F" w:val="clear"/>
                  <w:vAlign w:val="bottom"/>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BILAN DE DEMARRAGE TOUT TYPE PROJET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ACTIF</w:t>
                  </w:r>
                </w:p>
              </w:tc>
              <w:tc>
                <w:tcPr>
                  <w:tcW w:w="15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c>
                <w:tcPr>
                  <w:tcW w:w="32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PASSIF</w:t>
                  </w:r>
                </w:p>
              </w:tc>
              <w:tc>
                <w:tcPr>
                  <w:tcW w:w="135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r>
            <w:tr>
              <w:trPr>
                <w:trHeight w:val="540"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IMMOBILISE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incorporelles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(a)+(b)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1 920 000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Nature (a)</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Espèces (b)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1 920 000</w:t>
                  </w:r>
                </w:p>
              </w:tc>
            </w:tr>
            <w:tr>
              <w:trPr>
                <w:trHeight w:val="349"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Frais de constitution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200 000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Résultat net de l'exercice (bénéfice + ou perte -)</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Subventions d’investissement (Projet Vert)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t>3 840 000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Forage + pompe solaire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3 500 000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CAPITAUX PROPRES (I)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5 760 000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Bassin de rétention 100 m³</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1 000 000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DETTES FINANCIERES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Système goutte-à-goutte (5 ha)</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5 000 000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Emprunts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13 440 000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Clôture 5 ha (grillage)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3 000 000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de crédit-bail et contrats assimilés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Aménagement du terrain (labour, billons)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1 500 000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financières diverses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Pulvérisateurs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125 000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DETTES FINANCIERES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13 440 000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Brouettes + Houes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325 000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RESSOURCES STABLES ( I +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19 200 000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Dabas / Pelles (1 lot)</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Caisses de récolte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150 000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Balances, petit matériel et séchoirs artisanaux</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800 000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IMMOBILISE (I)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15 700 000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CIRCULANT</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PASSIF CIRCULANT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Stocks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Matières premières et autres approvisionnements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1 987 500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En-cours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Créances et emplois assimilés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PASSIF CIRCULANT (III)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Clients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TRESORERIE – PASSIF</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CIRCULANT (II)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1 987 500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PASSIF (IV)</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TRESORERIE - ACTIF</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Banques, caisse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rPr>
                    <w:t>1 512 500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ACTIF (III)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1 512 500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420" w:hRule="atLeast"/>
              </w:trPr>
              <w:tc>
                <w:tcPr>
                  <w:tcW w:w="3540" w:type="dxa"/>
                  <w:tcBorders>
                    <w:top w:val="single" w:sz="4" w:space="0" w:color="000000"/>
                    <w:left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w:t>
                  </w:r>
                </w:p>
              </w:tc>
              <w:tc>
                <w:tcPr>
                  <w:tcW w:w="156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19 200 000</w:t>
                  </w:r>
                </w:p>
              </w:tc>
              <w:tc>
                <w:tcPr>
                  <w:tcW w:w="3260" w:type="dxa"/>
                  <w:tcBorders>
                    <w:top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I+II+III+IV )</w:t>
                  </w:r>
                </w:p>
              </w:tc>
              <w:tc>
                <w:tcPr>
                  <w:tcW w:w="135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19 200 000</w:t>
                  </w:r>
                </w:p>
              </w:tc>
            </w:tr>
            <w:tr>
              <w:trPr>
                <w:trHeight w:val="390" w:hRule="atLeast"/>
              </w:trPr>
              <w:tc>
                <w:tcPr>
                  <w:tcW w:w="354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156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3260" w:type="dxa"/>
                  <w:tcBorders/>
                  <w:shd w:fill="D9E2F3" w:val="clear"/>
                  <w:vAlign w:val="bottom"/>
                </w:tcPr>
                <w:p>
                  <w:pPr>
                    <w:pStyle w:val="Normal"/>
                    <w:snapToGrid w:val="false"/>
                    <w:jc w:val="center"/>
                    <w:rPr>
                      <w:color w:val="000000"/>
                      <w:sz w:val="22"/>
                      <w:szCs w:val="22"/>
                    </w:rPr>
                  </w:pPr>
                  <w:r>
                    <w:rPr>
                      <w:color w:val="000000"/>
                      <w:sz w:val="22"/>
                      <w:szCs w:val="22"/>
                    </w:rPr>
                  </w:r>
                </w:p>
              </w:tc>
              <w:tc>
                <w:tcPr>
                  <w:tcW w:w="1350" w:type="dxa"/>
                  <w:tcBorders/>
                  <w:shd w:fill="D9E2F3" w:val="clear"/>
                  <w:vAlign w:val="bottom"/>
                </w:tcPr>
                <w:p>
                  <w:pPr>
                    <w:pStyle w:val="Normal"/>
                    <w:snapToGrid w:val="false"/>
                    <w:jc w:val="center"/>
                    <w:rPr>
                      <w:color w:val="000000"/>
                      <w:sz w:val="22"/>
                      <w:szCs w:val="22"/>
                    </w:rPr>
                  </w:pPr>
                  <w:r>
                    <w:rPr>
                      <w:color w:val="000000"/>
                      <w:sz w:val="22"/>
                      <w:szCs w:val="22"/>
                    </w:rPr>
                  </w:r>
                </w:p>
              </w:tc>
            </w:tr>
          </w:tbl>
          <w:p>
            <w:pPr>
              <w:pStyle w:val="Normal"/>
              <w:rPr>
                <w:rFonts w:ascii="Cambria" w:hAnsi="Cambria" w:cs="Calibri"/>
                <w:color w:val="000000"/>
                <w:sz w:val="22"/>
                <w:szCs w:val="22"/>
              </w:rPr>
            </w:pPr>
            <w:r>
              <w:rPr/>
            </w:r>
          </w:p>
        </w:tc>
        <w:tc>
          <w:tcPr>
            <w:tcW w:w="1559" w:type="dxa"/>
            <w:tcBorders/>
            <w:shd w:fill="FFFFFF" w:val="clear"/>
            <w:vAlign w:val="bottom"/>
          </w:tcPr>
          <w:p>
            <w:pPr>
              <w:pStyle w:val="Normal"/>
              <w:rPr>
                <w:rFonts w:ascii="Cambria" w:hAnsi="Cambria" w:cs="Calibri"/>
                <w:color w:val="000000"/>
                <w:sz w:val="22"/>
                <w:szCs w:val="22"/>
              </w:rPr>
            </w:pPr>
            <w:r>
              <w:rPr/>
            </w:r>
          </w:p>
        </w:tc>
        <w:tc>
          <w:tcPr>
            <w:tcW w:w="3403" w:type="dxa"/>
            <w:tcBorders/>
            <w:shd w:fill="FFFFFF" w:val="clear"/>
            <w:vAlign w:val="bottom"/>
          </w:tcPr>
          <w:p>
            <w:pPr>
              <w:pStyle w:val="Normal"/>
              <w:rPr>
                <w:rFonts w:ascii="Cambria" w:hAnsi="Cambria" w:cs="Calibri"/>
                <w:color w:val="000000"/>
                <w:sz w:val="22"/>
                <w:szCs w:val="22"/>
              </w:rPr>
            </w:pPr>
            <w:r>
              <w:rPr/>
            </w:r>
          </w:p>
        </w:tc>
        <w:tc>
          <w:tcPr>
            <w:tcW w:w="1417" w:type="dxa"/>
            <w:tcBorders/>
            <w:shd w:fill="FFFFFF" w:val="clear"/>
            <w:vAlign w:val="bottom"/>
          </w:tcPr>
          <w:p>
            <w:pPr>
              <w:pStyle w:val="Normal"/>
              <w:rPr>
                <w:rFonts w:ascii="Cambria" w:hAnsi="Cambria" w:cs="Calibri"/>
                <w:color w:val="000000"/>
                <w:sz w:val="22"/>
                <w:szCs w:val="22"/>
              </w:rPr>
            </w:pPr>
            <w:r>
              <w:rPr/>
            </w:r>
          </w:p>
        </w:tc>
      </w:tr>
    </w:tbl>
    <w:p>
      <w:pPr>
        <w:pStyle w:val="Normal"/>
        <w:jc w:val="center"/>
        <w:rPr>
          <w:sz w:val="22"/>
          <w:szCs w:val="22"/>
          <w:lang w:val="fr-CI"/>
        </w:rPr>
      </w:pPr>
      <w:r>
        <w:rPr>
          <w:sz w:val="22"/>
          <w:szCs w:val="22"/>
          <w:lang w:val="fr-CI"/>
        </w:rPr>
      </w:r>
    </w:p>
    <w:p>
      <w:pPr>
        <w:pStyle w:val="Normal"/>
        <w:jc w:val="both"/>
        <w:rPr>
          <w:iCs/>
          <w:sz w:val="22"/>
          <w:szCs w:val="22"/>
        </w:rPr>
      </w:pPr>
      <w:r>
        <w:rPr>
          <w:iCs/>
          <w:sz w:val="22"/>
          <w:szCs w:val="22"/>
        </w:rPr>
        <w:t xml:space="preserve">Ce bilan de départ montre la situation de démarrage de l’entreprise ainsi que l’allocation des ressources provenant du financement du projet qui est de </w:t>
      </w:r>
      <w:r>
        <w:rPr>
          <w:b/>
          <w:bCs/>
          <w:iCs/>
          <w:sz w:val="22"/>
          <w:szCs w:val="22"/>
          <w:lang w:eastAsia="fr-CA"/>
        </w:rPr>
        <w:t>19 200 000</w:t>
      </w:r>
      <w:r>
        <w:rPr>
          <w:iCs/>
          <w:sz w:val="22"/>
          <w:szCs w:val="22"/>
        </w:rPr>
        <w:t xml:space="preserve"> FCFA.  </w:t>
      </w:r>
    </w:p>
    <w:p>
      <w:pPr>
        <w:pStyle w:val="Normal"/>
        <w:jc w:val="both"/>
        <w:rPr>
          <w:iCs/>
          <w:sz w:val="22"/>
          <w:szCs w:val="22"/>
        </w:rPr>
      </w:pPr>
      <w:r>
        <w:rPr>
          <w:iCs/>
          <w:sz w:val="22"/>
          <w:szCs w:val="22"/>
        </w:rPr>
      </w:r>
    </w:p>
    <w:p>
      <w:pPr>
        <w:pStyle w:val="Heading2"/>
        <w:keepLines/>
        <w:numPr>
          <w:ilvl w:val="1"/>
          <w:numId w:val="5"/>
        </w:numPr>
        <w:spacing w:before="0" w:after="120"/>
        <w:ind w:hanging="491" w:left="851" w:right="0"/>
        <w:jc w:val="both"/>
        <w:rPr>
          <w:rFonts w:ascii="Times New Roman" w:hAnsi="Times New Roman" w:cs="Times New Roman"/>
          <w:i w:val="false"/>
          <w:i w:val="false"/>
          <w:iCs w:val="false"/>
          <w:lang w:val="fr-CI"/>
        </w:rPr>
      </w:pPr>
      <w:bookmarkStart w:id="29" w:name="__RefHeading___Toc234831726"/>
      <w:bookmarkEnd w:id="29"/>
      <w:r>
        <w:rPr>
          <w:rFonts w:cs="Times New Roman" w:ascii="Times New Roman" w:hAnsi="Times New Roman"/>
          <w:i w:val="false"/>
          <w:iCs w:val="false"/>
          <w:lang w:val="fr-CI"/>
        </w:rPr>
        <w:t>Calcul de rentabilité</w:t>
      </w:r>
    </w:p>
    <w:tbl>
      <w:tblPr>
        <w:tblW w:w="9923" w:type="dxa"/>
        <w:jc w:val="left"/>
        <w:tblInd w:w="70" w:type="dxa"/>
        <w:tblLayout w:type="fixed"/>
        <w:tblCellMar>
          <w:top w:w="0" w:type="dxa"/>
          <w:left w:w="70" w:type="dxa"/>
          <w:bottom w:w="0" w:type="dxa"/>
          <w:right w:w="70" w:type="dxa"/>
        </w:tblCellMar>
      </w:tblPr>
      <w:tblGrid>
        <w:gridCol w:w="3544"/>
        <w:gridCol w:w="284"/>
        <w:gridCol w:w="2552"/>
        <w:gridCol w:w="142"/>
        <w:gridCol w:w="1559"/>
        <w:gridCol w:w="142"/>
        <w:gridCol w:w="1419"/>
        <w:gridCol w:w="280"/>
      </w:tblGrid>
      <w:tr>
        <w:trPr>
          <w:trHeight w:val="405" w:hRule="atLeast"/>
        </w:trPr>
        <w:tc>
          <w:tcPr>
            <w:tcW w:w="9642" w:type="dxa"/>
            <w:gridSpan w:val="7"/>
            <w:tcBorders/>
            <w:shd w:fill="166B7F" w:val="clear"/>
            <w:vAlign w:val="bottom"/>
          </w:tcPr>
          <w:p>
            <w:pPr>
              <w:pStyle w:val="Normal"/>
              <w:rPr>
                <w:rFonts w:ascii="Cambria" w:hAnsi="Cambria" w:cs="Calibri"/>
                <w:b/>
                <w:bCs/>
                <w:color w:val="FFFFFF"/>
                <w:sz w:val="32"/>
                <w:szCs w:val="32"/>
              </w:rPr>
            </w:pPr>
            <w:r>
              <w:rPr>
                <w:rFonts w:cs="Calibri" w:ascii="Cambria" w:hAnsi="Cambria"/>
                <w:b/>
                <w:bCs/>
                <w:color w:val="FFFFFF"/>
                <w:sz w:val="32"/>
                <w:szCs w:val="32"/>
              </w:rPr>
              <w:t>G. RATIOS D'ANALYSE ECONOMIQUE ET FINANCIERE (FCFA)</w:t>
            </w:r>
          </w:p>
        </w:tc>
        <w:tc>
          <w:tcPr>
            <w:tcW w:w="280" w:type="dxa"/>
            <w:tcBorders/>
            <w:shd w:fill="166B7F" w:val="clear"/>
            <w:vAlign w:val="bottom"/>
          </w:tcPr>
          <w:p>
            <w:pPr>
              <w:pStyle w:val="Normal"/>
              <w:rPr>
                <w:rFonts w:ascii="Cambria" w:hAnsi="Cambria" w:cs="Calibri"/>
                <w:b/>
                <w:bCs/>
                <w:color w:val="FFFFFF"/>
                <w:sz w:val="22"/>
                <w:szCs w:val="22"/>
              </w:rPr>
            </w:pPr>
            <w:r>
              <w:rPr/>
            </w:r>
          </w:p>
        </w:tc>
      </w:tr>
      <w:tr>
        <w:trPr>
          <w:trHeight w:val="300" w:hRule="atLeast"/>
        </w:trPr>
        <w:tc>
          <w:tcPr>
            <w:tcW w:w="3544" w:type="dxa"/>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3262" w:type="dxa"/>
            <w:gridSpan w:val="4"/>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280" w:type="dxa"/>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1. Le taux de valeur ajoutée</w:t>
            </w:r>
          </w:p>
        </w:tc>
        <w:tc>
          <w:tcPr>
            <w:tcW w:w="2836" w:type="dxa"/>
            <w:gridSpan w:val="2"/>
            <w:tcBorders>
              <w:top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Désignations/Années</w:t>
            </w:r>
          </w:p>
        </w:tc>
        <w:tc>
          <w:tcPr>
            <w:tcW w:w="2836" w:type="dxa"/>
            <w:gridSpan w:val="2"/>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AN1</w:t>
            </w:r>
          </w:p>
        </w:tc>
        <w:tc>
          <w:tcPr>
            <w:tcW w:w="1843" w:type="dxa"/>
            <w:gridSpan w:val="3"/>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AN2</w:t>
            </w:r>
          </w:p>
        </w:tc>
        <w:tc>
          <w:tcPr>
            <w:tcW w:w="1699" w:type="dxa"/>
            <w:gridSpan w:val="2"/>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AN3</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3 150 000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3 307 500</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3 307 500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4 000 000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3 800 000</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3 800 000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1 228 864</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990 080</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710 528</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Résultats bruts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2 870 886</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3 035 165</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3 048 552</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VA</w:t>
            </w:r>
          </w:p>
        </w:tc>
        <w:tc>
          <w:tcPr>
            <w:tcW w:w="2836" w:type="dxa"/>
            <w:gridSpan w:val="2"/>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11 249 750</w:t>
            </w:r>
          </w:p>
        </w:tc>
        <w:tc>
          <w:tcPr>
            <w:tcW w:w="1843" w:type="dxa"/>
            <w:gridSpan w:val="3"/>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11 132 745</w:t>
            </w:r>
          </w:p>
        </w:tc>
        <w:tc>
          <w:tcPr>
            <w:tcW w:w="1699" w:type="dxa"/>
            <w:gridSpan w:val="2"/>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10 866 580</w:t>
            </w:r>
          </w:p>
        </w:tc>
      </w:tr>
      <w:tr>
        <w:trPr>
          <w:trHeight w:val="300" w:hRule="atLeast"/>
        </w:trPr>
        <w:tc>
          <w:tcPr>
            <w:tcW w:w="3544" w:type="dxa"/>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Chiffre d'affaires</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19 999 750</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20 399 745</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20 807 740</w:t>
            </w:r>
          </w:p>
        </w:tc>
      </w:tr>
      <w:tr>
        <w:trPr>
          <w:trHeight w:val="300" w:hRule="atLeast"/>
        </w:trPr>
        <w:tc>
          <w:tcPr>
            <w:tcW w:w="3544" w:type="dxa"/>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de VA (%)</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56%</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55%</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52%</w:t>
            </w:r>
          </w:p>
        </w:tc>
      </w:tr>
      <w:tr>
        <w:trPr>
          <w:trHeight w:val="30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moyen de la Valeur Ajoutée</w:t>
            </w:r>
          </w:p>
        </w:tc>
        <w:tc>
          <w:tcPr>
            <w:tcW w:w="2836" w:type="dxa"/>
            <w:gridSpan w:val="2"/>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54%</w:t>
            </w:r>
          </w:p>
        </w:tc>
        <w:tc>
          <w:tcPr>
            <w:tcW w:w="1843" w:type="dxa"/>
            <w:gridSpan w:val="3"/>
            <w:tcBorders/>
            <w:shd w:fill="A9D18D" w:val="clear"/>
            <w:vAlign w:val="bottom"/>
          </w:tcPr>
          <w:p>
            <w:pPr>
              <w:pStyle w:val="Normal"/>
              <w:jc w:val="center"/>
              <w:rPr>
                <w:rFonts w:ascii="Cambria" w:hAnsi="Cambria" w:cs="Calibri"/>
                <w:b/>
                <w:bCs/>
                <w:i/>
                <w:i/>
                <w:iCs/>
                <w:sz w:val="22"/>
                <w:szCs w:val="22"/>
              </w:rPr>
            </w:pPr>
            <w:r>
              <w:rPr>
                <w:rFonts w:cs="Cambria" w:ascii="Cambria" w:hAnsi="Cambria"/>
                <w:b/>
                <w:i/>
                <w:sz w:val="22"/>
              </w:rPr>
              <w:t>54%</w:t>
            </w:r>
          </w:p>
        </w:tc>
        <w:tc>
          <w:tcPr>
            <w:tcW w:w="1699" w:type="dxa"/>
            <w:gridSpan w:val="2"/>
            <w:tcBorders/>
            <w:shd w:fill="F4C9C8" w:val="clear"/>
            <w:vAlign w:val="bottom"/>
          </w:tcPr>
          <w:p>
            <w:pPr>
              <w:pStyle w:val="Normal"/>
              <w:jc w:val="center"/>
              <w:rPr>
                <w:rFonts w:ascii="Cambria" w:hAnsi="Cambria" w:cs="Calibri"/>
                <w:b/>
                <w:bCs/>
                <w:i/>
                <w:i/>
                <w:iCs/>
                <w:sz w:val="22"/>
                <w:szCs w:val="22"/>
              </w:rPr>
            </w:pPr>
            <w:r>
              <w:rPr/>
            </w:r>
          </w:p>
        </w:tc>
      </w:tr>
      <w:tr>
        <w:trPr>
          <w:trHeight w:val="30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w:t>
            </w:r>
          </w:p>
        </w:tc>
        <w:tc>
          <w:tcPr>
            <w:tcW w:w="2836" w:type="dxa"/>
            <w:gridSpan w:val="2"/>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w:t>
            </w:r>
          </w:p>
        </w:tc>
        <w:tc>
          <w:tcPr>
            <w:tcW w:w="2836" w:type="dxa"/>
            <w:gridSpan w:val="2"/>
            <w:tcBorders>
              <w:top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Charges fixes</w:t>
            </w:r>
          </w:p>
        </w:tc>
        <w:tc>
          <w:tcPr>
            <w:tcW w:w="1843" w:type="dxa"/>
            <w:gridSpan w:val="3"/>
            <w:tcBorders>
              <w:top w:val="single" w:sz="4"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Charges variables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Achats</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9 101 160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3 307 500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Impôts et taxes</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297 675</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45"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Travaux-Fournitures et Services Extérieurs (TFSE)</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840 000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Autres charges</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 et services de la dette</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710 528</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3 800 000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w:t>
            </w:r>
          </w:p>
        </w:tc>
        <w:tc>
          <w:tcPr>
            <w:tcW w:w="2836" w:type="dxa"/>
            <w:gridSpan w:val="2"/>
            <w:tcBorders>
              <w:bottom w:val="single" w:sz="4" w:space="0" w:color="000000"/>
            </w:tcBorders>
            <w:shd w:fill="F4C9C8" w:val="clear"/>
            <w:vAlign w:val="bottom"/>
          </w:tcPr>
          <w:p>
            <w:pPr>
              <w:pStyle w:val="Normal"/>
              <w:jc w:val="right"/>
              <w:rPr>
                <w:rFonts w:ascii="Cambria" w:hAnsi="Cambria" w:cs="Calibri"/>
                <w:b/>
                <w:bCs/>
                <w:i/>
                <w:i/>
                <w:iCs/>
                <w:sz w:val="22"/>
                <w:szCs w:val="22"/>
              </w:rPr>
            </w:pPr>
            <w:r>
              <w:rPr>
                <w:rFonts w:cs="Calibri" w:ascii="Cambria" w:hAnsi="Cambria"/>
                <w:b/>
                <w:bCs/>
                <w:i/>
                <w:iCs/>
                <w:sz w:val="22"/>
                <w:szCs w:val="22"/>
              </w:rPr>
              <w:t>8 115 703</w:t>
            </w:r>
          </w:p>
        </w:tc>
        <w:tc>
          <w:tcPr>
            <w:tcW w:w="1843" w:type="dxa"/>
            <w:gridSpan w:val="3"/>
            <w:tcBorders>
              <w:left w:val="single" w:sz="4" w:space="0" w:color="000000"/>
              <w:bottom w:val="single" w:sz="4" w:space="0" w:color="000000"/>
            </w:tcBorders>
            <w:shd w:fill="F4C9C8" w:val="clear"/>
            <w:vAlign w:val="bottom"/>
          </w:tcPr>
          <w:p>
            <w:pPr>
              <w:pStyle w:val="Normal"/>
              <w:jc w:val="center"/>
              <w:rPr>
                <w:rFonts w:ascii="Cambria" w:hAnsi="Cambria" w:cs="Calibri"/>
                <w:b/>
                <w:bCs/>
                <w:i/>
                <w:i/>
                <w:iCs/>
                <w:sz w:val="22"/>
                <w:szCs w:val="22"/>
              </w:rPr>
            </w:pPr>
            <w:r>
              <w:rPr>
                <w:rFonts w:cs="Calibri" w:ascii="Cambria" w:hAnsi="Cambria"/>
                <w:b/>
                <w:bCs/>
                <w:i/>
                <w:iCs/>
                <w:sz w:val="22"/>
                <w:szCs w:val="22"/>
              </w:rPr>
              <w:t>9 941 160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 (année 3)</w:t>
            </w:r>
          </w:p>
        </w:tc>
        <w:tc>
          <w:tcPr>
            <w:tcW w:w="2836" w:type="dxa"/>
            <w:gridSpan w:val="2"/>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75%</w:t>
            </w:r>
          </w:p>
        </w:tc>
        <w:tc>
          <w:tcPr>
            <w:tcW w:w="1843" w:type="dxa"/>
            <w:gridSpan w:val="3"/>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 xml:space="preserve">    </w:t>
            </w:r>
            <w:r>
              <w:rPr>
                <w:rFonts w:cs="Calibri" w:ascii="Cambria" w:hAnsi="Cambria"/>
                <w:b/>
                <w:bCs/>
                <w:i/>
                <w:iCs/>
                <w:color w:val="FFFFFF"/>
                <w:sz w:val="22"/>
                <w:szCs w:val="22"/>
              </w:rPr>
              <w:t>Seuil de rentabilité (année 1)</w:t>
            </w:r>
          </w:p>
        </w:tc>
        <w:tc>
          <w:tcPr>
            <w:tcW w:w="2836" w:type="dxa"/>
            <w:gridSpan w:val="2"/>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77%</w:t>
            </w:r>
          </w:p>
        </w:tc>
        <w:tc>
          <w:tcPr>
            <w:tcW w:w="1843" w:type="dxa"/>
            <w:gridSpan w:val="3"/>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18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3. Le taux de rentabilité interne (TRI)</w:t>
            </w:r>
          </w:p>
        </w:tc>
        <w:tc>
          <w:tcPr>
            <w:tcW w:w="2836" w:type="dxa"/>
            <w:gridSpan w:val="2"/>
            <w:tcBorders/>
            <w:shd w:fill="21A6C9"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20,8%</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4. La valeur actuelle nette (VAN)</w:t>
            </w:r>
          </w:p>
        </w:tc>
        <w:tc>
          <w:tcPr>
            <w:tcW w:w="2836" w:type="dxa"/>
            <w:gridSpan w:val="2"/>
            <w:tcBorders/>
            <w:shd w:fill="21A6C9" w:val="clear"/>
            <w:vAlign w:val="bottom"/>
          </w:tcPr>
          <w:p>
            <w:pPr>
              <w:pStyle w:val="Normal"/>
              <w:ind w:firstLine="212" w:left="-212" w:right="0"/>
              <w:jc w:val="center"/>
              <w:rPr>
                <w:rFonts w:ascii="Cambria" w:hAnsi="Cambria" w:cs="Cambria"/>
                <w:b/>
                <w:i/>
                <w:i/>
                <w:color w:val="FFFFFF"/>
                <w:sz w:val="22"/>
              </w:rPr>
            </w:pPr>
            <w:r>
              <w:rPr>
                <w:rFonts w:cs="Cambria" w:ascii="Cambria" w:hAnsi="Cambria"/>
                <w:b/>
                <w:i/>
                <w:color w:val="FFFFFF"/>
                <w:sz w:val="22"/>
              </w:rPr>
              <w:t>6 876 214</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F.CFA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135"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6380" w:type="dxa"/>
            <w:gridSpan w:val="3"/>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5.  Délais de récupération (sans actualisation, avec actualisation)</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Sans actualisation</w:t>
            </w:r>
          </w:p>
        </w:tc>
        <w:tc>
          <w:tcPr>
            <w:tcW w:w="2552" w:type="dxa"/>
            <w:tcBorders>
              <w:top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2 ans et 11 mois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Avec actualisation au taux de</w:t>
            </w:r>
          </w:p>
        </w:tc>
        <w:tc>
          <w:tcPr>
            <w:tcW w:w="2552" w:type="dxa"/>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w:t>
            </w:r>
          </w:p>
        </w:tc>
        <w:tc>
          <w:tcPr>
            <w:tcW w:w="1843" w:type="dxa"/>
            <w:gridSpan w:val="3"/>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3 ans et 6 mois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2552" w:type="dxa"/>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585" w:hRule="atLeast"/>
        </w:trPr>
        <w:tc>
          <w:tcPr>
            <w:tcW w:w="3828" w:type="dxa"/>
            <w:gridSpan w:val="2"/>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6. Le taux de marge nette de la troisième année</w:t>
              <w:br/>
            </w:r>
            <w:r>
              <w:rPr>
                <w:rFonts w:cs="Calibri" w:ascii="Cambira;Cambria;Cambria" w:hAnsi="Cambira;Cambria;Cambria"/>
                <w:i/>
                <w:iCs/>
                <w:sz w:val="22"/>
                <w:szCs w:val="22"/>
              </w:rPr>
              <w:t>(résultat net/Chiffres d'affaires)</w:t>
            </w:r>
          </w:p>
        </w:tc>
        <w:tc>
          <w:tcPr>
            <w:tcW w:w="2552" w:type="dxa"/>
            <w:tcBorders/>
            <w:shd w:fill="21A6C9" w:val="clear"/>
            <w:vAlign w:val="center"/>
          </w:tcPr>
          <w:p>
            <w:pPr>
              <w:pStyle w:val="Normal"/>
              <w:jc w:val="center"/>
              <w:rPr>
                <w:rFonts w:ascii="Cambria" w:hAnsi="Cambria" w:cs="Calibri"/>
                <w:b/>
                <w:bCs/>
                <w:i/>
                <w:i/>
                <w:iCs/>
                <w:color w:val="FFFFFF"/>
                <w:sz w:val="22"/>
                <w:szCs w:val="22"/>
              </w:rPr>
            </w:pPr>
            <w:r>
              <w:rPr>
                <w:rFonts w:cs="Cambria" w:ascii="Cambria" w:hAnsi="Cambria"/>
                <w:b/>
                <w:i/>
                <w:color w:val="FFFFFF"/>
                <w:sz w:val="22"/>
              </w:rPr>
              <w:t>13%</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90" w:hRule="atLeast"/>
        </w:trPr>
        <w:tc>
          <w:tcPr>
            <w:tcW w:w="3828" w:type="dxa"/>
            <w:gridSpan w:val="2"/>
            <w:tcBorders/>
            <w:shd w:fill="FFFFFF" w:val="clear"/>
            <w:vAlign w:val="center"/>
          </w:tcPr>
          <w:p>
            <w:pPr>
              <w:pStyle w:val="Normal"/>
              <w:rPr>
                <w:rFonts w:ascii="Cambira;Cambria;Cambria" w:hAnsi="Cambira;Cambria;Cambria" w:cs="Calibri"/>
                <w:b/>
                <w:bCs/>
                <w:color w:val="000080"/>
                <w:sz w:val="22"/>
                <w:szCs w:val="22"/>
              </w:rPr>
            </w:pPr>
            <w:r>
              <w:rPr/>
            </w:r>
          </w:p>
        </w:tc>
        <w:tc>
          <w:tcPr>
            <w:tcW w:w="2694" w:type="dxa"/>
            <w:gridSpan w:val="2"/>
            <w:tcBorders/>
            <w:shd w:fill="FFFFFF" w:val="clear"/>
            <w:vAlign w:val="center"/>
          </w:tcPr>
          <w:p>
            <w:pPr>
              <w:pStyle w:val="Normal"/>
              <w:rPr>
                <w:rFonts w:ascii="Cambira;Cambria;Cambria" w:hAnsi="Cambira;Cambria;Cambria" w:cs="Calibri"/>
                <w:b/>
                <w:bCs/>
                <w:color w:val="000080"/>
                <w:sz w:val="22"/>
                <w:szCs w:val="22"/>
              </w:rPr>
            </w:pPr>
            <w:r>
              <w:rPr/>
            </w:r>
          </w:p>
        </w:tc>
        <w:tc>
          <w:tcPr>
            <w:tcW w:w="1559" w:type="dxa"/>
            <w:tcBorders/>
            <w:shd w:fill="FFFFFF" w:val="clear"/>
            <w:vAlign w:val="bottom"/>
          </w:tcPr>
          <w:p>
            <w:pPr>
              <w:pStyle w:val="Normal"/>
              <w:jc w:val="center"/>
              <w:rPr>
                <w:rFonts w:ascii="Cambira;Cambria;Cambria" w:hAnsi="Cambira;Cambria;Cambria" w:cs="Calibri"/>
                <w:color w:val="000000"/>
                <w:sz w:val="22"/>
                <w:szCs w:val="22"/>
              </w:rPr>
            </w:pPr>
            <w:r>
              <w:rPr/>
            </w:r>
          </w:p>
        </w:tc>
        <w:tc>
          <w:tcPr>
            <w:tcW w:w="1841" w:type="dxa"/>
            <w:gridSpan w:val="3"/>
            <w:tcBorders/>
            <w:shd w:fill="FFFFFF" w:val="clear"/>
            <w:vAlign w:val="bottom"/>
          </w:tcPr>
          <w:p>
            <w:pPr>
              <w:pStyle w:val="Normal"/>
              <w:rPr>
                <w:rFonts w:ascii="Cambira;Cambria;Cambria" w:hAnsi="Cambira;Cambria;Cambria" w:cs="Calibri"/>
                <w:color w:val="000000"/>
                <w:sz w:val="22"/>
                <w:szCs w:val="22"/>
              </w:rPr>
            </w:pPr>
            <w:r>
              <w:rPr/>
            </w:r>
          </w:p>
        </w:tc>
      </w:tr>
    </w:tbl>
    <w:p>
      <w:pPr>
        <w:pStyle w:val="Normal"/>
        <w:rPr/>
      </w:pPr>
      <w:r>
        <w:rPr>
          <w:b/>
          <w:i w:val="false"/>
          <w:sz w:val="22"/>
        </w:rPr>
        <w:t>Analyse de sensibilité</w:t>
      </w:r>
    </w:p>
    <w:p>
      <w:pPr>
        <w:pStyle w:val="Normal"/>
        <w:rPr/>
      </w:pPr>
      <w:r>
        <w:rPr>
          <w:b w:val="false"/>
          <w:i w:val="false"/>
          <w:sz w:val="20"/>
        </w:rPr>
        <w:t>Les indicateurs ont été recalculés dans l’hypothèse d’une baisse de 20 % puis de 30 % des quantités vendues (rendement) ou des prix de vente, toutes les charges étant maintenues.</w:t>
      </w:r>
    </w:p>
    <w:tbl>
      <w:tblPr>
        <w:tblW w:w="9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928"/>
        <w:gridCol w:w="1928"/>
        <w:gridCol w:w="1928"/>
        <w:gridCol w:w="1928"/>
      </w:tblGrid>
      <w:tr>
        <w:trPr/>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Scénario</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Chiffre d’affaires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Résultat net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TRI</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Couverture du principal an 2 (CAF / principal)</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Scénario de base</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19 999 750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2 587 386</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20,8%</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2,19</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−20 %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15 999 800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-1 412 564</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-14,7%</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0,82</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−30 %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13 999 825</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-3 412 539</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non défini (négatif)</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0,14</w:t>
            </w:r>
          </w:p>
        </w:tc>
      </w:tr>
    </w:tbl>
    <w:p>
      <w:pPr>
        <w:pStyle w:val="Normal"/>
        <w:rPr/>
      </w:pPr>
      <w:r>
        <w:rPr>
          <w:b w:val="false"/>
          <w:i/>
          <w:sz w:val="18"/>
        </w:rPr>
        <w:t>Valeur actuelle nette du scénario de base : 6 876 214 F CFA à 8 % (taux du prêt), 5 561 767 F CFA à 10 % et 4 350 707 F CFA à 12 % (coût d’opportunité du capital). Le coefficient de couverture rapporte la capacité d’autofinancement de l’année 2 au principal remboursé la même année ; il doit rester supérieur à 1,2 pour que le remboursement soit assuré.</w:t>
      </w:r>
    </w:p>
    <w:p>
      <w:pPr>
        <w:pStyle w:val="Normal"/>
        <w:rPr/>
      </w:pPr>
      <w:r>
        <w:rPr/>
      </w:r>
    </w:p>
    <w:p>
      <w:pPr>
        <w:pStyle w:val="Heading1"/>
        <w:keepLines/>
        <w:numPr>
          <w:ilvl w:val="0"/>
          <w:numId w:val="5"/>
        </w:numPr>
        <w:spacing w:before="240" w:after="0"/>
        <w:ind w:hanging="431" w:left="431" w:right="0"/>
        <w:jc w:val="both"/>
        <w:rPr>
          <w:rFonts w:ascii="Times New Roman" w:hAnsi="Times New Roman" w:cs="Times New Roman"/>
          <w:caps/>
          <w:color w:val="166B7F"/>
          <w:kern w:val="0"/>
          <w:sz w:val="24"/>
          <w:szCs w:val="24"/>
          <w:lang w:eastAsia="en-US"/>
        </w:rPr>
      </w:pPr>
      <w:bookmarkStart w:id="30" w:name="__RefHeading___Toc234831727"/>
      <w:bookmarkEnd w:id="30"/>
      <w:r>
        <w:rPr>
          <w:rFonts w:cs="Times New Roman" w:ascii="Times New Roman" w:hAnsi="Times New Roman"/>
          <w:caps/>
          <w:color w:val="166B7F"/>
          <w:kern w:val="0"/>
          <w:sz w:val="24"/>
          <w:szCs w:val="24"/>
          <w:lang w:eastAsia="en-US"/>
        </w:rPr>
        <w:t>ANALYSE DES FORCES, FAIBLESSES, OPPORTUNITÉS ET MENACES</w:t>
      </w:r>
    </w:p>
    <w:p>
      <w:pPr>
        <w:pStyle w:val="ds-markdown-paragraph"/>
        <w:shd w:val="clear" w:fill="FFFFFF"/>
        <w:spacing w:lineRule="atLeast" w:line="420" w:before="0" w:after="0"/>
        <w:rPr>
          <w:sz w:val="22"/>
          <w:szCs w:val="22"/>
          <w:lang w:val="fr-CI" w:eastAsia="zh-CN"/>
        </w:rPr>
      </w:pPr>
      <w:r>
        <w:rPr>
          <w:lang w:val="fr-CI" w:eastAsia="zh-CN"/>
        </w:rPr>
        <w:t xml:space="preserve">L'analyse FFOM montre que l'entreprise </w:t>
      </w:r>
      <w:r>
        <w:rPr>
          <w:b/>
          <w:bCs/>
          <w:lang w:val="fr-CI" w:eastAsia="zh-CN"/>
        </w:rPr>
        <w:t>FERME NAGRO</w:t>
      </w:r>
      <w:r>
        <w:rPr>
          <w:lang w:val="fr-CI" w:eastAsia="zh-CN"/>
        </w:rPr>
        <w:t xml:space="preserve"> dispose d'importantes forces qu'elle doit bien exploiter et mettre en valeur pour mieux se positionner face aux concurrents informels. L'expérience du promoteur </w:t>
      </w:r>
      <w:r>
        <w:rPr>
          <w:b/>
          <w:bCs/>
          <w:lang w:val="fr-CI" w:eastAsia="zh-CN"/>
        </w:rPr>
        <w:t>BANOU</w:t>
      </w:r>
      <w:r>
        <w:rPr>
          <w:lang w:val="fr-CI" w:eastAsia="zh-CN"/>
        </w:rPr>
        <w:t xml:space="preserve"> dans la production maraîchère et céréalière, la maîtrise des itinéraires techniques des cultures diversifiées (oignon, gombo, concombre, carotte, aubergine, pastèque, petit mil, maïs), l'accès à l'eau (bassin de rétention, pompe solaire, système goutte-à-goutte) et la bonne planification des campagnes constituent des atouts majeurs. La marque </w:t>
      </w:r>
      <w:r>
        <w:rPr>
          <w:b/>
          <w:bCs/>
          <w:lang w:val="fr-CI" w:eastAsia="zh-CN"/>
        </w:rPr>
        <w:t>FERME NAGRO</w:t>
      </w:r>
      <w:r>
        <w:rPr>
          <w:lang w:val="fr-CI" w:eastAsia="zh-CN"/>
        </w:rPr>
        <w:t xml:space="preserve"> véhicule une image de fraîcheur, de qualité et de diversité. Les opportunités doivent être bien analysées et saisies à temps, notamment la forte demande en produits maraîchers et céréaliers à Fiah, Bamako et environs, l'existence de marchés de gros, de détaillants et de revendeurs, l'appui de l'</w:t>
      </w:r>
      <w:r>
        <w:rPr>
          <w:b/>
          <w:bCs/>
          <w:lang w:val="fr-CI" w:eastAsia="zh-CN"/>
        </w:rPr>
        <w:t>APEJ/OIT</w:t>
      </w:r>
      <w:r>
        <w:rPr>
          <w:lang w:val="fr-CI" w:eastAsia="zh-CN"/>
        </w:rPr>
        <w:t>, la politique de substitution aux importations et la possibilité d'extension progressive de la superficie exploitée. Les faiblesses identifiées (insuffisance de financement propre, superficie de 5 hectares à exploiter, équipement encore faible, notoriété de la marque à construire) doivent être atténuées à travers des actions efficaces de communication, de recherche de partenariats et d'épargne sur les bénéfices. Les menaces qui sont réelles (concurrence des produits importés, aléas climatiques, ravageurs et maladies, volatilité des prix, pannes d'équipements, cherté des intrants, rareté de la main-d'œuvre qualifiée) sont des signaux à suivre et analyser afin de mieux anticiper leurs effets néfastes pour le projet</w:t>
      </w:r>
      <w:r>
        <w:rPr>
          <w:sz w:val="22"/>
          <w:szCs w:val="22"/>
          <w:lang w:val="fr-CI" w:eastAsia="zh-CN"/>
        </w:rPr>
        <w:t>.</w:t>
      </w:r>
    </w:p>
    <w:p>
      <w:pPr>
        <w:pStyle w:val="Normal"/>
        <w:rPr>
          <w:sz w:val="22"/>
          <w:szCs w:val="22"/>
          <w:lang w:val="fr-CI"/>
        </w:rPr>
      </w:pPr>
      <w:r>
        <w:rPr>
          <w:sz w:val="22"/>
          <w:szCs w:val="22"/>
          <w:lang w:val="fr-CI"/>
        </w:rPr>
        <w:t>.</w:t>
      </w:r>
    </w:p>
    <w:p>
      <w:pPr>
        <w:pStyle w:val="Normal"/>
        <w:rPr>
          <w:sz w:val="22"/>
          <w:szCs w:val="22"/>
          <w:lang w:val="fr-CI"/>
        </w:rPr>
      </w:pPr>
      <w:r>
        <w:rPr>
          <w:sz w:val="22"/>
          <w:szCs w:val="22"/>
          <w:lang w:val="fr-CI"/>
        </w:rPr>
      </w:r>
    </w:p>
    <w:tbl>
      <w:tblPr>
        <w:tblpPr w:vertAnchor="text" w:horzAnchor="margin" w:rightFromText="141" w:tblpX="5" w:tblpY="32"/>
        <w:tblW w:w="9363" w:type="dxa"/>
        <w:jc w:val="left"/>
        <w:tblInd w:w="108" w:type="dxa"/>
        <w:tblLayout w:type="fixed"/>
        <w:tblCellMar>
          <w:top w:w="0" w:type="dxa"/>
          <w:left w:w="108" w:type="dxa"/>
          <w:bottom w:w="0" w:type="dxa"/>
          <w:right w:w="108" w:type="dxa"/>
        </w:tblCellMar>
      </w:tblPr>
      <w:tblGrid>
        <w:gridCol w:w="6012"/>
        <w:gridCol w:w="3350"/>
      </w:tblGrid>
      <w:tr>
        <w:trPr>
          <w:trHeight w:val="216" w:hRule="atLeast"/>
        </w:trPr>
        <w:tc>
          <w:tcPr>
            <w:tcW w:w="6012"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FORCES</w:t>
            </w:r>
          </w:p>
        </w:tc>
        <w:tc>
          <w:tcPr>
            <w:tcW w:w="3350"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FAIBLESSE</w:t>
            </w:r>
          </w:p>
        </w:tc>
      </w:tr>
      <w:tr>
        <w:trPr>
          <w:trHeight w:val="2098" w:hRule="atLeast"/>
        </w:trPr>
        <w:tc>
          <w:tcPr>
            <w:tcW w:w="6012" w:type="dxa"/>
            <w:tcBorders>
              <w:top w:val="single" w:sz="4" w:space="0" w:color="000000"/>
              <w:left w:val="single" w:sz="4" w:space="0" w:color="000000"/>
              <w:bottom w:val="single" w:sz="4" w:space="0" w:color="000000"/>
              <w:right w:val="single" w:sz="4" w:space="0" w:color="000000"/>
            </w:tcBorders>
          </w:tcPr>
          <w:p>
            <w:pPr>
              <w:pStyle w:val="Normal"/>
              <w:numPr>
                <w:ilvl w:val="0"/>
                <w:numId w:val="17"/>
              </w:numPr>
              <w:rPr>
                <w:rStyle w:val="Strong"/>
                <w:b w:val="false"/>
                <w:bCs w:val="false"/>
                <w:sz w:val="22"/>
                <w:szCs w:val="22"/>
              </w:rPr>
            </w:pPr>
            <w:r>
              <w:rPr>
                <w:rStyle w:val="Strong"/>
                <w:b w:val="false"/>
                <w:bCs w:val="false"/>
                <w:sz w:val="22"/>
                <w:szCs w:val="22"/>
              </w:rPr>
              <w:t>Expérience du promoteur BANOU dans la production maraîchère et céréalière ;</w:t>
            </w:r>
          </w:p>
          <w:p>
            <w:pPr>
              <w:pStyle w:val="Normal"/>
              <w:numPr>
                <w:ilvl w:val="0"/>
                <w:numId w:val="17"/>
              </w:numPr>
              <w:rPr>
                <w:rStyle w:val="Strong"/>
                <w:b w:val="false"/>
                <w:bCs w:val="false"/>
                <w:sz w:val="22"/>
                <w:szCs w:val="22"/>
              </w:rPr>
            </w:pPr>
            <w:r>
              <w:rPr>
                <w:rStyle w:val="Strong"/>
                <w:b w:val="false"/>
                <w:bCs w:val="false"/>
                <w:sz w:val="22"/>
                <w:szCs w:val="22"/>
              </w:rPr>
              <w:t>Maîtrise des itinéraires techniques des cultures diversifiées : oignon, gombo, concombre, carotte, aubergine, pastèque, petit mil et maïs ;</w:t>
            </w:r>
          </w:p>
          <w:p>
            <w:pPr>
              <w:pStyle w:val="Normal"/>
              <w:numPr>
                <w:ilvl w:val="0"/>
                <w:numId w:val="17"/>
              </w:numPr>
              <w:rPr>
                <w:rStyle w:val="Strong"/>
                <w:b w:val="false"/>
                <w:bCs w:val="false"/>
                <w:sz w:val="22"/>
                <w:szCs w:val="22"/>
              </w:rPr>
            </w:pPr>
            <w:r>
              <w:rPr>
                <w:rStyle w:val="Strong"/>
                <w:b w:val="false"/>
                <w:bCs w:val="false"/>
                <w:sz w:val="22"/>
                <w:szCs w:val="22"/>
              </w:rPr>
              <w:t>Bonne planification et anticipation des campagnes (saison sèche et saison des pluies) ;</w:t>
            </w:r>
          </w:p>
          <w:p>
            <w:pPr>
              <w:pStyle w:val="Normal"/>
              <w:numPr>
                <w:ilvl w:val="0"/>
                <w:numId w:val="17"/>
              </w:numPr>
              <w:rPr>
                <w:rStyle w:val="Strong"/>
                <w:b w:val="false"/>
                <w:bCs w:val="false"/>
                <w:sz w:val="22"/>
                <w:szCs w:val="22"/>
              </w:rPr>
            </w:pPr>
            <w:r>
              <w:rPr>
                <w:rStyle w:val="Strong"/>
                <w:b w:val="false"/>
                <w:bCs w:val="false"/>
                <w:sz w:val="22"/>
                <w:szCs w:val="22"/>
              </w:rPr>
              <w:t>Volonté de fidéliser la clientèle et de lui offrir un bon accueil ;</w:t>
            </w:r>
          </w:p>
          <w:p>
            <w:pPr>
              <w:pStyle w:val="Normal"/>
              <w:numPr>
                <w:ilvl w:val="0"/>
                <w:numId w:val="17"/>
              </w:numPr>
              <w:rPr>
                <w:rStyle w:val="Strong"/>
                <w:b w:val="false"/>
                <w:bCs w:val="false"/>
                <w:sz w:val="22"/>
                <w:szCs w:val="22"/>
              </w:rPr>
            </w:pPr>
            <w:r>
              <w:rPr>
                <w:rStyle w:val="Strong"/>
                <w:b w:val="false"/>
                <w:bCs w:val="false"/>
                <w:sz w:val="22"/>
                <w:szCs w:val="22"/>
              </w:rPr>
              <w:t>Bonne connaissance des marchés de Fiah, des communes environnantes et de Bamako ;</w:t>
            </w:r>
          </w:p>
          <w:p>
            <w:pPr>
              <w:pStyle w:val="Normal"/>
              <w:numPr>
                <w:ilvl w:val="0"/>
                <w:numId w:val="17"/>
              </w:numPr>
              <w:rPr>
                <w:rStyle w:val="Strong"/>
                <w:b w:val="false"/>
                <w:bCs w:val="false"/>
                <w:sz w:val="22"/>
                <w:szCs w:val="22"/>
              </w:rPr>
            </w:pPr>
            <w:r>
              <w:rPr>
                <w:rStyle w:val="Strong"/>
                <w:b w:val="false"/>
                <w:bCs w:val="false"/>
                <w:sz w:val="22"/>
                <w:szCs w:val="22"/>
              </w:rPr>
              <w:t>Recrutement prévu de personnel qualifié et expérimenté (agronome, ouvriers permanents) ;</w:t>
            </w:r>
          </w:p>
          <w:p>
            <w:pPr>
              <w:pStyle w:val="Normal"/>
              <w:numPr>
                <w:ilvl w:val="0"/>
                <w:numId w:val="17"/>
              </w:numPr>
              <w:rPr>
                <w:rStyle w:val="Strong"/>
                <w:b w:val="false"/>
                <w:bCs w:val="false"/>
                <w:sz w:val="22"/>
                <w:szCs w:val="22"/>
              </w:rPr>
            </w:pPr>
            <w:r>
              <w:rPr>
                <w:rStyle w:val="Strong"/>
                <w:b w:val="false"/>
                <w:bCs w:val="false"/>
                <w:sz w:val="22"/>
                <w:szCs w:val="22"/>
              </w:rPr>
              <w:t>Accès à l’eau (forage, pompe solaire, bassin de rétention, système goutte-à-goutte) ;</w:t>
            </w:r>
          </w:p>
          <w:p>
            <w:pPr>
              <w:pStyle w:val="Normal"/>
              <w:numPr>
                <w:ilvl w:val="0"/>
                <w:numId w:val="17"/>
              </w:numPr>
              <w:rPr>
                <w:rStyle w:val="Strong"/>
                <w:b w:val="false"/>
                <w:bCs w:val="false"/>
                <w:sz w:val="22"/>
                <w:szCs w:val="22"/>
              </w:rPr>
            </w:pPr>
            <w:r>
              <w:rPr>
                <w:rStyle w:val="Strong"/>
                <w:b w:val="false"/>
                <w:bCs w:val="false"/>
                <w:sz w:val="22"/>
                <w:szCs w:val="22"/>
              </w:rPr>
              <w:t>Diversification des cultures permettant de sécuriser les revenus sur toute l’année ;</w:t>
            </w:r>
          </w:p>
          <w:p>
            <w:pPr>
              <w:pStyle w:val="Normal"/>
              <w:numPr>
                <w:ilvl w:val="0"/>
                <w:numId w:val="17"/>
              </w:numPr>
              <w:rPr>
                <w:rStyle w:val="Strong"/>
                <w:b w:val="false"/>
                <w:bCs w:val="false"/>
                <w:sz w:val="22"/>
                <w:szCs w:val="22"/>
              </w:rPr>
            </w:pPr>
            <w:r>
              <w:rPr>
                <w:rStyle w:val="Strong"/>
                <w:b w:val="false"/>
                <w:bCs w:val="false"/>
                <w:sz w:val="22"/>
                <w:szCs w:val="22"/>
              </w:rPr>
              <w:t xml:space="preserve">Marque FERME NAGRO porteuse de sens : </w:t>
            </w:r>
            <w:r>
              <w:rPr>
                <w:rStyle w:val="Strong"/>
                <w:b w:val="false"/>
                <w:bCs w:val="false"/>
                <w:i/>
                <w:iCs/>
                <w:sz w:val="22"/>
                <w:szCs w:val="22"/>
              </w:rPr>
              <w:t>Cultiver la diversité, nourrir durablement.</w:t>
            </w:r>
          </w:p>
          <w:p>
            <w:pPr>
              <w:pStyle w:val="Normal"/>
              <w:numPr>
                <w:ilvl w:val="0"/>
                <w:numId w:val="17"/>
              </w:numPr>
              <w:rPr>
                <w:rStyle w:val="Strong"/>
                <w:b w:val="false"/>
                <w:bCs w:val="false"/>
                <w:sz w:val="22"/>
                <w:szCs w:val="22"/>
              </w:rPr>
            </w:pPr>
            <w:r>
              <w:rPr>
                <w:rStyle w:val="Strong"/>
                <w:b w:val="false"/>
                <w:bCs w:val="false"/>
                <w:sz w:val="22"/>
                <w:szCs w:val="22"/>
              </w:rPr>
              <w:t>Amélioration de la fertilité du sol et du rendement agricole ;</w:t>
            </w:r>
          </w:p>
          <w:p>
            <w:pPr>
              <w:pStyle w:val="Normal"/>
              <w:numPr>
                <w:ilvl w:val="0"/>
                <w:numId w:val="17"/>
              </w:numPr>
              <w:rPr>
                <w:rStyle w:val="Strong"/>
                <w:b w:val="false"/>
                <w:bCs w:val="false"/>
                <w:sz w:val="22"/>
                <w:szCs w:val="22"/>
              </w:rPr>
            </w:pPr>
            <w:r>
              <w:rPr>
                <w:rStyle w:val="Strong"/>
                <w:b w:val="false"/>
                <w:bCs w:val="false"/>
                <w:sz w:val="22"/>
                <w:szCs w:val="22"/>
              </w:rPr>
              <w:t>Production de produits maraîchers et céréaliers de bonne qualité ;</w:t>
            </w:r>
          </w:p>
          <w:p>
            <w:pPr>
              <w:pStyle w:val="Normal"/>
              <w:ind w:left="567" w:right="0"/>
              <w:rPr>
                <w:rStyle w:val="Strong"/>
                <w:b w:val="false"/>
                <w:bCs/>
                <w:sz w:val="22"/>
                <w:szCs w:val="22"/>
              </w:rPr>
            </w:pPr>
            <w:r>
              <w:rPr>
                <w:b w:val="false"/>
                <w:bCs/>
                <w:sz w:val="22"/>
                <w:szCs w:val="22"/>
              </w:rPr>
            </w:r>
          </w:p>
        </w:tc>
        <w:tc>
          <w:tcPr>
            <w:tcW w:w="3350" w:type="dxa"/>
            <w:tcBorders>
              <w:top w:val="single" w:sz="4" w:space="0" w:color="000000"/>
              <w:left w:val="single" w:sz="4" w:space="0" w:color="000000"/>
              <w:bottom w:val="single" w:sz="4" w:space="0" w:color="000000"/>
              <w:right w:val="single" w:sz="4" w:space="0" w:color="000000"/>
            </w:tcBorders>
          </w:tcPr>
          <w:p>
            <w:pPr>
              <w:pStyle w:val="Normal"/>
              <w:numPr>
                <w:ilvl w:val="0"/>
                <w:numId w:val="17"/>
              </w:numPr>
              <w:rPr>
                <w:rStyle w:val="Strong"/>
                <w:b w:val="false"/>
                <w:bCs w:val="false"/>
                <w:sz w:val="22"/>
                <w:szCs w:val="22"/>
              </w:rPr>
            </w:pPr>
            <w:r>
              <w:rPr>
                <w:rStyle w:val="Strong"/>
                <w:b w:val="false"/>
                <w:bCs w:val="false"/>
                <w:sz w:val="22"/>
                <w:szCs w:val="22"/>
              </w:rPr>
              <w:t>Insuffisance de financement propre (apport limité à 10 %) ;</w:t>
            </w:r>
          </w:p>
          <w:p>
            <w:pPr>
              <w:pStyle w:val="Normal"/>
              <w:numPr>
                <w:ilvl w:val="0"/>
                <w:numId w:val="17"/>
              </w:numPr>
              <w:rPr>
                <w:rStyle w:val="Strong"/>
                <w:b w:val="false"/>
                <w:bCs w:val="false"/>
                <w:sz w:val="22"/>
                <w:szCs w:val="22"/>
              </w:rPr>
            </w:pPr>
            <w:r>
              <w:rPr>
                <w:rStyle w:val="Strong"/>
                <w:b w:val="false"/>
                <w:bCs w:val="false"/>
                <w:sz w:val="22"/>
                <w:szCs w:val="22"/>
              </w:rPr>
              <w:t>Superficie de 5 hectares à exploiter, nécessitant des investissements lourds ;</w:t>
            </w:r>
          </w:p>
          <w:p>
            <w:pPr>
              <w:pStyle w:val="Normal"/>
              <w:numPr>
                <w:ilvl w:val="0"/>
                <w:numId w:val="17"/>
              </w:numPr>
              <w:rPr>
                <w:rStyle w:val="Strong"/>
                <w:b w:val="false"/>
                <w:bCs w:val="false"/>
                <w:sz w:val="22"/>
                <w:szCs w:val="22"/>
              </w:rPr>
            </w:pPr>
            <w:r>
              <w:rPr>
                <w:rStyle w:val="Strong"/>
                <w:b w:val="false"/>
                <w:bCs w:val="false"/>
                <w:sz w:val="22"/>
                <w:szCs w:val="22"/>
              </w:rPr>
              <w:t>Faible niveau d’équipement de l’exploitation au démarrage ;</w:t>
            </w:r>
          </w:p>
          <w:p>
            <w:pPr>
              <w:pStyle w:val="Normal"/>
              <w:numPr>
                <w:ilvl w:val="0"/>
                <w:numId w:val="17"/>
              </w:numPr>
              <w:rPr>
                <w:rStyle w:val="Strong"/>
                <w:b w:val="false"/>
                <w:bCs w:val="false"/>
                <w:sz w:val="22"/>
                <w:szCs w:val="22"/>
              </w:rPr>
            </w:pPr>
            <w:r>
              <w:rPr>
                <w:rStyle w:val="Strong"/>
                <w:b w:val="false"/>
                <w:bCs w:val="false"/>
                <w:sz w:val="22"/>
                <w:szCs w:val="22"/>
              </w:rPr>
              <w:t>Qualité et disponibilité irrégulières des intrants organiques ;</w:t>
            </w:r>
          </w:p>
          <w:p>
            <w:pPr>
              <w:pStyle w:val="Normal"/>
              <w:numPr>
                <w:ilvl w:val="0"/>
                <w:numId w:val="17"/>
              </w:numPr>
              <w:rPr>
                <w:rStyle w:val="Strong"/>
                <w:b w:val="false"/>
                <w:bCs w:val="false"/>
                <w:sz w:val="22"/>
                <w:szCs w:val="22"/>
              </w:rPr>
            </w:pPr>
            <w:r>
              <w:rPr>
                <w:rStyle w:val="Strong"/>
                <w:b w:val="false"/>
                <w:bCs w:val="false"/>
                <w:sz w:val="22"/>
                <w:szCs w:val="22"/>
              </w:rPr>
              <w:t>Dépendance à l’irrigation (pompe solaire, système goutte-à-goutte) ;</w:t>
            </w:r>
          </w:p>
          <w:p>
            <w:pPr>
              <w:pStyle w:val="Normal"/>
              <w:numPr>
                <w:ilvl w:val="0"/>
                <w:numId w:val="17"/>
              </w:numPr>
              <w:rPr>
                <w:rStyle w:val="Strong"/>
                <w:b w:val="false"/>
                <w:bCs w:val="false"/>
                <w:sz w:val="22"/>
                <w:szCs w:val="22"/>
              </w:rPr>
            </w:pPr>
            <w:r>
              <w:rPr>
                <w:rStyle w:val="Strong"/>
                <w:b w:val="false"/>
                <w:bCs w:val="false"/>
                <w:sz w:val="22"/>
                <w:szCs w:val="22"/>
              </w:rPr>
              <w:t>Notoriété de la marque FERME NAGRO encore à construire ;</w:t>
            </w:r>
          </w:p>
          <w:p>
            <w:pPr>
              <w:pStyle w:val="Normal"/>
              <w:numPr>
                <w:ilvl w:val="0"/>
                <w:numId w:val="17"/>
              </w:numPr>
              <w:rPr>
                <w:rFonts w:ascii="Segoe UI" w:hAnsi="Segoe UI" w:cs="Segoe UI"/>
                <w:b/>
                <w:bCs/>
                <w:color w:val="0F1115"/>
              </w:rPr>
            </w:pPr>
            <w:r>
              <w:rPr>
                <w:rStyle w:val="Strong"/>
                <w:b w:val="false"/>
                <w:bCs w:val="false"/>
                <w:sz w:val="22"/>
                <w:szCs w:val="22"/>
              </w:rPr>
              <w:t>Absence de certification formelle (hygiène, traçabilité</w:t>
            </w:r>
            <w:r>
              <w:rPr>
                <w:rFonts w:cs="Segoe UI" w:ascii="Segoe UI" w:hAnsi="Segoe UI"/>
                <w:b/>
                <w:bCs/>
                <w:color w:val="0F1115"/>
              </w:rPr>
              <w:t>) ;</w:t>
            </w:r>
          </w:p>
          <w:p>
            <w:pPr>
              <w:pStyle w:val="Normal"/>
              <w:numPr>
                <w:ilvl w:val="0"/>
                <w:numId w:val="17"/>
              </w:numPr>
              <w:rPr>
                <w:rStyle w:val="Strong"/>
                <w:b w:val="false"/>
                <w:bCs w:val="false"/>
                <w:sz w:val="22"/>
                <w:szCs w:val="22"/>
              </w:rPr>
            </w:pPr>
            <w:r>
              <w:rPr>
                <w:rStyle w:val="Strong"/>
                <w:b w:val="false"/>
                <w:bCs w:val="false"/>
                <w:sz w:val="22"/>
                <w:szCs w:val="22"/>
              </w:rPr>
              <w:t>Rareté de la main-d’œuvre qualifiée dans la zone ;</w:t>
            </w:r>
          </w:p>
          <w:p>
            <w:pPr>
              <w:pStyle w:val="Normal"/>
              <w:numPr>
                <w:ilvl w:val="0"/>
                <w:numId w:val="17"/>
              </w:numPr>
              <w:rPr>
                <w:rStyle w:val="Strong"/>
                <w:b w:val="false"/>
                <w:bCs w:val="false"/>
                <w:sz w:val="22"/>
                <w:szCs w:val="22"/>
              </w:rPr>
            </w:pPr>
            <w:r>
              <w:rPr>
                <w:rStyle w:val="Strong"/>
                <w:b w:val="false"/>
                <w:bCs w:val="false"/>
                <w:sz w:val="22"/>
                <w:szCs w:val="22"/>
              </w:rPr>
              <w:t>Vulnérabilité aux maladies des cultures.</w:t>
            </w:r>
          </w:p>
          <w:p>
            <w:pPr>
              <w:pStyle w:val="Normal"/>
              <w:rPr>
                <w:rStyle w:val="Strong"/>
                <w:b w:val="false"/>
                <w:bCs w:val="false"/>
                <w:sz w:val="22"/>
                <w:szCs w:val="22"/>
              </w:rPr>
            </w:pPr>
            <w:r>
              <w:rPr>
                <w:b w:val="false"/>
                <w:bCs w:val="false"/>
                <w:sz w:val="22"/>
                <w:szCs w:val="22"/>
              </w:rPr>
            </w:r>
          </w:p>
        </w:tc>
      </w:tr>
      <w:tr>
        <w:trPr>
          <w:trHeight w:val="216" w:hRule="atLeast"/>
        </w:trPr>
        <w:tc>
          <w:tcPr>
            <w:tcW w:w="6012"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OPPORTUNITES</w:t>
            </w:r>
          </w:p>
        </w:tc>
        <w:tc>
          <w:tcPr>
            <w:tcW w:w="3350"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MENACES</w:t>
            </w:r>
          </w:p>
        </w:tc>
      </w:tr>
      <w:tr>
        <w:trPr>
          <w:trHeight w:val="1857" w:hRule="atLeast"/>
        </w:trPr>
        <w:tc>
          <w:tcPr>
            <w:tcW w:w="6012" w:type="dxa"/>
            <w:tcBorders>
              <w:top w:val="single" w:sz="4" w:space="0" w:color="000000"/>
              <w:left w:val="single" w:sz="4" w:space="0" w:color="000000"/>
              <w:bottom w:val="single" w:sz="4" w:space="0" w:color="000000"/>
              <w:right w:val="single" w:sz="4" w:space="0" w:color="000000"/>
            </w:tcBorders>
          </w:tcPr>
          <w:p>
            <w:pPr>
              <w:pStyle w:val="Normal"/>
              <w:numPr>
                <w:ilvl w:val="0"/>
                <w:numId w:val="17"/>
              </w:numPr>
              <w:rPr>
                <w:rStyle w:val="Strong"/>
                <w:b w:val="false"/>
                <w:bCs w:val="false"/>
                <w:sz w:val="22"/>
                <w:szCs w:val="22"/>
              </w:rPr>
            </w:pPr>
            <w:r>
              <w:rPr>
                <w:rStyle w:val="Strong"/>
                <w:b w:val="false"/>
                <w:bCs w:val="false"/>
                <w:sz w:val="22"/>
                <w:szCs w:val="22"/>
              </w:rPr>
              <w:t>Existence de marchés à Fiah, Bamako et environs ;</w:t>
            </w:r>
          </w:p>
          <w:p>
            <w:pPr>
              <w:pStyle w:val="Normal"/>
              <w:numPr>
                <w:ilvl w:val="0"/>
                <w:numId w:val="17"/>
              </w:numPr>
              <w:rPr>
                <w:rStyle w:val="Strong"/>
                <w:b w:val="false"/>
                <w:bCs w:val="false"/>
                <w:sz w:val="22"/>
                <w:szCs w:val="22"/>
              </w:rPr>
            </w:pPr>
            <w:r>
              <w:rPr>
                <w:rStyle w:val="Strong"/>
                <w:b w:val="false"/>
                <w:bCs w:val="false"/>
                <w:sz w:val="22"/>
                <w:szCs w:val="22"/>
              </w:rPr>
              <w:t>Forte demande en produits maraîchers et céréaliers sur les marchés locaux ;</w:t>
            </w:r>
          </w:p>
          <w:p>
            <w:pPr>
              <w:pStyle w:val="Normal"/>
              <w:numPr>
                <w:ilvl w:val="0"/>
                <w:numId w:val="17"/>
              </w:numPr>
              <w:rPr>
                <w:rStyle w:val="Strong"/>
                <w:b w:val="false"/>
                <w:bCs w:val="false"/>
                <w:sz w:val="22"/>
                <w:szCs w:val="22"/>
              </w:rPr>
            </w:pPr>
            <w:r>
              <w:rPr>
                <w:rStyle w:val="Strong"/>
                <w:b w:val="false"/>
                <w:bCs w:val="false"/>
                <w:sz w:val="22"/>
                <w:szCs w:val="22"/>
              </w:rPr>
              <w:t>Existence de marchés de gros, détaillants, revendeurs, hôtels et restaurants ;</w:t>
            </w:r>
          </w:p>
          <w:p>
            <w:pPr>
              <w:pStyle w:val="Normal"/>
              <w:numPr>
                <w:ilvl w:val="0"/>
                <w:numId w:val="17"/>
              </w:numPr>
              <w:rPr>
                <w:rStyle w:val="Strong"/>
                <w:b w:val="false"/>
                <w:bCs w:val="false"/>
                <w:sz w:val="22"/>
                <w:szCs w:val="22"/>
              </w:rPr>
            </w:pPr>
            <w:r>
              <w:rPr>
                <w:rStyle w:val="Strong"/>
                <w:b w:val="false"/>
                <w:bCs w:val="false"/>
                <w:sz w:val="22"/>
                <w:szCs w:val="22"/>
              </w:rPr>
              <w:t>Appui de l’APEJ/OIT à travers le projet AN KA BAARA ;</w:t>
            </w:r>
          </w:p>
          <w:p>
            <w:pPr>
              <w:pStyle w:val="Normal"/>
              <w:numPr>
                <w:ilvl w:val="0"/>
                <w:numId w:val="17"/>
              </w:numPr>
              <w:rPr>
                <w:rStyle w:val="Strong"/>
                <w:b w:val="false"/>
                <w:bCs w:val="false"/>
                <w:sz w:val="22"/>
                <w:szCs w:val="22"/>
              </w:rPr>
            </w:pPr>
            <w:r>
              <w:rPr>
                <w:rStyle w:val="Strong"/>
                <w:b w:val="false"/>
                <w:bCs w:val="false"/>
                <w:sz w:val="22"/>
                <w:szCs w:val="22"/>
              </w:rPr>
              <w:t>Politique de substitution aux importations de produits alimentaires ;</w:t>
            </w:r>
          </w:p>
          <w:p>
            <w:pPr>
              <w:pStyle w:val="Normal"/>
              <w:numPr>
                <w:ilvl w:val="0"/>
                <w:numId w:val="17"/>
              </w:numPr>
              <w:rPr>
                <w:rStyle w:val="Strong"/>
                <w:b w:val="false"/>
                <w:bCs w:val="false"/>
                <w:sz w:val="22"/>
                <w:szCs w:val="22"/>
              </w:rPr>
            </w:pPr>
            <w:r>
              <w:rPr>
                <w:rStyle w:val="Strong"/>
                <w:b w:val="false"/>
                <w:bCs w:val="false"/>
                <w:sz w:val="22"/>
                <w:szCs w:val="22"/>
              </w:rPr>
              <w:t>Possibilité d’extension progressive de la superficie exploitée ;</w:t>
            </w:r>
          </w:p>
          <w:p>
            <w:pPr>
              <w:pStyle w:val="Normal"/>
              <w:numPr>
                <w:ilvl w:val="0"/>
                <w:numId w:val="17"/>
              </w:numPr>
              <w:rPr>
                <w:rStyle w:val="Strong"/>
                <w:b w:val="false"/>
                <w:bCs w:val="false"/>
                <w:sz w:val="22"/>
                <w:szCs w:val="22"/>
              </w:rPr>
            </w:pPr>
            <w:r>
              <w:rPr>
                <w:rStyle w:val="Strong"/>
                <w:b w:val="false"/>
                <w:bCs w:val="false"/>
                <w:sz w:val="22"/>
                <w:szCs w:val="22"/>
              </w:rPr>
              <w:t>Développement futur de produits transformés (séchage d’oignon, farine de maïs, etc.) ;</w:t>
            </w:r>
          </w:p>
          <w:p>
            <w:pPr>
              <w:pStyle w:val="Normal"/>
              <w:numPr>
                <w:ilvl w:val="0"/>
                <w:numId w:val="17"/>
              </w:numPr>
              <w:rPr>
                <w:rFonts w:ascii="Segoe UI" w:hAnsi="Segoe UI" w:cs="Segoe UI"/>
                <w:color w:val="0F1115"/>
              </w:rPr>
            </w:pPr>
            <w:r>
              <w:rPr>
                <w:rStyle w:val="Strong"/>
                <w:b w:val="false"/>
                <w:bCs w:val="false"/>
                <w:sz w:val="22"/>
                <w:szCs w:val="22"/>
              </w:rPr>
              <w:t>Demande croissante en produits frais et sains</w:t>
            </w:r>
            <w:r>
              <w:rPr>
                <w:rFonts w:cs="Segoe UI" w:ascii="Segoe UI" w:hAnsi="Segoe UI"/>
                <w:color w:val="0F1115"/>
              </w:rPr>
              <w:t>.</w:t>
            </w:r>
          </w:p>
          <w:p>
            <w:pPr>
              <w:pStyle w:val="Normal"/>
              <w:ind w:left="720" w:right="0"/>
              <w:rPr>
                <w:rFonts w:ascii="Segoe UI" w:hAnsi="Segoe UI" w:cs="Segoe UI"/>
                <w:color w:val="0F1115"/>
                <w:sz w:val="22"/>
                <w:szCs w:val="22"/>
              </w:rPr>
            </w:pPr>
            <w:r>
              <w:rPr>
                <w:rFonts w:cs="Segoe UI" w:ascii="Segoe UI" w:hAnsi="Segoe UI"/>
                <w:color w:val="0F1115"/>
                <w:sz w:val="22"/>
                <w:szCs w:val="22"/>
              </w:rPr>
            </w:r>
          </w:p>
        </w:tc>
        <w:tc>
          <w:tcPr>
            <w:tcW w:w="3350" w:type="dxa"/>
            <w:tcBorders>
              <w:top w:val="single" w:sz="4" w:space="0" w:color="000000"/>
              <w:left w:val="single" w:sz="4" w:space="0" w:color="000000"/>
              <w:bottom w:val="single" w:sz="4" w:space="0" w:color="000000"/>
              <w:right w:val="single" w:sz="4" w:space="0" w:color="000000"/>
            </w:tcBorders>
          </w:tcPr>
          <w:p>
            <w:pPr>
              <w:pStyle w:val="Normal"/>
              <w:numPr>
                <w:ilvl w:val="0"/>
                <w:numId w:val="17"/>
              </w:numPr>
              <w:rPr>
                <w:rStyle w:val="Strong"/>
                <w:b w:val="false"/>
                <w:bCs w:val="false"/>
              </w:rPr>
            </w:pPr>
            <w:r>
              <w:rPr>
                <w:rStyle w:val="Strong"/>
                <w:b w:val="false"/>
                <w:bCs w:val="false"/>
              </w:rPr>
              <w:t>Existence d’une forte concurrence dans la production maraîchère et céréalière ;</w:t>
            </w:r>
          </w:p>
          <w:p>
            <w:pPr>
              <w:pStyle w:val="Normal"/>
              <w:numPr>
                <w:ilvl w:val="0"/>
                <w:numId w:val="17"/>
              </w:numPr>
              <w:rPr>
                <w:rStyle w:val="Strong"/>
                <w:b w:val="false"/>
                <w:bCs w:val="false"/>
              </w:rPr>
            </w:pPr>
            <w:r>
              <w:rPr>
                <w:rStyle w:val="Strong"/>
                <w:b w:val="false"/>
                <w:bCs w:val="false"/>
              </w:rPr>
              <w:t>Concurrence des produits importés ;</w:t>
            </w:r>
          </w:p>
          <w:p>
            <w:pPr>
              <w:pStyle w:val="Normal"/>
              <w:numPr>
                <w:ilvl w:val="0"/>
                <w:numId w:val="17"/>
              </w:numPr>
              <w:rPr>
                <w:rStyle w:val="Strong"/>
                <w:b w:val="false"/>
                <w:bCs w:val="false"/>
              </w:rPr>
            </w:pPr>
            <w:r>
              <w:rPr>
                <w:rStyle w:val="Strong"/>
                <w:b w:val="false"/>
                <w:bCs w:val="false"/>
              </w:rPr>
              <w:t>Attaques de ravageurs et maladies ;</w:t>
            </w:r>
          </w:p>
          <w:p>
            <w:pPr>
              <w:pStyle w:val="Normal"/>
              <w:numPr>
                <w:ilvl w:val="0"/>
                <w:numId w:val="17"/>
              </w:numPr>
              <w:rPr>
                <w:rStyle w:val="Strong"/>
                <w:b w:val="false"/>
                <w:bCs w:val="false"/>
              </w:rPr>
            </w:pPr>
            <w:r>
              <w:rPr>
                <w:rStyle w:val="Strong"/>
                <w:b w:val="false"/>
                <w:bCs w:val="false"/>
              </w:rPr>
              <w:t>Aléas climatiques (sécheresse, fortes chaleurs, pluies tardives) ;</w:t>
            </w:r>
          </w:p>
          <w:p>
            <w:pPr>
              <w:pStyle w:val="Normal"/>
              <w:numPr>
                <w:ilvl w:val="0"/>
                <w:numId w:val="17"/>
              </w:numPr>
              <w:rPr>
                <w:rStyle w:val="Strong"/>
                <w:b w:val="false"/>
                <w:bCs w:val="false"/>
              </w:rPr>
            </w:pPr>
            <w:r>
              <w:rPr>
                <w:rStyle w:val="Strong"/>
                <w:b w:val="false"/>
                <w:bCs w:val="false"/>
              </w:rPr>
              <w:t>Volatilité des prix en période d’abondance ;</w:t>
            </w:r>
          </w:p>
          <w:p>
            <w:pPr>
              <w:pStyle w:val="Normal"/>
              <w:numPr>
                <w:ilvl w:val="0"/>
                <w:numId w:val="17"/>
              </w:numPr>
              <w:rPr>
                <w:rStyle w:val="Strong"/>
                <w:b w:val="false"/>
                <w:bCs w:val="false"/>
              </w:rPr>
            </w:pPr>
            <w:r>
              <w:rPr>
                <w:rStyle w:val="Strong"/>
                <w:b w:val="false"/>
                <w:bCs w:val="false"/>
              </w:rPr>
              <w:t>Pannes d’équipements (pompe solaire, système d’irrigation) ;</w:t>
            </w:r>
          </w:p>
          <w:p>
            <w:pPr>
              <w:pStyle w:val="Normal"/>
              <w:numPr>
                <w:ilvl w:val="0"/>
                <w:numId w:val="17"/>
              </w:numPr>
              <w:rPr>
                <w:rStyle w:val="Strong"/>
                <w:b w:val="false"/>
                <w:bCs w:val="false"/>
              </w:rPr>
            </w:pPr>
            <w:r>
              <w:rPr>
                <w:rStyle w:val="Strong"/>
                <w:b w:val="false"/>
                <w:bCs w:val="false"/>
              </w:rPr>
              <w:t>Cherté des intrants et des équipements ;</w:t>
            </w:r>
          </w:p>
          <w:p>
            <w:pPr>
              <w:pStyle w:val="Normal"/>
              <w:numPr>
                <w:ilvl w:val="0"/>
                <w:numId w:val="17"/>
              </w:numPr>
              <w:rPr>
                <w:rStyle w:val="Strong"/>
                <w:b w:val="false"/>
                <w:bCs w:val="false"/>
              </w:rPr>
            </w:pPr>
            <w:r>
              <w:rPr>
                <w:rStyle w:val="Strong"/>
                <w:b w:val="false"/>
                <w:bCs w:val="false"/>
              </w:rPr>
              <w:t>Risque de mévente si la qualité ou la conservation n’est pas conforme ;</w:t>
            </w:r>
          </w:p>
          <w:p>
            <w:pPr>
              <w:pStyle w:val="Normal"/>
              <w:numPr>
                <w:ilvl w:val="0"/>
                <w:numId w:val="17"/>
              </w:numPr>
              <w:rPr>
                <w:rStyle w:val="Strong"/>
                <w:b w:val="false"/>
                <w:bCs w:val="false"/>
              </w:rPr>
            </w:pPr>
            <w:r>
              <w:rPr>
                <w:rStyle w:val="Strong"/>
                <w:b w:val="false"/>
                <w:bCs w:val="false"/>
              </w:rPr>
              <w:t>Rareté de la main-d’œuvre qualifiée ;</w:t>
            </w:r>
          </w:p>
          <w:p>
            <w:pPr>
              <w:pStyle w:val="Normal"/>
              <w:numPr>
                <w:ilvl w:val="0"/>
                <w:numId w:val="17"/>
              </w:numPr>
              <w:rPr>
                <w:rStyle w:val="Strong"/>
                <w:b w:val="false"/>
                <w:bCs w:val="false"/>
              </w:rPr>
            </w:pPr>
            <w:r>
              <w:rPr>
                <w:rStyle w:val="Strong"/>
                <w:b w:val="false"/>
                <w:bCs w:val="false"/>
              </w:rPr>
              <w:t>Risque de remboursement du crédit en cas d’aléa.</w:t>
            </w:r>
          </w:p>
          <w:p>
            <w:pPr>
              <w:pStyle w:val="Normal"/>
              <w:rPr>
                <w:rStyle w:val="Strong"/>
                <w:b/>
                <w:bCs w:val="false"/>
                <w:sz w:val="22"/>
                <w:szCs w:val="22"/>
              </w:rPr>
            </w:pPr>
            <w:r>
              <w:rPr>
                <w:b/>
                <w:bCs w:val="false"/>
                <w:sz w:val="22"/>
                <w:szCs w:val="22"/>
              </w:rPr>
            </w:r>
          </w:p>
        </w:tc>
      </w:tr>
    </w:tbl>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jc w:val="center"/>
        <w:rPr>
          <w:sz w:val="22"/>
          <w:szCs w:val="22"/>
          <w:lang w:val="fr-CI" w:eastAsia="en-US"/>
        </w:rPr>
      </w:pPr>
      <w:r>
        <w:rPr>
          <w:sz w:val="22"/>
          <w:szCs w:val="22"/>
          <w:lang w:val="fr-CI" w:eastAsia="en-US"/>
        </w:rPr>
      </w:r>
    </w:p>
    <w:p>
      <w:pPr>
        <w:pStyle w:val="Heading1"/>
        <w:keepLines/>
        <w:numPr>
          <w:ilvl w:val="0"/>
          <w:numId w:val="5"/>
        </w:numPr>
        <w:spacing w:before="0" w:after="0"/>
        <w:ind w:hanging="431" w:left="431" w:right="0"/>
        <w:jc w:val="both"/>
        <w:rPr>
          <w:rFonts w:ascii="Times New Roman" w:hAnsi="Times New Roman" w:cs="Times New Roman"/>
          <w:caps/>
          <w:color w:val="166B7F"/>
          <w:kern w:val="0"/>
          <w:lang w:eastAsia="en-US"/>
        </w:rPr>
      </w:pPr>
      <w:bookmarkStart w:id="31" w:name="__RefHeading___Toc234831728"/>
      <w:bookmarkEnd w:id="31"/>
      <w:r>
        <w:rPr>
          <w:rFonts w:cs="Times New Roman" w:ascii="Times New Roman" w:hAnsi="Times New Roman"/>
          <w:caps/>
          <w:color w:val="166B7F"/>
          <w:kern w:val="0"/>
          <w:lang w:eastAsia="en-US"/>
        </w:rPr>
        <w:t>CONCLUSION</w:t>
      </w:r>
    </w:p>
    <w:p>
      <w:pPr>
        <w:pStyle w:val="Normal"/>
        <w:jc w:val="both"/>
        <w:rPr/>
      </w:pPr>
      <w:r>
        <w:rPr>
          <w:sz w:val="22"/>
          <w:szCs w:val="22"/>
        </w:rPr>
        <w:t>En examinant les ratios de rentabilité économique et financière, le présent projet apparaît rentable, sous réserve de la validation du plan de culture, des rendements et du besoin en fonds de roulement et contribue à la création de cinq (5) emplois permanents (1 promoteur, 1 agronome, 3 ouvriers) ainsi que de dix (10) à quinze (15) emplois saisonniers pour les pics d’activité. Le taux de rentabilité interne (</w:t>
      </w:r>
      <w:r>
        <w:rPr>
          <w:b/>
          <w:bCs/>
          <w:sz w:val="22"/>
          <w:szCs w:val="22"/>
        </w:rPr>
        <w:t>21 %</w:t>
      </w:r>
      <w:r>
        <w:rPr>
          <w:sz w:val="22"/>
          <w:szCs w:val="22"/>
        </w:rPr>
        <w:t>), la valeur actuelle nette (</w:t>
      </w:r>
      <w:r>
        <w:rPr>
          <w:b/>
          <w:bCs/>
          <w:sz w:val="22"/>
          <w:szCs w:val="22"/>
        </w:rPr>
        <w:t>6 876 214 F CFA</w:t>
      </w:r>
      <w:r>
        <w:rPr>
          <w:sz w:val="22"/>
          <w:szCs w:val="22"/>
        </w:rPr>
        <w:t xml:space="preserve">) ainsi que le délai de récupération des capitaux investis (2 ans et 11 mois) indiquent une rentabilité modeste du projet de création de l’entreprise </w:t>
      </w:r>
      <w:r>
        <w:rPr>
          <w:b/>
          <w:bCs/>
          <w:sz w:val="22"/>
          <w:szCs w:val="22"/>
        </w:rPr>
        <w:t>FERME NAGRO</w:t>
      </w:r>
      <w:r>
        <w:rPr>
          <w:sz w:val="22"/>
          <w:szCs w:val="22"/>
        </w:rPr>
        <w:t xml:space="preserve"> dans la production et la commercialisation de produits maraîchers et céréaliers de qualité sur une superficie de 5 hectares à Fiah. L’existence des structures d’accompagnement, notamment l’APEJ et l’OIT à travers le projet </w:t>
      </w:r>
      <w:r>
        <w:rPr>
          <w:b/>
          <w:bCs/>
          <w:sz w:val="22"/>
          <w:szCs w:val="22"/>
        </w:rPr>
        <w:t>AN KA BAARA</w:t>
      </w:r>
      <w:r>
        <w:rPr>
          <w:sz w:val="22"/>
          <w:szCs w:val="22"/>
        </w:rPr>
        <w:t>, permettra au promoteur d’investir dans sa parcelle, de bénéficier d’un accompagnement technique et de rembourser les prêts contractés. Le seuil de rentabilité représente 75 % du chiffre d’affaires en année 3 (77 % en année 1). La mise en œuvre est conditionnée à la production de l’acte de mise à disposition du terrain, des factures pro forma des équipements et d’un échéancier de remboursement adapté au cycle de production.</w:t>
      </w:r>
    </w:p>
    <w:p>
      <w:pPr>
        <w:pStyle w:val="Normal"/>
        <w:rPr/>
      </w:pPr>
      <w:r>
        <w:rPr/>
      </w:r>
    </w:p>
    <w:p>
      <w:pPr>
        <w:pStyle w:val="Normal"/>
        <w:rPr/>
      </w:pPr>
      <w:r>
        <w:rPr>
          <w:b/>
          <w:sz w:val="22"/>
        </w:rPr>
        <w:t>Pièces à joindre au dossier</w:t>
      </w:r>
    </w:p>
    <w:p>
      <w:pPr>
        <w:pStyle w:val="Normal"/>
        <w:rPr/>
      </w:pPr>
      <w:r>
        <w:rPr>
          <w:b w:val="false"/>
          <w:sz w:val="20"/>
        </w:rPr>
        <w:t xml:space="preserve">– </w:t>
      </w:r>
      <w:r>
        <w:rPr>
          <w:b w:val="false"/>
          <w:sz w:val="20"/>
        </w:rPr>
        <w:t>Copie de la pièce d’identité du promoteur (justifiant la date et le lieu de naissance, condition d’éligibilité au dispositif APEJ) ;</w:t>
      </w:r>
    </w:p>
    <w:p>
      <w:pPr>
        <w:pStyle w:val="Normal"/>
        <w:rPr/>
      </w:pPr>
      <w:r>
        <w:rPr>
          <w:b w:val="false"/>
          <w:sz w:val="20"/>
        </w:rPr>
        <w:t xml:space="preserve">– </w:t>
      </w:r>
      <w:r>
        <w:rPr>
          <w:b w:val="false"/>
          <w:sz w:val="20"/>
        </w:rPr>
        <w:t>Attestation(s) de formation du promoteur ;</w:t>
      </w:r>
    </w:p>
    <w:p>
      <w:pPr>
        <w:pStyle w:val="Normal"/>
        <w:rPr/>
      </w:pPr>
      <w:r>
        <w:rPr>
          <w:b w:val="false"/>
          <w:sz w:val="20"/>
        </w:rPr>
        <w:t xml:space="preserve">– </w:t>
      </w:r>
      <w:r>
        <w:rPr>
          <w:b w:val="false"/>
          <w:sz w:val="20"/>
        </w:rPr>
        <w:t>Acte de mise à disposition du terrain ou du local, dûment signé et légalisé (condition préalable au décaissement) ;</w:t>
      </w:r>
    </w:p>
    <w:p>
      <w:pPr>
        <w:pStyle w:val="Normal"/>
        <w:rPr/>
      </w:pPr>
      <w:r>
        <w:rPr>
          <w:b w:val="false"/>
          <w:sz w:val="20"/>
        </w:rPr>
        <w:t xml:space="preserve">– </w:t>
      </w:r>
      <w:r>
        <w:rPr>
          <w:b w:val="false"/>
          <w:sz w:val="20"/>
        </w:rPr>
        <w:t>Lettres d’intention ou engagements d’achat de deux ou trois clients (grossistes, détaillants, collectivités) ;</w:t>
      </w:r>
    </w:p>
    <w:p>
      <w:pPr>
        <w:pStyle w:val="Normal"/>
        <w:rPr/>
      </w:pPr>
      <w:r>
        <w:rPr>
          <w:b w:val="false"/>
          <w:sz w:val="20"/>
        </w:rPr>
        <w:t xml:space="preserve">– </w:t>
      </w:r>
      <w:r>
        <w:rPr>
          <w:b w:val="false"/>
          <w:sz w:val="20"/>
        </w:rPr>
        <w:t>Calendrier de production (calendrier des cultures maraîchères et céréalières).</w:t>
      </w:r>
    </w:p>
    <w:p>
      <w:pPr>
        <w:pStyle w:val="Normal"/>
        <w:rPr/>
      </w:pPr>
      <w:r>
        <w:rPr/>
      </w:r>
    </w:p>
    <w:p>
      <w:pPr>
        <w:pStyle w:val="Normal"/>
        <w:rPr/>
      </w:pPr>
      <w:r>
        <w:rPr>
          <w:b w:val="false"/>
          <w:sz w:val="20"/>
        </w:rPr>
        <w:t>Factures pro forma : le promoteur n’a pas fourni de factures pro forma à la date d’élaboration du présent plan d’affaires ; les montants retenus pour les équipements (système d’irrigation, forage et pompe solaire, séchoirs) sont des estimations.</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849"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Aptos">
    <w:altName w:val="Arial"/>
    <w:charset w:val="01"/>
    <w:family w:val="roman"/>
    <w:pitch w:val="variable"/>
  </w:font>
  <w:font w:name="Aptos Display">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Trebuchet MS">
    <w:charset w:val="01"/>
    <w:family w:val="roman"/>
    <w:pitch w:val="variable"/>
  </w:font>
  <w:font w:name="Garamond">
    <w:charset w:val="01"/>
    <w:family w:val="roman"/>
    <w:pitch w:val="variable"/>
  </w:font>
  <w:font w:name="Segoe UI">
    <w:charset w:val="01"/>
    <w:family w:val="roman"/>
    <w:pitch w:val="variable"/>
  </w:font>
  <w:font w:name="Cambira">
    <w:altName w:val="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708"/>
      </w:tabs>
      <w:jc w:val="center"/>
      <w:rPr>
        <w:rFonts w:ascii="Cambria" w:hAnsi="Cambria" w:cs="Cambria"/>
        <w:sz w:val="20"/>
      </w:rPr>
    </w:pPr>
    <w:r>
      <w:rPr>
        <w:rFonts w:cs="Cambria" w:ascii="Cambria" w:hAnsi="Cambria"/>
      </w:rPr>
      <w:tab/>
      <w:t xml:space="preserve">Page </w:t>
    </w:r>
    <w:r>
      <w:rPr/>
      <w:fldChar w:fldCharType="begin"/>
    </w:r>
    <w:r>
      <w:rPr/>
      <w:instrText xml:space="preserve"> PAGE </w:instrText>
    </w:r>
    <w:r>
      <w:rPr/>
      <w:fldChar w:fldCharType="separate"/>
    </w:r>
    <w:r>
      <w:rPr/>
      <w:t>23</w:t>
    </w:r>
    <w:r>
      <w:rPr/>
      <w:fldChar w:fldCharType="end"/>
    </w:r>
  </w:p>
  <w:p>
    <w:pPr>
      <w:pStyle w:val="Footer"/>
      <w:rPr>
        <w:rFonts w:ascii="Cambria" w:hAnsi="Cambria" w:cs="Cambria"/>
        <w:sz w:val="20"/>
      </w:rPr>
    </w:pPr>
    <w:r>
      <w:rPr>
        <w:rFonts w:cs="Cambria" w:ascii="Cambria" w:hAnsi="Cambria"/>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numPr>
        <w:ilvl w:val="0"/>
        <w:numId w:val="0"/>
      </w:numPr>
      <w:ind w:hanging="0" w:left="0"/>
      <w:outlineLvl w:val="3"/>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8"/>
        <w:tab w:val="left" w:pos="3075" w:leader="none"/>
      </w:tabs>
      <w:rPr>
        <w:b/>
        <w:bCs/>
        <w:sz w:val="22"/>
        <w:szCs w:val="32"/>
      </w:rPr>
    </w:pPr>
    <w:r>
      <w:drawing>
        <wp:anchor behindDoc="1" distT="0" distB="0" distL="114935" distR="114935" simplePos="0" locked="0" layoutInCell="0" allowOverlap="1" relativeHeight="7">
          <wp:simplePos x="0" y="0"/>
          <wp:positionH relativeFrom="column">
            <wp:posOffset>2243455</wp:posOffset>
          </wp:positionH>
          <wp:positionV relativeFrom="paragraph">
            <wp:posOffset>64770</wp:posOffset>
          </wp:positionV>
          <wp:extent cx="1066800" cy="815340"/>
          <wp:effectExtent l="0" t="0" r="0" b="0"/>
          <wp:wrapSquare wrapText="bothSides"/>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
                  <a:srcRect l="-70" t="-53" r="-70" b="-53"/>
                  <a:stretch>
                    <a:fillRect/>
                  </a:stretch>
                </pic:blipFill>
                <pic:spPr bwMode="auto">
                  <a:xfrm>
                    <a:off x="0" y="0"/>
                    <a:ext cx="1066800" cy="815340"/>
                  </a:xfrm>
                  <a:prstGeom prst="rect">
                    <a:avLst/>
                  </a:prstGeom>
                </pic:spPr>
              </pic:pic>
            </a:graphicData>
          </a:graphic>
        </wp:anchor>
      </w:drawing>
    </w:r>
    <w:r>
      <w:rPr/>
      <w:drawing>
        <wp:inline distT="0" distB="0" distL="0" distR="0">
          <wp:extent cx="925830" cy="845820"/>
          <wp:effectExtent l="0" t="0" r="0" b="0"/>
          <wp:docPr id="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
                  <pic:cNvPicPr>
                    <a:picLocks noChangeAspect="1" noChangeArrowheads="1"/>
                  </pic:cNvPicPr>
                </pic:nvPicPr>
                <pic:blipFill>
                  <a:blip r:embed="rId2"/>
                  <a:srcRect l="-76" t="-76" r="-76" b="-76"/>
                  <a:stretch>
                    <a:fillRect/>
                  </a:stretch>
                </pic:blipFill>
                <pic:spPr bwMode="auto">
                  <a:xfrm>
                    <a:off x="0" y="0"/>
                    <a:ext cx="925830" cy="845820"/>
                  </a:xfrm>
                  <a:prstGeom prst="rect">
                    <a:avLst/>
                  </a:prstGeom>
                </pic:spPr>
              </pic:pic>
            </a:graphicData>
          </a:graphic>
        </wp:inline>
      </w:drawing>
    </w:r>
    <w:r>
      <w:rPr/>
      <w:tab/>
      <w:tab/>
      <w:tab/>
      <w:t xml:space="preserve">            </w:t>
    </w:r>
    <w:r>
      <w:rPr/>
      <w:drawing>
        <wp:inline distT="0" distB="0" distL="0" distR="0">
          <wp:extent cx="1003300" cy="77343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rcRect l="-270" t="-270" r="-270" b="-270"/>
                  <a:stretch>
                    <a:fillRect/>
                  </a:stretch>
                </pic:blipFill>
                <pic:spPr bwMode="auto">
                  <a:xfrm>
                    <a:off x="0" y="0"/>
                    <a:ext cx="1003300" cy="773430"/>
                  </a:xfrm>
                  <a:prstGeom prst="rect">
                    <a:avLst/>
                  </a:prstGeom>
                </pic:spPr>
              </pic:pic>
            </a:graphicData>
          </a:graphic>
        </wp:inline>
      </w:drawing>
    </w:r>
  </w:p>
  <w:p>
    <w:pPr>
      <w:pStyle w:val="Header"/>
      <w:rPr>
        <w:b/>
        <w:bCs/>
        <w:sz w:val="22"/>
        <w:szCs w:val="32"/>
      </w:rPr>
    </w:pPr>
    <w:r>
      <w:rPr>
        <w:b/>
        <w:bCs/>
        <w:sz w:val="2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4"/>
      <w:numFmt w:val="upperRoman"/>
      <w:lvlText w:val="%1."/>
      <w:lvlJc w:val="left"/>
      <w:pPr>
        <w:tabs>
          <w:tab w:val="num" w:pos="2475"/>
        </w:tabs>
        <w:ind w:left="2835" w:hanging="360"/>
      </w:pPr>
      <w:rPr/>
    </w:lvl>
    <w:lvl w:ilvl="1">
      <w:start w:val="1"/>
      <w:numFmt w:val="decimal"/>
      <w:lvlText w:val="%1.%2"/>
      <w:lvlJc w:val="left"/>
      <w:pPr>
        <w:tabs>
          <w:tab w:val="num" w:pos="2475"/>
        </w:tabs>
        <w:ind w:left="3195" w:hanging="360"/>
      </w:pPr>
      <w:rPr/>
    </w:lvl>
    <w:lvl w:ilvl="2">
      <w:start w:val="1"/>
      <w:numFmt w:val="decimal"/>
      <w:lvlText w:val="%1.%2.%3"/>
      <w:lvlJc w:val="left"/>
      <w:pPr>
        <w:tabs>
          <w:tab w:val="num" w:pos="2475"/>
        </w:tabs>
        <w:ind w:left="3195" w:hanging="720"/>
      </w:pPr>
      <w:rPr/>
    </w:lvl>
    <w:lvl w:ilvl="3">
      <w:start w:val="1"/>
      <w:numFmt w:val="decimal"/>
      <w:lvlText w:val="%1.%2.%3.%4"/>
      <w:lvlJc w:val="left"/>
      <w:pPr>
        <w:tabs>
          <w:tab w:val="num" w:pos="2475"/>
        </w:tabs>
        <w:ind w:left="4635" w:hanging="1080"/>
      </w:pPr>
      <w:rPr/>
    </w:lvl>
    <w:lvl w:ilvl="4">
      <w:start w:val="1"/>
      <w:numFmt w:val="decimal"/>
      <w:lvlText w:val="%1.%2.%3.%4.%5"/>
      <w:lvlJc w:val="left"/>
      <w:pPr>
        <w:tabs>
          <w:tab w:val="num" w:pos="2475"/>
        </w:tabs>
        <w:ind w:left="4995" w:hanging="1080"/>
      </w:pPr>
      <w:rPr/>
    </w:lvl>
    <w:lvl w:ilvl="5">
      <w:start w:val="1"/>
      <w:numFmt w:val="decimal"/>
      <w:lvlText w:val="%1.%2.%3.%4.%5.%6"/>
      <w:lvlJc w:val="left"/>
      <w:pPr>
        <w:tabs>
          <w:tab w:val="num" w:pos="2475"/>
        </w:tabs>
        <w:ind w:left="5715" w:hanging="1440"/>
      </w:pPr>
      <w:rPr/>
    </w:lvl>
    <w:lvl w:ilvl="6">
      <w:start w:val="1"/>
      <w:numFmt w:val="decimal"/>
      <w:lvlText w:val="%1.%2.%3.%4.%5.%6.%7"/>
      <w:lvlJc w:val="left"/>
      <w:pPr>
        <w:tabs>
          <w:tab w:val="num" w:pos="2475"/>
        </w:tabs>
        <w:ind w:left="6075" w:hanging="1440"/>
      </w:pPr>
      <w:rPr/>
    </w:lvl>
    <w:lvl w:ilvl="7">
      <w:start w:val="1"/>
      <w:numFmt w:val="decimal"/>
      <w:lvlText w:val="%1.%2.%3.%4.%5.%6.%7.%8"/>
      <w:lvlJc w:val="left"/>
      <w:pPr>
        <w:tabs>
          <w:tab w:val="num" w:pos="2475"/>
        </w:tabs>
        <w:ind w:left="6795" w:hanging="1800"/>
      </w:pPr>
      <w:rPr/>
    </w:lvl>
    <w:lvl w:ilvl="8">
      <w:start w:val="1"/>
      <w:numFmt w:val="decimal"/>
      <w:lvlText w:val="%1.%2.%3.%4.%5.%6.%7.%8.%9"/>
      <w:lvlJc w:val="left"/>
      <w:pPr>
        <w:tabs>
          <w:tab w:val="num" w:pos="2475"/>
        </w:tabs>
        <w:ind w:left="7155" w:hanging="180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upperRoman"/>
      <w:lvlText w:val="%1."/>
      <w:lvlJc w:val="left"/>
      <w:pPr>
        <w:tabs>
          <w:tab w:val="num" w:pos="0"/>
        </w:tabs>
        <w:ind w:left="1080" w:hanging="72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160" w:hanging="1800"/>
      </w:pPr>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13">
    <w:lvl w:ilvl="0">
      <w:start w:val="2"/>
      <w:numFmt w:val="decimal"/>
      <w:lvlText w:val="%1"/>
      <w:lvlJc w:val="left"/>
      <w:pPr>
        <w:tabs>
          <w:tab w:val="num" w:pos="0"/>
        </w:tabs>
        <w:ind w:left="360" w:hanging="360"/>
      </w:pPr>
      <w:rPr/>
    </w:lvl>
    <w:lvl w:ilvl="1">
      <w:start w:val="1"/>
      <w:numFmt w:val="decimal"/>
      <w:lvlText w:val="%1.%2"/>
      <w:lvlJc w:val="left"/>
      <w:pPr>
        <w:tabs>
          <w:tab w:val="num" w:pos="0"/>
        </w:tabs>
        <w:ind w:left="1211" w:hanging="360"/>
      </w:pPr>
      <w:rPr/>
    </w:lvl>
    <w:lvl w:ilvl="2">
      <w:start w:val="1"/>
      <w:numFmt w:val="decimal"/>
      <w:lvlText w:val="%1.%2.%3"/>
      <w:lvlJc w:val="left"/>
      <w:pPr>
        <w:tabs>
          <w:tab w:val="num" w:pos="0"/>
        </w:tabs>
        <w:ind w:left="2422" w:hanging="720"/>
      </w:pPr>
      <w:rPr/>
    </w:lvl>
    <w:lvl w:ilvl="3">
      <w:start w:val="1"/>
      <w:numFmt w:val="decimal"/>
      <w:lvlText w:val="%1.%2.%3.%4"/>
      <w:lvlJc w:val="left"/>
      <w:pPr>
        <w:tabs>
          <w:tab w:val="num" w:pos="0"/>
        </w:tabs>
        <w:ind w:left="3633" w:hanging="1080"/>
      </w:pPr>
      <w:rPr/>
    </w:lvl>
    <w:lvl w:ilvl="4">
      <w:start w:val="1"/>
      <w:numFmt w:val="decimal"/>
      <w:lvlText w:val="%1.%2.%3.%4.%5"/>
      <w:lvlJc w:val="left"/>
      <w:pPr>
        <w:tabs>
          <w:tab w:val="num" w:pos="0"/>
        </w:tabs>
        <w:ind w:left="4484" w:hanging="1080"/>
      </w:pPr>
      <w:rPr/>
    </w:lvl>
    <w:lvl w:ilvl="5">
      <w:start w:val="1"/>
      <w:numFmt w:val="decimal"/>
      <w:lvlText w:val="%1.%2.%3.%4.%5.%6"/>
      <w:lvlJc w:val="left"/>
      <w:pPr>
        <w:tabs>
          <w:tab w:val="num" w:pos="0"/>
        </w:tabs>
        <w:ind w:left="5695" w:hanging="1440"/>
      </w:pPr>
      <w:rPr/>
    </w:lvl>
    <w:lvl w:ilvl="6">
      <w:start w:val="1"/>
      <w:numFmt w:val="decimal"/>
      <w:lvlText w:val="%1.%2.%3.%4.%5.%6.%7"/>
      <w:lvlJc w:val="left"/>
      <w:pPr>
        <w:tabs>
          <w:tab w:val="num" w:pos="0"/>
        </w:tabs>
        <w:ind w:left="6546" w:hanging="1440"/>
      </w:pPr>
      <w:rPr/>
    </w:lvl>
    <w:lvl w:ilvl="7">
      <w:start w:val="1"/>
      <w:numFmt w:val="decimal"/>
      <w:lvlText w:val="%1.%2.%3.%4.%5.%6.%7.%8"/>
      <w:lvlJc w:val="left"/>
      <w:pPr>
        <w:tabs>
          <w:tab w:val="num" w:pos="0"/>
        </w:tabs>
        <w:ind w:left="7757" w:hanging="1800"/>
      </w:pPr>
      <w:rPr/>
    </w:lvl>
    <w:lvl w:ilvl="8">
      <w:start w:val="1"/>
      <w:numFmt w:val="decimal"/>
      <w:lvlText w:val="%1.%2.%3.%4.%5.%6.%7.%8.%9"/>
      <w:lvlJc w:val="left"/>
      <w:pPr>
        <w:tabs>
          <w:tab w:val="num" w:pos="0"/>
        </w:tabs>
        <w:ind w:left="8608" w:hanging="1800"/>
      </w:pPr>
      <w:rPr/>
    </w:lvl>
  </w:abstractNum>
  <w:abstractNum w:abstractNumId="14">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decimal"/>
      <w:lvlText w:val="%1."/>
      <w:lvlJc w:val="left"/>
      <w:pPr>
        <w:tabs>
          <w:tab w:val="num" w:pos="0"/>
        </w:tabs>
        <w:ind w:left="720" w:hanging="360"/>
      </w:pPr>
      <w:rPr>
        <w:b/>
        <w:bCs w:val="false"/>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567"/>
        </w:tabs>
        <w:ind w:left="567" w:hanging="283"/>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70"/>
  <w:defaultTabStop w:val="708"/>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tabs>
        <w:tab w:val="clear" w:pos="708"/>
        <w:tab w:val="left" w:pos="0" w:leader="none"/>
      </w:tabs>
      <w:spacing w:before="240" w:after="60"/>
      <w:ind w:hanging="432" w:left="432" w:right="0"/>
      <w:outlineLvl w:val="1"/>
    </w:pPr>
    <w:rPr>
      <w:rFonts w:ascii="Cambria" w:hAnsi="Cambria" w:cs="Cambria"/>
      <w:b/>
      <w:bCs/>
      <w:i/>
      <w:iCs/>
      <w:sz w:val="28"/>
      <w:szCs w:val="28"/>
    </w:rPr>
  </w:style>
  <w:style w:type="paragraph" w:styleId="Heading3">
    <w:name w:val="Heading 3"/>
    <w:basedOn w:val="Normal"/>
    <w:next w:val="Normal"/>
    <w:qFormat/>
    <w:pPr>
      <w:keepNext w:val="true"/>
      <w:tabs>
        <w:tab w:val="clear" w:pos="708"/>
        <w:tab w:val="left" w:pos="0" w:leader="none"/>
      </w:tabs>
      <w:spacing w:before="240" w:after="60"/>
      <w:ind w:hanging="432" w:left="432" w:right="0"/>
      <w:outlineLvl w:val="2"/>
    </w:pPr>
    <w:rPr>
      <w:rFonts w:ascii="Cambria" w:hAnsi="Cambria" w:cs="Cambria"/>
      <w:b/>
      <w:bCs/>
      <w:sz w:val="26"/>
      <w:szCs w:val="26"/>
    </w:rPr>
  </w:style>
  <w:style w:type="paragraph" w:styleId="Heading4">
    <w:name w:val="Heading 4"/>
    <w:basedOn w:val="Normal"/>
    <w:next w:val="Normal"/>
    <w:qFormat/>
    <w:pPr>
      <w:keepNext w:val="true"/>
      <w:tabs>
        <w:tab w:val="clear" w:pos="708"/>
        <w:tab w:val="left" w:pos="0" w:leader="none"/>
      </w:tabs>
      <w:spacing w:before="240" w:after="60"/>
      <w:ind w:hanging="432" w:left="432" w:right="0"/>
      <w:outlineLvl w:val="3"/>
    </w:pPr>
    <w:rPr>
      <w:rFonts w:ascii="Aptos;Arial;Calibri" w:hAnsi="Aptos;Arial;Calibri" w:cs="Aptos;Arial;Calibri"/>
      <w:b/>
      <w:bCs/>
      <w:sz w:val="28"/>
      <w:szCs w:val="28"/>
    </w:rPr>
  </w:style>
  <w:style w:type="paragraph" w:styleId="Heading5">
    <w:name w:val="Heading 5"/>
    <w:basedOn w:val="Normal"/>
    <w:next w:val="Normal"/>
    <w:qFormat/>
    <w:pPr>
      <w:tabs>
        <w:tab w:val="clear" w:pos="708"/>
        <w:tab w:val="left" w:pos="0" w:leader="none"/>
      </w:tabs>
      <w:spacing w:before="240" w:after="60"/>
      <w:ind w:hanging="432" w:left="432" w:right="0"/>
      <w:outlineLvl w:val="4"/>
    </w:pPr>
    <w:rPr>
      <w:rFonts w:ascii="Aptos;Arial;Calibri" w:hAnsi="Aptos;Arial;Calibri" w:cs="Aptos;Arial;Calibri"/>
      <w:b/>
      <w:bCs/>
      <w:i/>
      <w:iCs/>
      <w:sz w:val="26"/>
      <w:szCs w:val="26"/>
    </w:rPr>
  </w:style>
  <w:style w:type="paragraph" w:styleId="Heading6">
    <w:name w:val="Heading 6"/>
    <w:basedOn w:val="Normal"/>
    <w:next w:val="Normal"/>
    <w:qFormat/>
    <w:pPr>
      <w:tabs>
        <w:tab w:val="clear" w:pos="708"/>
        <w:tab w:val="left" w:pos="0" w:leader="none"/>
      </w:tabs>
      <w:spacing w:before="240" w:after="60"/>
      <w:ind w:hanging="432" w:left="432" w:right="0"/>
      <w:outlineLvl w:val="5"/>
    </w:pPr>
    <w:rPr>
      <w:rFonts w:ascii="Aptos;Arial;Calibri" w:hAnsi="Aptos;Arial;Calibri" w:cs="Aptos;Arial;Calibri"/>
      <w:b/>
      <w:bCs/>
      <w:sz w:val="22"/>
      <w:szCs w:val="22"/>
    </w:rPr>
  </w:style>
  <w:style w:type="paragraph" w:styleId="Heading7">
    <w:name w:val="Heading 7"/>
    <w:basedOn w:val="Normal"/>
    <w:next w:val="Normal"/>
    <w:qFormat/>
    <w:pPr>
      <w:tabs>
        <w:tab w:val="clear" w:pos="708"/>
        <w:tab w:val="left" w:pos="0" w:leader="none"/>
      </w:tabs>
      <w:spacing w:before="240" w:after="60"/>
      <w:ind w:hanging="432" w:left="432" w:right="0"/>
      <w:outlineLvl w:val="6"/>
    </w:pPr>
    <w:rPr>
      <w:rFonts w:ascii="Aptos;Arial;Calibri" w:hAnsi="Aptos;Arial;Calibri" w:cs="Aptos;Arial;Calibri"/>
    </w:rPr>
  </w:style>
  <w:style w:type="paragraph" w:styleId="Heading8">
    <w:name w:val="Heading 8"/>
    <w:basedOn w:val="Normal"/>
    <w:next w:val="Normal"/>
    <w:qFormat/>
    <w:pPr>
      <w:tabs>
        <w:tab w:val="clear" w:pos="708"/>
        <w:tab w:val="left" w:pos="0" w:leader="none"/>
      </w:tabs>
      <w:spacing w:before="240" w:after="60"/>
      <w:ind w:hanging="432" w:left="432" w:right="0"/>
      <w:outlineLvl w:val="7"/>
    </w:pPr>
    <w:rPr>
      <w:rFonts w:ascii="Aptos;Arial;Calibri" w:hAnsi="Aptos;Arial;Calibri" w:cs="Aptos;Arial;Calibri"/>
      <w:i/>
      <w:iCs/>
    </w:rPr>
  </w:style>
  <w:style w:type="paragraph" w:styleId="Heading9">
    <w:name w:val="Heading 9"/>
    <w:basedOn w:val="Normal"/>
    <w:next w:val="Normal"/>
    <w:qFormat/>
    <w:pPr>
      <w:tabs>
        <w:tab w:val="clear" w:pos="708"/>
        <w:tab w:val="left" w:pos="0" w:leader="none"/>
      </w:tabs>
      <w:spacing w:before="240" w:after="60"/>
      <w:ind w:hanging="432" w:left="432" w:right="0"/>
      <w:outlineLvl w:val="8"/>
    </w:pPr>
    <w:rPr>
      <w:rFonts w:ascii="Aptos Display" w:hAnsi="Aptos Display" w:cs="Aptos Display"/>
      <w:sz w:val="22"/>
      <w:szCs w:val="2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rPr>
  </w:style>
  <w:style w:type="character" w:styleId="WW8Num23z0">
    <w:name w:val="WW8Num23z0"/>
    <w:qFormat/>
    <w:rPr>
      <w:rFonts w:ascii="Symbol" w:hAnsi="Symbol" w:cs="Symbol"/>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29z0">
    <w:name w:val="WW8Num29z0"/>
    <w:qFormat/>
    <w:rPr>
      <w:b/>
      <w:bCs w:val="false"/>
    </w:rPr>
  </w:style>
  <w:style w:type="character" w:styleId="WW8Num30z0">
    <w:name w:val="WW8Num30z0"/>
    <w:qFormat/>
    <w:rPr>
      <w:rFonts w:ascii="Symbol" w:hAnsi="Symbol" w:cs="Symbol"/>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WW8Num32z0">
    <w:name w:val="WW8Num32z0"/>
    <w:qFormat/>
    <w:rPr>
      <w:rFonts w:ascii="Symbol" w:hAnsi="Symbol" w:cs="Symbol"/>
      <w:sz w:val="20"/>
    </w:rPr>
  </w:style>
  <w:style w:type="character" w:styleId="WW8Num32z1">
    <w:name w:val="WW8Num32z1"/>
    <w:qFormat/>
    <w:rPr>
      <w:rFonts w:ascii="Courier New" w:hAnsi="Courier New" w:cs="Courier New"/>
      <w:sz w:val="20"/>
    </w:rPr>
  </w:style>
  <w:style w:type="character" w:styleId="WW8Num32z2">
    <w:name w:val="WW8Num32z2"/>
    <w:qFormat/>
    <w:rPr>
      <w:rFonts w:ascii="Wingdings" w:hAnsi="Wingdings" w:cs="Wingdings"/>
      <w:sz w:val="20"/>
    </w:rPr>
  </w:style>
  <w:style w:type="character" w:styleId="WW8Num33z0">
    <w:name w:val="WW8Num33z0"/>
    <w:qFormat/>
    <w:rPr>
      <w:rFonts w:ascii="Symbol" w:hAnsi="Symbol" w:cs="Symbol"/>
    </w:rPr>
  </w:style>
  <w:style w:type="character" w:styleId="WW8Num34z0">
    <w:name w:val="WW8Num34z0"/>
    <w:qFormat/>
    <w:rPr>
      <w:rFonts w:ascii="Symbol" w:hAnsi="Symbol" w:cs="Symbol"/>
    </w:rPr>
  </w:style>
  <w:style w:type="character" w:styleId="Policepardfaut">
    <w:name w:val="Police par défaut"/>
    <w:qFormat/>
    <w:rPr/>
  </w:style>
  <w:style w:type="character" w:styleId="WW8Num6z0">
    <w:name w:val="WW8Num6z0"/>
    <w:qFormat/>
    <w:rPr>
      <w:b/>
      <w:bCs w:val="false"/>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CorpsdetexteCar">
    <w:name w:val="Corps de texte Car"/>
    <w:qFormat/>
    <w:rPr>
      <w:sz w:val="24"/>
    </w:rPr>
  </w:style>
  <w:style w:type="character" w:styleId="Corpsdetexte3Car">
    <w:name w:val="Corps de texte 3 Car"/>
    <w:qFormat/>
    <w:rPr>
      <w:sz w:val="16"/>
      <w:szCs w:val="16"/>
    </w:rPr>
  </w:style>
  <w:style w:type="character" w:styleId="TextedebullesCar">
    <w:name w:val="Texte de bulles Car"/>
    <w:qFormat/>
    <w:rPr>
      <w:rFonts w:ascii="Tahoma" w:hAnsi="Tahoma" w:cs="Tahoma"/>
      <w:sz w:val="16"/>
      <w:szCs w:val="16"/>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2Car">
    <w:name w:val="Titre 2 Car"/>
    <w:qFormat/>
    <w:rPr>
      <w:rFonts w:ascii="Cambria" w:hAnsi="Cambria" w:cs="Cambria"/>
      <w:b/>
      <w:bCs/>
      <w:i/>
      <w:iCs/>
      <w:sz w:val="28"/>
      <w:szCs w:val="28"/>
      <w:lang w:val="fr-FR"/>
    </w:rPr>
  </w:style>
  <w:style w:type="character" w:styleId="En-tteCar">
    <w:name w:val="En-tête Car"/>
    <w:qFormat/>
    <w:rPr>
      <w:sz w:val="24"/>
      <w:szCs w:val="24"/>
    </w:rPr>
  </w:style>
  <w:style w:type="character" w:styleId="PieddepageCar">
    <w:name w:val="Pied de page Car"/>
    <w:qFormat/>
    <w:rPr>
      <w:rFonts w:ascii="Arial" w:hAnsi="Arial" w:cs="Arial"/>
      <w:sz w:val="24"/>
      <w:szCs w:val="24"/>
    </w:rPr>
  </w:style>
  <w:style w:type="character" w:styleId="Titre3Car">
    <w:name w:val="Titre 3 Car"/>
    <w:qFormat/>
    <w:rPr>
      <w:rFonts w:ascii="Cambria" w:hAnsi="Cambria" w:cs="Cambria"/>
      <w:b/>
      <w:bCs/>
      <w:sz w:val="26"/>
      <w:szCs w:val="26"/>
      <w:lang w:val="fr-FR"/>
    </w:rPr>
  </w:style>
  <w:style w:type="character" w:styleId="Hyperlink">
    <w:name w:val="Hyperlink"/>
    <w:rPr>
      <w:color w:val="0000FF"/>
      <w:u w:val="single"/>
    </w:rPr>
  </w:style>
  <w:style w:type="character" w:styleId="SansinterligneCar">
    <w:name w:val="Sans interligne Car"/>
    <w:qFormat/>
    <w:rPr>
      <w:rFonts w:ascii="Aptos;Arial;Calibri" w:hAnsi="Aptos;Arial;Calibri" w:cs="Aptos;Arial;Calibri"/>
      <w:sz w:val="22"/>
      <w:szCs w:val="22"/>
      <w:lang w:bidi="ar-SA"/>
    </w:rPr>
  </w:style>
  <w:style w:type="character" w:styleId="Titre1Car">
    <w:name w:val="Titre 1 Car"/>
    <w:qFormat/>
    <w:rPr>
      <w:rFonts w:ascii="Arial" w:hAnsi="Arial" w:cs="Arial"/>
      <w:b/>
      <w:bCs/>
      <w:kern w:val="2"/>
      <w:sz w:val="32"/>
      <w:szCs w:val="32"/>
      <w:lang w:val="fr-FR"/>
    </w:rPr>
  </w:style>
  <w:style w:type="character" w:styleId="Titre5Car">
    <w:name w:val="Titre 5 Car"/>
    <w:qFormat/>
    <w:rPr>
      <w:rFonts w:ascii="Aptos;Arial;Calibri" w:hAnsi="Aptos;Arial;Calibri" w:cs="Aptos;Arial;Calibri"/>
      <w:b/>
      <w:bCs/>
      <w:i/>
      <w:iCs/>
      <w:sz w:val="26"/>
      <w:szCs w:val="26"/>
      <w:lang w:val="fr-FR"/>
    </w:rPr>
  </w:style>
  <w:style w:type="character" w:styleId="Titre4Car">
    <w:name w:val="Titre 4 Car"/>
    <w:qFormat/>
    <w:rPr>
      <w:rFonts w:ascii="Aptos;Arial;Calibri" w:hAnsi="Aptos;Arial;Calibri" w:cs="Aptos;Arial;Calibri"/>
      <w:b/>
      <w:bCs/>
      <w:sz w:val="28"/>
      <w:szCs w:val="28"/>
      <w:lang w:val="fr-FR"/>
    </w:rPr>
  </w:style>
  <w:style w:type="character" w:styleId="Titre6Car">
    <w:name w:val="Titre 6 Car"/>
    <w:qFormat/>
    <w:rPr>
      <w:rFonts w:ascii="Aptos;Arial;Calibri" w:hAnsi="Aptos;Arial;Calibri" w:cs="Aptos;Arial;Calibri"/>
      <w:b/>
      <w:bCs/>
      <w:sz w:val="22"/>
      <w:szCs w:val="22"/>
      <w:lang w:val="fr-FR"/>
    </w:rPr>
  </w:style>
  <w:style w:type="character" w:styleId="Titre7Car">
    <w:name w:val="Titre 7 Car"/>
    <w:qFormat/>
    <w:rPr>
      <w:rFonts w:ascii="Aptos;Arial;Calibri" w:hAnsi="Aptos;Arial;Calibri" w:cs="Aptos;Arial;Calibri"/>
      <w:sz w:val="24"/>
      <w:szCs w:val="24"/>
      <w:lang w:val="fr-FR"/>
    </w:rPr>
  </w:style>
  <w:style w:type="character" w:styleId="Titre8Car">
    <w:name w:val="Titre 8 Car"/>
    <w:qFormat/>
    <w:rPr>
      <w:rFonts w:ascii="Aptos;Arial;Calibri" w:hAnsi="Aptos;Arial;Calibri" w:cs="Aptos;Arial;Calibri"/>
      <w:i/>
      <w:iCs/>
      <w:sz w:val="24"/>
      <w:szCs w:val="24"/>
      <w:lang w:val="fr-FR"/>
    </w:rPr>
  </w:style>
  <w:style w:type="character" w:styleId="Titre9Car">
    <w:name w:val="Titre 9 Car"/>
    <w:qFormat/>
    <w:rPr>
      <w:rFonts w:ascii="Aptos Display" w:hAnsi="Aptos Display" w:cs="Aptos Display"/>
      <w:sz w:val="22"/>
      <w:szCs w:val="22"/>
      <w:lang w:val="fr-FR"/>
    </w:rPr>
  </w:style>
  <w:style w:type="character" w:styleId="whitespace-nowrap">
    <w:name w:val="whitespace-nowrap"/>
    <w:qFormat/>
    <w:rPr/>
  </w:style>
  <w:style w:type="character" w:styleId="relative">
    <w:name w:val="relative"/>
    <w:qFormat/>
    <w:rPr/>
  </w:style>
  <w:style w:type="character" w:styleId="Strong">
    <w:name w:val="Strong"/>
    <w:qFormat/>
    <w:rPr>
      <w:b/>
      <w:bCs/>
    </w:rPr>
  </w:style>
  <w:style w:type="character" w:styleId="hoverbg-super">
    <w:name w:val="hover:bg-super"/>
    <w:qFormat/>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Noto Sans CJK SC" w:cs="DejaVu Sans;Times New Roman"/>
      <w:sz w:val="28"/>
      <w:szCs w:val="28"/>
    </w:rPr>
  </w:style>
  <w:style w:type="paragraph" w:styleId="BodyText">
    <w:name w:val="Body Text"/>
    <w:basedOn w:val="Normal"/>
    <w:pPr>
      <w:jc w:val="both"/>
    </w:pPr>
    <w:rPr>
      <w:szCs w:val="20"/>
      <w:lang w:val="en-US"/>
    </w:rPr>
  </w:style>
  <w:style w:type="paragraph" w:styleId="List">
    <w:name w:val="List"/>
    <w:basedOn w:val="BodyText"/>
    <w:pPr/>
    <w:rPr>
      <w:rFonts w:cs="DejaVu Sans;Times New Roman"/>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DejaVu Sans;Times New Roman"/>
    </w:rPr>
  </w:style>
  <w:style w:type="paragraph" w:styleId="Lgende">
    <w:name w:val="Légende"/>
    <w:basedOn w:val="Normal"/>
    <w:next w:val="Normal"/>
    <w:qFormat/>
    <w:pPr/>
    <w:rPr>
      <w:rFonts w:ascii="Arial" w:hAnsi="Arial" w:cs="Arial"/>
      <w:b/>
      <w:bCs/>
      <w:sz w:val="20"/>
      <w:szCs w:val="20"/>
    </w:rPr>
  </w:style>
  <w:style w:type="paragraph" w:styleId="HeaderandFooter">
    <w:name w:val="Header and Footer"/>
    <w:basedOn w:val="Normal"/>
    <w:qFormat/>
    <w:pPr>
      <w:suppressLineNumbers/>
    </w:pPr>
    <w:rPr/>
  </w:style>
  <w:style w:type="paragraph" w:styleId="Footer">
    <w:name w:val="Footer"/>
    <w:basedOn w:val="Normal"/>
    <w:pPr/>
    <w:rPr>
      <w:rFonts w:ascii="Arial" w:hAnsi="Arial" w:cs="Arial"/>
      <w:lang w:val="en-US"/>
    </w:rPr>
  </w:style>
  <w:style w:type="paragraph" w:styleId="Header">
    <w:name w:val="Header"/>
    <w:basedOn w:val="Normal"/>
    <w:pPr/>
    <w:rPr>
      <w:lang w:val="en-US"/>
    </w:rPr>
  </w:style>
  <w:style w:type="paragraph" w:styleId="spip">
    <w:name w:val="spip"/>
    <w:basedOn w:val="Normal"/>
    <w:qFormat/>
    <w:pPr>
      <w:spacing w:before="280" w:after="280"/>
    </w:pPr>
    <w:rPr/>
  </w:style>
  <w:style w:type="paragraph" w:styleId="Paragraphedeliste">
    <w:name w:val="Paragraphe de liste"/>
    <w:basedOn w:val="Normal"/>
    <w:qFormat/>
    <w:pPr>
      <w:spacing w:lineRule="auto" w:line="276" w:before="0" w:after="200"/>
      <w:ind w:hanging="0" w:left="720" w:right="0"/>
      <w:contextualSpacing/>
    </w:pPr>
    <w:rPr>
      <w:rFonts w:ascii="Calibri" w:hAnsi="Calibri" w:eastAsia="Calibri" w:cs="Calibri"/>
      <w:sz w:val="22"/>
      <w:szCs w:val="22"/>
    </w:rPr>
  </w:style>
  <w:style w:type="paragraph" w:styleId="Corpsdetexte3">
    <w:name w:val="Corps de texte 3"/>
    <w:basedOn w:val="Normal"/>
    <w:qFormat/>
    <w:pPr>
      <w:spacing w:before="0" w:after="120"/>
    </w:pPr>
    <w:rPr>
      <w:sz w:val="16"/>
      <w:szCs w:val="16"/>
      <w:lang w:val="en-US"/>
    </w:rPr>
  </w:style>
  <w:style w:type="paragraph" w:styleId="NormalWeb">
    <w:name w:val="Normal (Web)"/>
    <w:basedOn w:val="Normal"/>
    <w:qFormat/>
    <w:pPr>
      <w:spacing w:before="280" w:after="280"/>
    </w:pPr>
    <w:rPr/>
  </w:style>
  <w:style w:type="paragraph" w:styleId="xl24">
    <w:name w:val="xl24"/>
    <w:basedOn w:val="Normal"/>
    <w:qFormat/>
    <w:pPr>
      <w:spacing w:before="100" w:after="100"/>
    </w:pPr>
    <w:rPr>
      <w:rFonts w:ascii="Arial" w:hAnsi="Arial" w:cs="Arial"/>
      <w:sz w:val="16"/>
      <w:szCs w:val="20"/>
      <w:lang w:val="en-US"/>
    </w:rPr>
  </w:style>
  <w:style w:type="paragraph" w:styleId="Textedebulles">
    <w:name w:val="Texte de bulles"/>
    <w:basedOn w:val="Normal"/>
    <w:qFormat/>
    <w:pPr/>
    <w:rPr>
      <w:rFonts w:ascii="Tahoma" w:hAnsi="Tahoma" w:cs="Tahoma"/>
      <w:sz w:val="16"/>
      <w:szCs w:val="16"/>
      <w:lang w:val="en-US"/>
    </w:rPr>
  </w:style>
  <w:style w:type="paragraph" w:styleId="Rvision">
    <w:name w:val="Révision"/>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FootnoteText">
    <w:name w:val="Footnote Text"/>
    <w:basedOn w:val="Normal"/>
    <w:pPr/>
    <w:rPr>
      <w:sz w:val="20"/>
      <w:szCs w:val="20"/>
    </w:rPr>
  </w:style>
  <w:style w:type="paragraph" w:styleId="5F6AEA512CC74B80B78940AC4F74C285">
    <w:name w:val="5F6AEA512CC74B80B78940AC4F74C285"/>
    <w:qFormat/>
    <w:pPr>
      <w:widowControl/>
      <w:suppressAutoHyphens w:val="true"/>
      <w:bidi w:val="0"/>
      <w:spacing w:lineRule="auto" w:line="276" w:before="0" w:after="200"/>
      <w:jc w:val="left"/>
    </w:pPr>
    <w:rPr>
      <w:rFonts w:ascii="Calibri" w:hAnsi="Calibri" w:eastAsia="Times New Roman" w:cs="Calibri"/>
      <w:color w:val="auto"/>
      <w:kern w:val="0"/>
      <w:sz w:val="22"/>
      <w:szCs w:val="22"/>
      <w:lang w:val="en-US" w:eastAsia="zh-CN" w:bidi="ar-SA"/>
    </w:rPr>
  </w:style>
  <w:style w:type="paragraph" w:styleId="En-ttedetabledesmatires">
    <w:name w:val="En-tête de table des matières"/>
    <w:basedOn w:val="Heading1"/>
    <w:next w:val="Normal"/>
    <w:qFormat/>
    <w:pPr>
      <w:keepLines/>
      <w:numPr>
        <w:ilvl w:val="0"/>
        <w:numId w:val="14"/>
      </w:numPr>
      <w:spacing w:lineRule="auto" w:line="276" w:before="480" w:after="0"/>
      <w:outlineLvl w:val="9"/>
    </w:pPr>
    <w:rPr>
      <w:rFonts w:ascii="Cambria" w:hAnsi="Cambria" w:eastAsia="Times New Roman" w:cs="Times New Roman"/>
      <w:color w:val="365F91"/>
      <w:kern w:val="0"/>
      <w:sz w:val="28"/>
      <w:szCs w:val="28"/>
    </w:rPr>
  </w:style>
  <w:style w:type="paragraph" w:styleId="TOC1">
    <w:name w:val="TOC 1"/>
    <w:basedOn w:val="Normal"/>
    <w:next w:val="Normal"/>
    <w:pPr>
      <w:spacing w:before="120" w:after="120"/>
    </w:pPr>
    <w:rPr>
      <w:rFonts w:ascii="Cambria" w:hAnsi="Cambria" w:eastAsia="Times New Roman" w:cs="Times New Roman"/>
      <w:b/>
      <w:bCs/>
      <w:caps/>
      <w:lang w:val="en-US"/>
    </w:rPr>
  </w:style>
  <w:style w:type="paragraph" w:styleId="TOC2">
    <w:name w:val="TOC 2"/>
    <w:basedOn w:val="Normal"/>
    <w:next w:val="Normal"/>
    <w:pPr>
      <w:ind w:hanging="0" w:left="240" w:right="0"/>
    </w:pPr>
    <w:rPr>
      <w:rFonts w:ascii="Trebuchet MS" w:hAnsi="Trebuchet MS" w:cs="Trebuchet MS"/>
      <w:lang w:val="en-US"/>
    </w:rPr>
  </w:style>
  <w:style w:type="paragraph" w:styleId="TOC3">
    <w:name w:val="TOC 3"/>
    <w:basedOn w:val="Normal"/>
    <w:next w:val="Normal"/>
    <w:pPr>
      <w:ind w:hanging="0" w:left="480" w:right="0"/>
    </w:pPr>
    <w:rPr>
      <w:rFonts w:ascii="Trebuchet MS" w:hAnsi="Trebuchet MS" w:cs="Trebuchet MS"/>
      <w:lang w:val="en-US"/>
    </w:rPr>
  </w:style>
  <w:style w:type="paragraph" w:styleId="Sansinterligne">
    <w:name w:val="Sans interligne"/>
    <w:qFormat/>
    <w:pPr>
      <w:widowControl/>
      <w:suppressAutoHyphens w:val="true"/>
      <w:bidi w:val="0"/>
      <w:spacing w:before="0" w:after="0"/>
      <w:jc w:val="left"/>
    </w:pPr>
    <w:rPr>
      <w:rFonts w:ascii="Aptos;Arial;Calibri" w:hAnsi="Aptos;Arial;Calibri" w:eastAsia="Times New Roman" w:cs="Aptos;Arial;Calibri"/>
      <w:color w:val="auto"/>
      <w:kern w:val="0"/>
      <w:sz w:val="22"/>
      <w:szCs w:val="22"/>
      <w:lang w:val="en-US" w:eastAsia="zh-CN" w:bidi="ar-SA"/>
    </w:rPr>
  </w:style>
  <w:style w:type="paragraph" w:styleId="Informationsdecontact">
    <w:name w:val="Informations de contact"/>
    <w:basedOn w:val="Sansinterligne"/>
    <w:qFormat/>
    <w:pPr/>
    <w:rPr>
      <w:rFonts w:ascii="Garamond" w:hAnsi="Garamond" w:eastAsia="Times New Roman" w:cs="Times New Roman"/>
      <w:color w:val="FFFFFF"/>
      <w:lang w:eastAsia="ja-JP"/>
    </w:rPr>
  </w:style>
  <w:style w:type="paragraph" w:styleId="Espacedutableau">
    <w:name w:val="Espace du tableau"/>
    <w:basedOn w:val="Sansinterligne"/>
    <w:qFormat/>
    <w:pPr>
      <w:spacing w:lineRule="exact" w:line="14"/>
    </w:pPr>
    <w:rPr>
      <w:rFonts w:ascii="Garamond" w:hAnsi="Garamond" w:eastAsia="Times New Roman" w:cs="Times New Roman"/>
      <w:color w:val="44546A"/>
      <w:sz w:val="20"/>
      <w:szCs w:val="20"/>
      <w:lang w:eastAsia="ja-JP"/>
    </w:rPr>
  </w:style>
  <w:style w:type="paragraph" w:styleId="my-0">
    <w:name w:val="my-0"/>
    <w:basedOn w:val="Normal"/>
    <w:qFormat/>
    <w:pPr>
      <w:spacing w:before="280" w:after="280"/>
    </w:pPr>
    <w:rPr>
      <w:lang w:val="fr-C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s-markdown-paragraph">
    <w:name w:val="ds-markdown-paragraph"/>
    <w:basedOn w:val="Normal"/>
    <w:qFormat/>
    <w:pPr>
      <w:suppressAutoHyphens w:val="false"/>
      <w:spacing w:before="280" w:after="28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2026-10-10T16:11:00Z</dcterms:created>
  <dc:creator>STEP</dc:creator>
  <dc:description/>
  <dc:language>en-US</dc:language>
  <cp:lastModifiedBy/>
  <cp:lastPrinted>2025-07-23T09:16:00Z</cp:lastPrinted>
  <dcterms:modified xsi:type="dcterms:W3CDTF">2026-10-15T16:58:50Z</dcterms:modified>
  <cp:revision>7</cp:revision>
  <dc:subject/>
  <dc:title>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deb7872d-a8b8-4298-b807-425d0acd600d</vt:lpwstr>
  </property>
  <property fmtid="{D5CDD505-2E9C-101B-9397-08002B2CF9AE}" pid="3" name="TaxCatchAll">
    <vt:lpwstr/>
  </property>
  <property fmtid="{D5CDD505-2E9C-101B-9397-08002B2CF9AE}" pid="4" name="lcf76f155ced4ddcb4097134ff3c332f">
    <vt:lpwstr/>
  </property>
</Properties>
</file>