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rPr/>
      </w:pPr>
      <w:r>
        <w:rPr/>
      </w:r>
    </w:p>
    <w:p>
      <w:pPr>
        <w:pStyle w:val="Normal"/>
        <w:pBdr>
          <w:bottom w:val="double" w:sz="4" w:space="1" w:color="000000"/>
        </w:pBdr>
        <w:rPr>
          <w:sz w:val="2"/>
          <w:szCs w:val="2"/>
        </w:rPr>
      </w:pPr>
      <w:r>
        <w:rPr>
          <w:sz w:val="2"/>
          <w:szCs w:val="2"/>
        </w:rPr>
      </w:r>
    </w:p>
    <w:p>
      <w:pPr>
        <w:pStyle w:val="Normal"/>
        <w:rPr>
          <w:sz w:val="2"/>
          <w:szCs w:val="2"/>
        </w:rPr>
      </w:pPr>
      <w:r>
        <w:rPr>
          <w:sz w:val="2"/>
          <w:szCs w:val="2"/>
        </w:rPr>
      </w:r>
    </w:p>
    <w:p>
      <w:pPr>
        <w:pStyle w:val="Normal"/>
        <w:rPr>
          <w:b/>
          <w:i/>
          <w:i/>
          <w:sz w:val="52"/>
          <w:szCs w:val="32"/>
        </w:rPr>
      </w:pPr>
      <w:r>
        <w:rPr>
          <w:b/>
          <w:i/>
          <w:sz w:val="52"/>
          <w:szCs w:val="32"/>
        </w:rPr>
        <w:t xml:space="preserve">         </w:t>
      </w:r>
      <w:r>
        <w:rPr>
          <w:b/>
          <w:i/>
          <w:sz w:val="52"/>
          <w:szCs w:val="32"/>
        </w:rPr>
        <mc:AlternateContent>
          <mc:Choice Requires="wps">
            <w:drawing>
              <wp:anchor behindDoc="0" distT="0" distB="0" distL="176530" distR="177165" simplePos="0" locked="0" layoutInCell="0" allowOverlap="1" relativeHeight="10">
                <wp:simplePos x="0" y="0"/>
                <wp:positionH relativeFrom="margin">
                  <wp:posOffset>-179070</wp:posOffset>
                </wp:positionH>
                <wp:positionV relativeFrom="page">
                  <wp:posOffset>3539490</wp:posOffset>
                </wp:positionV>
                <wp:extent cx="6436360" cy="835660"/>
                <wp:effectExtent l="6350" t="6350" r="81915" b="81915"/>
                <wp:wrapSquare wrapText="bothSides"/>
                <wp:docPr id="1" name="Frame1"/>
                <a:graphic xmlns:a="http://schemas.openxmlformats.org/drawingml/2006/main">
                  <a:graphicData uri="http://schemas.microsoft.com/office/word/2010/wordprocessingShape">
                    <wps:wsp>
                      <wps:cNvSpPr/>
                      <wps:spPr>
                        <a:xfrm>
                          <a:off x="0" y="0"/>
                          <a:ext cx="6436440" cy="835560"/>
                        </a:xfrm>
                        <a:prstGeom prst="rect">
                          <a:avLst/>
                        </a:prstGeom>
                        <a:gradFill rotWithShape="0">
                          <a:gsLst>
                            <a:gs pos="0">
                              <a:srgbClr val="ffffff"/>
                            </a:gs>
                            <a:gs pos="100000">
                              <a:srgbClr val="95dcf7"/>
                            </a:gs>
                          </a:gsLst>
                          <a:lin ang="5400000"/>
                        </a:gradFill>
                        <a:ln w="12700">
                          <a:solidFill>
                            <a:srgbClr val="60caf3"/>
                          </a:solidFill>
                          <a:round/>
                        </a:ln>
                        <a:effectLst>
                          <a:outerShdw dir="2700000" dist="106914">
                            <a:srgbClr val="074e69"/>
                          </a:outerShdw>
                        </a:effectLst>
                      </wps:spPr>
                      <wps:style>
                        <a:lnRef idx="0"/>
                        <a:fillRef idx="0"/>
                        <a:effectRef idx="0"/>
                        <a:fontRef idx="minor"/>
                      </wps:style>
                      <wps:txbx>
                        <w:txbxContent>
                          <w:p>
                            <w:pPr>
                              <w:pStyle w:val="Sansinterligne"/>
                              <w:spacing w:lineRule="auto" w:line="216" w:before="40" w:after="560"/>
                              <w:jc w:val="center"/>
                              <w:rPr>
                                <w:rFonts w:ascii="Cambria" w:hAnsi="Cambria" w:cs="Cambria"/>
                                <w:b/>
                                <w:bCs/>
                                <w:color w:val="156082"/>
                                <w:sz w:val="36"/>
                                <w:szCs w:val="36"/>
                                <w:lang w:val="fr-FR"/>
                              </w:rPr>
                            </w:pPr>
                            <w:r>
                              <w:rPr>
                                <w:rFonts w:cs="Times New Roman" w:ascii="Times New Roman" w:hAnsi="Times New Roman"/>
                                <w:b/>
                                <w:bCs/>
                                <w:sz w:val="36"/>
                                <w:szCs w:val="36"/>
                                <w:lang w:val="fr-FR"/>
                              </w:rPr>
                              <w:t xml:space="preserve">DIJA SAVEURS DE PATATE DOUCE </w:t>
                            </w:r>
                            <w:r>
                              <w:rPr>
                                <w:rFonts w:cs="Cambria" w:ascii="Cambria" w:hAnsi="Cambria"/>
                                <w:b/>
                                <w:bCs/>
                                <w:color w:val="156082"/>
                                <w:sz w:val="36"/>
                                <w:szCs w:val="36"/>
                                <w:lang w:val="fr-FR"/>
                              </w:rPr>
                              <w:t>Création d’une Entreprise de Transformation et de Valorisation de la Patate Douce</w:t>
                            </w:r>
                          </w:p>
                          <w:p>
                            <w:pPr>
                              <w:pStyle w:val="Sansinterligne"/>
                              <w:spacing w:before="40" w:after="40"/>
                              <w:rPr>
                                <w:rFonts w:ascii="Cambria" w:hAnsi="Cambria" w:cs="Cambria"/>
                                <w:b/>
                                <w:bCs/>
                                <w:caps/>
                                <w:color w:val="501549"/>
                                <w:sz w:val="28"/>
                                <w:szCs w:val="28"/>
                                <w:lang w:val="fr-FR"/>
                              </w:rPr>
                            </w:pPr>
                            <w:r>
                              <w:rPr/>
                            </w:r>
                          </w:p>
                        </w:txbxContent>
                      </wps:txbx>
                      <wps:bodyPr lIns="0" rIns="0" tIns="0" bIns="0" anchor="t">
                        <a:noAutofit/>
                      </wps:bodyPr>
                    </wps:wsp>
                  </a:graphicData>
                </a:graphic>
              </wp:anchor>
            </w:drawing>
          </mc:Choice>
          <mc:Fallback>
            <w:pict>
              <v:rect id="shape_0" ID="Frame1" path="m0,0l-2147483645,0l-2147483645,-2147483646l0,-2147483646xe" fillcolor="#95dcf7" stroked="t" o:allowincell="f" style="position:absolute;margin-left:-14.1pt;margin-top:278.7pt;width:506.75pt;height:65.75pt;mso-wrap-style:square;v-text-anchor:top;mso-position-horizontal-relative:margin;mso-position-vertical-relative:page">
                <v:fill o:detectmouseclick="t" color2="white"/>
                <v:stroke color="#60caf3" weight="12600" joinstyle="round" endcap="flat"/>
                <v:shadow on="t" obscured="f" color="#074e69"/>
                <v:textbox>
                  <w:txbxContent>
                    <w:p>
                      <w:pPr>
                        <w:pStyle w:val="Sansinterligne"/>
                        <w:spacing w:lineRule="auto" w:line="216" w:before="40" w:after="560"/>
                        <w:jc w:val="center"/>
                        <w:rPr>
                          <w:rFonts w:ascii="Cambria" w:hAnsi="Cambria" w:cs="Cambria"/>
                          <w:b/>
                          <w:bCs/>
                          <w:color w:val="156082"/>
                          <w:sz w:val="36"/>
                          <w:szCs w:val="36"/>
                          <w:lang w:val="fr-FR"/>
                        </w:rPr>
                      </w:pPr>
                      <w:r>
                        <w:rPr>
                          <w:rFonts w:cs="Times New Roman" w:ascii="Times New Roman" w:hAnsi="Times New Roman"/>
                          <w:b/>
                          <w:bCs/>
                          <w:sz w:val="36"/>
                          <w:szCs w:val="36"/>
                          <w:lang w:val="fr-FR"/>
                        </w:rPr>
                        <w:t xml:space="preserve">DIJA SAVEURS DE PATATE DOUCE </w:t>
                      </w:r>
                      <w:r>
                        <w:rPr>
                          <w:rFonts w:cs="Cambria" w:ascii="Cambria" w:hAnsi="Cambria"/>
                          <w:b/>
                          <w:bCs/>
                          <w:color w:val="156082"/>
                          <w:sz w:val="36"/>
                          <w:szCs w:val="36"/>
                          <w:lang w:val="fr-FR"/>
                        </w:rPr>
                        <w:t>Création d’une Entreprise de Transformation et de Valorisation de la Patate Douce</w:t>
                      </w:r>
                    </w:p>
                    <w:p>
                      <w:pPr>
                        <w:pStyle w:val="Sansinterligne"/>
                        <w:spacing w:before="40" w:after="40"/>
                        <w:rPr>
                          <w:rFonts w:ascii="Cambria" w:hAnsi="Cambria" w:cs="Cambria"/>
                          <w:b/>
                          <w:bCs/>
                          <w:caps/>
                          <w:color w:val="501549"/>
                          <w:sz w:val="28"/>
                          <w:szCs w:val="28"/>
                          <w:lang w:val="fr-FR"/>
                        </w:rPr>
                      </w:pPr>
                      <w:r>
                        <w:rPr/>
                      </w:r>
                    </w:p>
                  </w:txbxContent>
                </v:textbox>
                <w10:wrap type="square"/>
              </v:rect>
            </w:pict>
          </mc:Fallback>
        </mc:AlternateContent>
      </w:r>
      <w:r>
        <w:rPr>
          <w:b/>
          <w:i/>
          <w:sz w:val="52"/>
          <w:szCs w:val="32"/>
        </w:rPr>
        <w:t>PLAN D’AFFAIRES</w:t>
      </w:r>
    </w:p>
    <w:tbl>
      <w:tblPr>
        <w:tblW w:w="9889" w:type="dxa"/>
        <w:jc w:val="left"/>
        <w:tblInd w:w="0" w:type="dxa"/>
        <w:tblLayout w:type="fixed"/>
        <w:tblCellMar>
          <w:top w:w="0" w:type="dxa"/>
          <w:left w:w="108" w:type="dxa"/>
          <w:bottom w:w="0" w:type="dxa"/>
          <w:right w:w="108" w:type="dxa"/>
        </w:tblCellMar>
      </w:tblPr>
      <w:tblGrid>
        <w:gridCol w:w="5056"/>
        <w:gridCol w:w="1660"/>
        <w:gridCol w:w="3173"/>
      </w:tblGrid>
      <w:tr>
        <w:trPr>
          <w:trHeight w:val="402" w:hRule="atLeast"/>
        </w:trPr>
        <w:tc>
          <w:tcPr>
            <w:tcW w:w="5056" w:type="dxa"/>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rPr/>
            </w:pPr>
            <w:r>
              <w:rPr/>
              <w:t>Elaboré avec l’appui de</w:t>
            </w:r>
          </w:p>
        </w:tc>
        <w:tc>
          <w:tcPr>
            <w:tcW w:w="4833" w:type="dxa"/>
            <w:gridSpan w:val="2"/>
            <w:tcBorders>
              <w:top w:val="dotted" w:sz="4" w:space="0" w:color="000000"/>
              <w:left w:val="dotted" w:sz="4" w:space="0" w:color="000000"/>
              <w:bottom w:val="dotted" w:sz="4" w:space="0" w:color="000000"/>
              <w:right w:val="dotted" w:sz="4" w:space="0" w:color="000000"/>
            </w:tcBorders>
            <w:vAlign w:val="center"/>
          </w:tcPr>
          <w:p>
            <w:pPr>
              <w:pStyle w:val="Normal"/>
              <w:rPr>
                <w:i/>
                <w:i/>
                <w:iCs/>
              </w:rPr>
            </w:pPr>
            <w:r>
              <w:rPr>
                <w:b/>
                <w:bCs/>
                <w:i/>
                <w:iCs/>
              </w:rPr>
              <w:t>APEJ</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Nom(s) et prénom(s) du promoteur</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 xml:space="preserve"> </w:t>
            </w:r>
            <w:r>
              <w:rPr/>
              <w:t>Kadidia Karabenta</w:t>
            </w:r>
          </w:p>
          <w:p>
            <w:pPr>
              <w:pStyle w:val="Normal"/>
              <w:rPr/>
            </w:pPr>
            <w:r>
              <w:rPr/>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Contact du promoteur</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lang w:val="en-CA"/>
              </w:rPr>
            </w:pPr>
            <w:r>
              <w:rPr>
                <w:lang w:val="en-CA"/>
              </w:rPr>
              <w:t xml:space="preserve">Cell: </w:t>
            </w:r>
            <w:r>
              <w:rPr/>
              <w:t>71 10 67 20</w:t>
            </w:r>
          </w:p>
        </w:tc>
      </w:tr>
      <w:tr>
        <w:trPr>
          <w:trHeight w:val="402"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Adresse</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Banankabougou-Bamako</w:t>
            </w:r>
          </w:p>
        </w:tc>
      </w:tr>
      <w:tr>
        <w:trPr>
          <w:trHeight w:val="349" w:hRule="atLeast"/>
        </w:trPr>
        <w:tc>
          <w:tcPr>
            <w:tcW w:w="5056"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tabs>
                <w:tab w:val="clear" w:pos="708"/>
                <w:tab w:val="left" w:pos="780" w:leader="none"/>
                <w:tab w:val="left" w:pos="1455" w:leader="none"/>
                <w:tab w:val="center" w:pos="2195" w:leader="none"/>
              </w:tabs>
              <w:rPr/>
            </w:pPr>
            <w:r>
              <w:rPr/>
              <w:t>Secteur d’activité</w:t>
            </w:r>
          </w:p>
        </w:tc>
        <w:tc>
          <w:tcPr>
            <w:tcW w:w="4833" w:type="dxa"/>
            <w:gridSpan w:val="2"/>
            <w:tcBorders>
              <w:top w:val="dotted" w:sz="4" w:space="0" w:color="000000"/>
              <w:left w:val="dotted" w:sz="4" w:space="0" w:color="000000"/>
              <w:bottom w:val="dotted" w:sz="4" w:space="0" w:color="000000"/>
              <w:right w:val="dotted" w:sz="4" w:space="0" w:color="000000"/>
            </w:tcBorders>
            <w:shd w:fill="F2F2F2" w:val="clear"/>
            <w:vAlign w:val="center"/>
          </w:tcPr>
          <w:p>
            <w:pPr>
              <w:pStyle w:val="Normal"/>
              <w:rPr/>
            </w:pPr>
            <w:r>
              <w:rPr/>
              <w:t>Transformation-Agroalimentaire</w:t>
            </w:r>
          </w:p>
        </w:tc>
      </w:tr>
      <w:tr>
        <w:trPr>
          <w:trHeight w:val="170" w:hRule="atLeast"/>
        </w:trPr>
        <w:tc>
          <w:tcPr>
            <w:tcW w:w="5056" w:type="dxa"/>
            <w:vMerge w:val="restart"/>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rPr/>
            </w:pPr>
            <w:r>
              <w:rPr/>
              <w:t>Type de guichet</w:t>
            </w:r>
          </w:p>
        </w:tc>
        <w:tc>
          <w:tcPr>
            <w:tcW w:w="1660" w:type="dxa"/>
            <w:tcBorders>
              <w:top w:val="dotted" w:sz="4" w:space="0" w:color="000000"/>
              <w:left w:val="dotted" w:sz="4" w:space="0" w:color="000000"/>
              <w:bottom w:val="dotted" w:sz="4" w:space="0" w:color="000000"/>
              <w:right w:val="dotted" w:sz="4" w:space="0" w:color="000000"/>
            </w:tcBorders>
            <w:vAlign w:val="center"/>
          </w:tcPr>
          <w:p>
            <w:pPr>
              <w:pStyle w:val="Normal"/>
              <w:spacing w:lineRule="auto" w:line="360"/>
              <w:rPr/>
            </w:pPr>
            <w:r>
              <w:rPr/>
              <w:t>En création</w:t>
            </w:r>
          </w:p>
        </w:tc>
        <w:tc>
          <w:tcPr>
            <w:tcW w:w="3173" w:type="dxa"/>
            <w:tcBorders>
              <w:top w:val="dotted" w:sz="4" w:space="0" w:color="000000"/>
              <w:left w:val="dotted" w:sz="4" w:space="0" w:color="000000"/>
              <w:bottom w:val="dotted" w:sz="4" w:space="0" w:color="000000"/>
              <w:right w:val="dotted" w:sz="4" w:space="0" w:color="000000"/>
            </w:tcBorders>
            <w:vAlign w:val="center"/>
          </w:tcPr>
          <w:p>
            <w:pPr>
              <w:pStyle w:val="Normal"/>
              <w:spacing w:lineRule="auto" w:line="360"/>
              <w:jc w:val="center"/>
              <w:rPr>
                <w:b/>
                <w:bCs/>
              </w:rPr>
            </w:pPr>
            <w:r>
              <w:rPr>
                <w:b/>
                <w:bCs/>
                <w:lang w:val="en-US" w:eastAsia="en-US"/>
              </w:rPr>
              <w:t>X</w:t>
            </w:r>
          </w:p>
        </w:tc>
      </w:tr>
      <w:tr>
        <w:trPr>
          <w:trHeight w:val="170" w:hRule="atLeast"/>
        </w:trPr>
        <w:tc>
          <w:tcPr>
            <w:tcW w:w="5056" w:type="dxa"/>
            <w:vMerge w:val="continue"/>
            <w:tcBorders>
              <w:top w:val="dotted" w:sz="4" w:space="0" w:color="000000"/>
              <w:left w:val="dotted" w:sz="4" w:space="0" w:color="000000"/>
              <w:bottom w:val="dotted" w:sz="4" w:space="0" w:color="000000"/>
              <w:right w:val="dotted" w:sz="4" w:space="0" w:color="000000"/>
            </w:tcBorders>
            <w:vAlign w:val="center"/>
          </w:tcPr>
          <w:p>
            <w:pPr>
              <w:pStyle w:val="Normal"/>
              <w:tabs>
                <w:tab w:val="clear" w:pos="708"/>
                <w:tab w:val="left" w:pos="780" w:leader="none"/>
                <w:tab w:val="left" w:pos="1455" w:leader="none"/>
                <w:tab w:val="center" w:pos="2195" w:leader="none"/>
              </w:tabs>
              <w:snapToGrid w:val="false"/>
              <w:rPr>
                <w:b/>
                <w:bCs/>
              </w:rPr>
            </w:pPr>
            <w:r>
              <w:rPr>
                <w:b/>
                <w:bCs/>
              </w:rPr>
            </w:r>
          </w:p>
        </w:tc>
        <w:tc>
          <w:tcPr>
            <w:tcW w:w="1660"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spacing w:lineRule="auto" w:line="360"/>
              <w:rPr/>
            </w:pPr>
            <w:r>
              <w:rPr/>
              <w:t>En croissance</w:t>
            </w:r>
          </w:p>
        </w:tc>
        <w:tc>
          <w:tcPr>
            <w:tcW w:w="3173" w:type="dxa"/>
            <w:tcBorders>
              <w:top w:val="dotted" w:sz="4" w:space="0" w:color="000000"/>
              <w:left w:val="dotted" w:sz="4" w:space="0" w:color="000000"/>
              <w:bottom w:val="dotted" w:sz="4" w:space="0" w:color="000000"/>
              <w:right w:val="dotted" w:sz="4" w:space="0" w:color="000000"/>
            </w:tcBorders>
            <w:shd w:fill="F2F2F2" w:val="clear"/>
            <w:vAlign w:val="center"/>
          </w:tcPr>
          <w:p>
            <w:pPr>
              <w:pStyle w:val="Normal"/>
              <w:snapToGrid w:val="false"/>
              <w:spacing w:lineRule="auto" w:line="360"/>
              <w:jc w:val="center"/>
              <w:rPr>
                <w:b/>
                <w:bCs/>
                <w:lang w:val="en-US" w:eastAsia="en-US"/>
              </w:rPr>
            </w:pPr>
            <w:r>
              <w:rPr>
                <w:b/>
                <w:bCs/>
                <w:lang w:val="en-US" w:eastAsia="en-US"/>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bCs/>
        </w:rPr>
        <w:t>Slogan :</w:t>
      </w:r>
      <w:r>
        <w:rPr/>
        <w:t xml:space="preserve"> </w:t>
      </w:r>
      <w:r>
        <w:rPr>
          <w:i/>
          <w:iCs/>
        </w:rPr>
        <w:t>Les saveurs douces de la patate douce malienne</w:t>
      </w:r>
      <w:r>
        <w:br w:type="page"/>
      </w:r>
    </w:p>
    <w:p>
      <w:pPr>
        <w:pStyle w:val="Normal"/>
        <w:spacing w:before="0" w:after="0"/>
        <w:rPr>
          <w:lang w:val="en-US" w:eastAsia="en-US"/>
        </w:rPr>
      </w:pPr>
      <w:r>
        <w:rPr>
          <w:lang w:val="en-US" w:eastAsia="en-US"/>
        </w:rPr>
        <mc:AlternateContent>
          <mc:Choice Requires="wps">
            <w:drawing>
              <wp:anchor behindDoc="0" distT="0" distB="0" distL="0" distR="0" simplePos="0" locked="0" layoutInCell="0" allowOverlap="1" relativeHeight="8">
                <wp:simplePos x="0" y="0"/>
                <wp:positionH relativeFrom="margin">
                  <wp:posOffset>4903470</wp:posOffset>
                </wp:positionH>
                <wp:positionV relativeFrom="page">
                  <wp:posOffset>9514840</wp:posOffset>
                </wp:positionV>
                <wp:extent cx="1353185" cy="266700"/>
                <wp:effectExtent l="0" t="0" r="0" b="0"/>
                <wp:wrapNone/>
                <wp:docPr id="2" name="Frame2"/>
                <a:graphic xmlns:a="http://schemas.openxmlformats.org/drawingml/2006/main">
                  <a:graphicData uri="http://schemas.microsoft.com/office/word/2010/wordprocessingShape">
                    <wps:wsp>
                      <wps:cNvSpPr/>
                      <wps:spPr>
                        <a:xfrm>
                          <a:off x="0" y="0"/>
                          <a:ext cx="1353240" cy="266760"/>
                        </a:xfrm>
                        <a:prstGeom prst="rect">
                          <a:avLst/>
                        </a:prstGeom>
                        <a:solidFill>
                          <a:srgbClr val="156082"/>
                        </a:solidFill>
                        <a:ln w="0">
                          <a:noFill/>
                        </a:ln>
                      </wps:spPr>
                      <wps:style>
                        <a:lnRef idx="0"/>
                        <a:fillRef idx="0"/>
                        <a:effectRef idx="0"/>
                        <a:fontRef idx="minor"/>
                      </wps:style>
                      <wps:txbx>
                        <w:txbxContent>
                          <w:p>
                            <w:pPr>
                              <w:pStyle w:val="Sansinterligne"/>
                              <w:jc w:val="center"/>
                              <w:rPr>
                                <w:rFonts w:ascii="Cambria" w:hAnsi="Cambria" w:cs="Cambria"/>
                                <w:b/>
                                <w:bCs/>
                                <w:color w:val="FFFFFF"/>
                                <w:sz w:val="24"/>
                                <w:szCs w:val="24"/>
                              </w:rPr>
                            </w:pPr>
                            <w:r>
                              <w:rPr>
                                <w:rFonts w:cs="Cambria" w:ascii="Cambria" w:hAnsi="Cambria"/>
                                <w:b/>
                                <w:bCs/>
                                <w:color w:val="FFFFFF"/>
                                <w:sz w:val="24"/>
                                <w:szCs w:val="24"/>
                              </w:rPr>
                              <w:t>Juin 2025</w:t>
                            </w:r>
                          </w:p>
                        </w:txbxContent>
                      </wps:txbx>
                      <wps:bodyPr lIns="47160" rIns="47160" tIns="47160" bIns="47160" anchor="t">
                        <a:noAutofit/>
                      </wps:bodyPr>
                    </wps:wsp>
                  </a:graphicData>
                </a:graphic>
              </wp:anchor>
            </w:drawing>
          </mc:Choice>
          <mc:Fallback>
            <w:pict>
              <v:rect id="shape_0" ID="Frame2" path="m0,0l-2147483645,0l-2147483645,-2147483646l0,-2147483646xe" fillcolor="#156082" stroked="f" o:allowincell="f" style="position:absolute;margin-left:386.1pt;margin-top:749.2pt;width:106.5pt;height:20.95pt;mso-wrap-style:square;v-text-anchor:top;mso-position-horizontal-relative:margin;mso-position-vertical-relative:page">
                <v:fill o:detectmouseclick="t" type="solid" color2="#ea9f7d"/>
                <v:stroke color="#3465a4" joinstyle="round" endcap="flat"/>
                <v:textbox>
                  <w:txbxContent>
                    <w:p>
                      <w:pPr>
                        <w:pStyle w:val="Sansinterligne"/>
                        <w:jc w:val="center"/>
                        <w:rPr>
                          <w:rFonts w:ascii="Cambria" w:hAnsi="Cambria" w:cs="Cambria"/>
                          <w:b/>
                          <w:bCs/>
                          <w:color w:val="FFFFFF"/>
                          <w:sz w:val="24"/>
                          <w:szCs w:val="24"/>
                        </w:rPr>
                      </w:pPr>
                      <w:r>
                        <w:rPr>
                          <w:rFonts w:cs="Cambria" w:ascii="Cambria" w:hAnsi="Cambria"/>
                          <w:b/>
                          <w:bCs/>
                          <w:color w:val="FFFFFF"/>
                          <w:sz w:val="24"/>
                          <w:szCs w:val="24"/>
                        </w:rPr>
                        <w:t>Juin 2025</w:t>
                      </w:r>
                    </w:p>
                  </w:txbxContent>
                </v:textbox>
                <w10:wrap type="none"/>
              </v:rect>
            </w:pict>
          </mc:Fallback>
        </mc:AlternateContent>
      </w:r>
    </w:p>
    <w:p>
      <w:pPr>
        <w:pStyle w:val="Normal"/>
        <w:jc w:val="center"/>
        <w:rPr>
          <w:b/>
          <w:i/>
          <w:i/>
          <w:sz w:val="28"/>
          <w:szCs w:val="20"/>
        </w:rPr>
      </w:pPr>
      <w:r>
        <w:rPr>
          <w:b/>
          <w:i/>
          <w:sz w:val="28"/>
          <w:szCs w:val="20"/>
        </w:rPr>
        <w:t>Table des matières</w:t>
      </w:r>
    </w:p>
    <w:sdt>
      <w:sdtPr>
        <w:docPartObj>
          <w:docPartGallery w:val="Table of Contents"/>
          <w:docPartUnique w:val="true"/>
        </w:docPartObj>
      </w:sdtPr>
      <w:sdtContent>
        <w:p>
          <w:pPr>
            <w:pStyle w:val="TOC1"/>
            <w:tabs>
              <w:tab w:val="clear" w:pos="708"/>
              <w:tab w:val="left" w:pos="440" w:leader="none"/>
              <w:tab w:val="right" w:pos="9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4831690">
            <w:r>
              <w:rPr>
                <w:webHidden/>
                <w:rStyle w:val="IndexLink"/>
              </w:rPr>
              <w:t>I.</w:t>
              <w:tab/>
              <w:t>FICHE SIGNALÉTIQUE</w:t>
              <w:tab/>
              <w:t>2</w:t>
            </w:r>
          </w:hyperlink>
        </w:p>
        <w:p>
          <w:pPr>
            <w:pStyle w:val="TOC1"/>
            <w:tabs>
              <w:tab w:val="clear" w:pos="708"/>
              <w:tab w:val="left" w:pos="440" w:leader="none"/>
              <w:tab w:val="right" w:pos="9639" w:leader="dot"/>
            </w:tabs>
            <w:rPr/>
          </w:pPr>
          <w:hyperlink w:anchor="__RefHeading___Toc12030_4017987919">
            <w:r>
              <w:rPr>
                <w:webHidden/>
                <w:rStyle w:val="IndexLink"/>
              </w:rPr>
              <w:t>II.</w:t>
              <w:tab/>
              <w:t>APERÇU GÉNÉRAL</w:t>
              <w:tab/>
              <w:t>3</w:t>
            </w:r>
          </w:hyperlink>
        </w:p>
        <w:p>
          <w:pPr>
            <w:pStyle w:val="TOC2"/>
            <w:tabs>
              <w:tab w:val="clear" w:pos="708"/>
              <w:tab w:val="left" w:pos="880" w:leader="none"/>
              <w:tab w:val="right" w:pos="9639" w:leader="dot"/>
            </w:tabs>
            <w:rPr/>
          </w:pPr>
          <w:hyperlink w:anchor="__RefHeading___Toc234831692">
            <w:r>
              <w:rPr>
                <w:webHidden/>
                <w:rStyle w:val="IndexLink"/>
              </w:rPr>
              <w:t>1.</w:t>
              <w:tab/>
            </w:r>
            <w:r>
              <w:rPr>
                <w:rStyle w:val="IndexLink"/>
                <w:i w:val="false"/>
                <w:iCs w:val="false"/>
              </w:rPr>
              <w:t>Présentation du Promoteur :</w:t>
            </w:r>
            <w:r>
              <w:rPr>
                <w:rStyle w:val="IndexLink"/>
              </w:rPr>
              <w:tab/>
              <w:t>3</w:t>
            </w:r>
          </w:hyperlink>
        </w:p>
        <w:p>
          <w:pPr>
            <w:pStyle w:val="TOC2"/>
            <w:tabs>
              <w:tab w:val="clear" w:pos="708"/>
              <w:tab w:val="left" w:pos="880" w:leader="none"/>
              <w:tab w:val="right" w:pos="9639" w:leader="dot"/>
            </w:tabs>
            <w:rPr/>
          </w:pPr>
          <w:hyperlink w:anchor="__RefHeading___Toc234831693">
            <w:r>
              <w:rPr>
                <w:webHidden/>
                <w:rStyle w:val="IndexLink"/>
              </w:rPr>
              <w:t>2.</w:t>
              <w:tab/>
            </w:r>
            <w:r>
              <w:rPr>
                <w:rStyle w:val="IndexLink"/>
                <w:i w:val="false"/>
                <w:iCs w:val="false"/>
              </w:rPr>
              <w:t>Description du projet :</w:t>
            </w:r>
            <w:r>
              <w:rPr>
                <w:rStyle w:val="IndexLink"/>
              </w:rPr>
              <w:tab/>
              <w:t>4</w:t>
            </w:r>
          </w:hyperlink>
        </w:p>
        <w:p>
          <w:pPr>
            <w:pStyle w:val="TOC2"/>
            <w:tabs>
              <w:tab w:val="clear" w:pos="708"/>
              <w:tab w:val="left" w:pos="880" w:leader="none"/>
              <w:tab w:val="right" w:pos="9639" w:leader="dot"/>
            </w:tabs>
            <w:rPr/>
          </w:pPr>
          <w:hyperlink w:anchor="__RefHeading___Toc234831694">
            <w:r>
              <w:rPr>
                <w:webHidden/>
                <w:rStyle w:val="IndexLink"/>
              </w:rPr>
              <w:t>3.</w:t>
              <w:tab/>
            </w:r>
            <w:r>
              <w:rPr>
                <w:rStyle w:val="IndexLink"/>
                <w:i w:val="false"/>
                <w:iCs w:val="false"/>
              </w:rPr>
              <w:t>Objectifs du projet :</w:t>
            </w:r>
            <w:r>
              <w:rPr>
                <w:rStyle w:val="IndexLink"/>
              </w:rPr>
              <w:tab/>
              <w:t>4</w:t>
            </w:r>
          </w:hyperlink>
        </w:p>
        <w:p>
          <w:pPr>
            <w:pStyle w:val="TOC2"/>
            <w:tabs>
              <w:tab w:val="clear" w:pos="708"/>
              <w:tab w:val="left" w:pos="880" w:leader="none"/>
              <w:tab w:val="right" w:pos="9639" w:leader="dot"/>
            </w:tabs>
            <w:rPr/>
          </w:pPr>
          <w:hyperlink w:anchor="__RefHeading___Toc234831695">
            <w:r>
              <w:rPr>
                <w:webHidden/>
                <w:rStyle w:val="IndexLink"/>
              </w:rPr>
              <w:t>4.</w:t>
              <w:tab/>
            </w:r>
            <w:r>
              <w:rPr>
                <w:rStyle w:val="IndexLink"/>
                <w:i w:val="false"/>
                <w:iCs w:val="false"/>
              </w:rPr>
              <w:t>Localisation du projet</w:t>
            </w:r>
            <w:r>
              <w:rPr>
                <w:rStyle w:val="IndexLink"/>
              </w:rPr>
              <w:tab/>
              <w:t>4</w:t>
            </w:r>
          </w:hyperlink>
        </w:p>
        <w:p>
          <w:pPr>
            <w:pStyle w:val="TOC1"/>
            <w:tabs>
              <w:tab w:val="clear" w:pos="708"/>
              <w:tab w:val="left" w:pos="440" w:leader="none"/>
              <w:tab w:val="right" w:pos="9639" w:leader="dot"/>
            </w:tabs>
            <w:rPr/>
          </w:pPr>
          <w:hyperlink w:anchor="__RefHeading___Toc234831696">
            <w:r>
              <w:rPr>
                <w:webHidden/>
                <w:rStyle w:val="IndexLink"/>
              </w:rPr>
              <w:t>III.</w:t>
              <w:tab/>
              <w:t>ÉTUDE DE MARCHÉ</w:t>
              <w:tab/>
              <w:t>4</w:t>
            </w:r>
          </w:hyperlink>
        </w:p>
        <w:p>
          <w:pPr>
            <w:pStyle w:val="TOC1"/>
            <w:tabs>
              <w:tab w:val="clear" w:pos="708"/>
              <w:tab w:val="left" w:pos="440" w:leader="none"/>
              <w:tab w:val="right" w:pos="9639" w:leader="dot"/>
            </w:tabs>
            <w:rPr/>
          </w:pPr>
          <w:hyperlink w:anchor="__RefHeading___Toc234831707">
            <w:r>
              <w:rPr>
                <w:webHidden/>
                <w:rStyle w:val="IndexLink"/>
              </w:rPr>
              <w:t>IV.</w:t>
              <w:tab/>
              <w:t>ÉTUDE TECHNIQUE</w:t>
              <w:tab/>
              <w:t>7</w:t>
            </w:r>
          </w:hyperlink>
        </w:p>
        <w:p>
          <w:pPr>
            <w:pStyle w:val="TOC2"/>
            <w:tabs>
              <w:tab w:val="clear" w:pos="708"/>
              <w:tab w:val="left" w:pos="880" w:leader="none"/>
              <w:tab w:val="right" w:pos="9639" w:leader="dot"/>
            </w:tabs>
            <w:rPr/>
          </w:pPr>
          <w:hyperlink w:anchor="__RefHeading___Toc234831708">
            <w:r>
              <w:rPr>
                <w:webHidden/>
                <w:rStyle w:val="IndexLink"/>
              </w:rPr>
              <w:t>1.</w:t>
              <w:tab/>
            </w:r>
            <w:r>
              <w:rPr>
                <w:rStyle w:val="IndexLink"/>
                <w:i w:val="false"/>
                <w:iCs w:val="false"/>
              </w:rPr>
              <w:t>Site d’implantation :</w:t>
            </w:r>
            <w:r>
              <w:rPr>
                <w:rStyle w:val="IndexLink"/>
              </w:rPr>
              <w:tab/>
              <w:t>7</w:t>
            </w:r>
          </w:hyperlink>
        </w:p>
        <w:p>
          <w:pPr>
            <w:pStyle w:val="TOC2"/>
            <w:tabs>
              <w:tab w:val="clear" w:pos="708"/>
              <w:tab w:val="left" w:pos="880" w:leader="none"/>
              <w:tab w:val="right" w:pos="9639" w:leader="dot"/>
            </w:tabs>
            <w:rPr/>
          </w:pPr>
          <w:hyperlink w:anchor="__RefHeading___Toc234831709">
            <w:r>
              <w:rPr>
                <w:webHidden/>
                <w:rStyle w:val="IndexLink"/>
              </w:rPr>
              <w:t>2.</w:t>
              <w:tab/>
            </w:r>
            <w:r>
              <w:rPr>
                <w:rStyle w:val="IndexLink"/>
                <w:i w:val="false"/>
                <w:iCs w:val="false"/>
              </w:rPr>
              <w:t>Locaux, aménagements / installations et équipements</w:t>
            </w:r>
            <w:r>
              <w:rPr>
                <w:rStyle w:val="IndexLink"/>
              </w:rPr>
              <w:tab/>
              <w:t>8</w:t>
            </w:r>
          </w:hyperlink>
        </w:p>
        <w:p>
          <w:pPr>
            <w:pStyle w:val="TOC3"/>
            <w:tabs>
              <w:tab w:val="clear" w:pos="708"/>
              <w:tab w:val="left" w:pos="1320" w:leader="none"/>
              <w:tab w:val="right" w:pos="9639" w:leader="dot"/>
            </w:tabs>
            <w:rPr/>
          </w:pPr>
          <w:hyperlink w:anchor="__RefHeading___Toc234831710">
            <w:r>
              <w:rPr>
                <w:webHidden/>
                <w:rStyle w:val="IndexLink"/>
              </w:rPr>
              <w:t>2.1</w:t>
              <w:tab/>
              <w:t>Equipements de production :</w:t>
              <w:tab/>
              <w:t>8</w:t>
            </w:r>
          </w:hyperlink>
        </w:p>
        <w:p>
          <w:pPr>
            <w:pStyle w:val="TOC2"/>
            <w:tabs>
              <w:tab w:val="clear" w:pos="708"/>
              <w:tab w:val="left" w:pos="880" w:leader="none"/>
              <w:tab w:val="right" w:pos="9639" w:leader="dot"/>
            </w:tabs>
            <w:rPr/>
          </w:pPr>
          <w:hyperlink w:anchor="__RefHeading___Toc234831711">
            <w:r>
              <w:rPr>
                <w:webHidden/>
                <w:rStyle w:val="IndexLink"/>
              </w:rPr>
              <w:t>3.</w:t>
              <w:tab/>
            </w:r>
            <w:r>
              <w:rPr>
                <w:rStyle w:val="IndexLink"/>
                <w:i w:val="false"/>
                <w:iCs w:val="false"/>
              </w:rPr>
              <w:t>Le processus de production :</w:t>
            </w:r>
            <w:r>
              <w:rPr>
                <w:rStyle w:val="IndexLink"/>
              </w:rPr>
              <w:tab/>
              <w:t>8</w:t>
            </w:r>
          </w:hyperlink>
        </w:p>
        <w:p>
          <w:pPr>
            <w:pStyle w:val="TOC2"/>
            <w:tabs>
              <w:tab w:val="clear" w:pos="708"/>
              <w:tab w:val="left" w:pos="880" w:leader="none"/>
              <w:tab w:val="right" w:pos="9639" w:leader="dot"/>
            </w:tabs>
            <w:rPr/>
          </w:pPr>
          <w:hyperlink w:anchor="__RefHeading___Toc234831712">
            <w:r>
              <w:rPr>
                <w:webHidden/>
                <w:rStyle w:val="IndexLink"/>
              </w:rPr>
              <w:t>4.</w:t>
              <w:tab/>
            </w:r>
            <w:r>
              <w:rPr>
                <w:rStyle w:val="IndexLink"/>
                <w:i w:val="false"/>
                <w:iCs w:val="false"/>
              </w:rPr>
              <w:t xml:space="preserve">Le personnel : </w:t>
            </w:r>
            <w:r>
              <w:rPr>
                <w:rStyle w:val="IndexLink"/>
              </w:rPr>
              <w:t>(profil et compétences)</w:t>
              <w:tab/>
              <w:t>10</w:t>
            </w:r>
          </w:hyperlink>
        </w:p>
        <w:p>
          <w:pPr>
            <w:pStyle w:val="TOC1"/>
            <w:tabs>
              <w:tab w:val="clear" w:pos="708"/>
              <w:tab w:val="left" w:pos="440" w:leader="none"/>
              <w:tab w:val="right" w:pos="9639" w:leader="dot"/>
            </w:tabs>
            <w:rPr/>
          </w:pPr>
          <w:hyperlink w:anchor="__RefHeading___Toc234831713">
            <w:r>
              <w:rPr>
                <w:webHidden/>
                <w:rStyle w:val="IndexLink"/>
              </w:rPr>
              <w:t>V.</w:t>
              <w:tab/>
              <w:t>ÉTUDE ÉCONOMIQUE ET FINANCIÈRE</w:t>
              <w:tab/>
              <w:t>10</w:t>
            </w:r>
          </w:hyperlink>
        </w:p>
        <w:p>
          <w:pPr>
            <w:pStyle w:val="TOC2"/>
            <w:tabs>
              <w:tab w:val="clear" w:pos="708"/>
              <w:tab w:val="left" w:pos="880" w:leader="none"/>
              <w:tab w:val="right" w:pos="9639" w:leader="dot"/>
            </w:tabs>
            <w:rPr/>
          </w:pPr>
          <w:hyperlink w:anchor="__RefHeading___Toc234831714">
            <w:r>
              <w:rPr>
                <w:webHidden/>
                <w:rStyle w:val="IndexLink"/>
              </w:rPr>
              <w:t>V.1</w:t>
              <w:tab/>
            </w:r>
            <w:r>
              <w:rPr>
                <w:rStyle w:val="IndexLink"/>
                <w:i w:val="false"/>
                <w:iCs w:val="false"/>
              </w:rPr>
              <w:t>Hypothèses de base</w:t>
            </w:r>
            <w:r>
              <w:rPr>
                <w:rStyle w:val="IndexLink"/>
              </w:rPr>
              <w:tab/>
              <w:t>10</w:t>
            </w:r>
          </w:hyperlink>
        </w:p>
        <w:p>
          <w:pPr>
            <w:pStyle w:val="TOC3"/>
            <w:tabs>
              <w:tab w:val="clear" w:pos="708"/>
              <w:tab w:val="left" w:pos="1320" w:leader="none"/>
              <w:tab w:val="right" w:pos="9639" w:leader="dot"/>
            </w:tabs>
            <w:rPr/>
          </w:pPr>
          <w:hyperlink w:anchor="__RefHeading___Toc234831715">
            <w:r>
              <w:rPr>
                <w:webHidden/>
                <w:rStyle w:val="IndexLink"/>
              </w:rPr>
              <w:t>V.1.1</w:t>
              <w:tab/>
              <w:t>Recettes prévisionnelles annuelles</w:t>
              <w:tab/>
              <w:t>10</w:t>
            </w:r>
          </w:hyperlink>
        </w:p>
        <w:p>
          <w:pPr>
            <w:pStyle w:val="TOC3"/>
            <w:tabs>
              <w:tab w:val="clear" w:pos="708"/>
              <w:tab w:val="left" w:pos="1320" w:leader="none"/>
              <w:tab w:val="right" w:pos="9639" w:leader="dot"/>
            </w:tabs>
            <w:rPr/>
          </w:pPr>
          <w:hyperlink w:anchor="__RefHeading___Toc234831716">
            <w:r>
              <w:rPr>
                <w:webHidden/>
                <w:rStyle w:val="IndexLink"/>
              </w:rPr>
              <w:t>V.1.2</w:t>
              <w:tab/>
              <w:t>Données prévisionnelles sur les achats</w:t>
              <w:tab/>
              <w:t>10</w:t>
            </w:r>
          </w:hyperlink>
        </w:p>
        <w:p>
          <w:pPr>
            <w:pStyle w:val="TOC3"/>
            <w:tabs>
              <w:tab w:val="clear" w:pos="708"/>
              <w:tab w:val="left" w:pos="1320" w:leader="none"/>
              <w:tab w:val="right" w:pos="9639" w:leader="dot"/>
            </w:tabs>
            <w:rPr/>
          </w:pPr>
          <w:hyperlink w:anchor="__RefHeading___Toc234831717">
            <w:r>
              <w:rPr>
                <w:webHidden/>
                <w:rStyle w:val="IndexLink"/>
              </w:rPr>
              <w:tab/>
              <w:t>Achats de matières premières</w:t>
              <w:tab/>
              <w:t>10</w:t>
            </w:r>
          </w:hyperlink>
        </w:p>
        <w:p>
          <w:pPr>
            <w:pStyle w:val="TOC3"/>
            <w:tabs>
              <w:tab w:val="clear" w:pos="708"/>
              <w:tab w:val="left" w:pos="1320" w:leader="none"/>
              <w:tab w:val="right" w:pos="9639" w:leader="dot"/>
            </w:tabs>
            <w:rPr/>
          </w:pPr>
          <w:hyperlink w:anchor="__RefHeading___Toc234831718">
            <w:r>
              <w:rPr>
                <w:webHidden/>
                <w:rStyle w:val="IndexLink"/>
              </w:rPr>
              <w:t>V.1.3</w:t>
              <w:tab/>
              <w:t>Frais Généraux</w:t>
              <w:tab/>
              <w:t>11</w:t>
            </w:r>
          </w:hyperlink>
        </w:p>
        <w:p>
          <w:pPr>
            <w:pStyle w:val="TOC3"/>
            <w:tabs>
              <w:tab w:val="clear" w:pos="708"/>
              <w:tab w:val="left" w:pos="1320" w:leader="none"/>
              <w:tab w:val="right" w:pos="9639" w:leader="dot"/>
            </w:tabs>
            <w:rPr/>
          </w:pPr>
          <w:hyperlink w:anchor="__RefHeading___Toc234831719">
            <w:r>
              <w:rPr>
                <w:webHidden/>
                <w:rStyle w:val="IndexLink"/>
              </w:rPr>
              <w:t>V.1.4</w:t>
              <w:tab/>
              <w:t>Dotations aux amortissements</w:t>
              <w:tab/>
              <w:t>11</w:t>
            </w:r>
          </w:hyperlink>
        </w:p>
        <w:p>
          <w:pPr>
            <w:pStyle w:val="TOC3"/>
            <w:tabs>
              <w:tab w:val="clear" w:pos="708"/>
              <w:tab w:val="left" w:pos="1320" w:leader="none"/>
              <w:tab w:val="right" w:pos="9639" w:leader="dot"/>
            </w:tabs>
            <w:rPr/>
          </w:pPr>
          <w:hyperlink w:anchor="__RefHeading___Toc234831720">
            <w:r>
              <w:rPr>
                <w:webHidden/>
                <w:rStyle w:val="IndexLink"/>
              </w:rPr>
              <w:t>V.1.5</w:t>
              <w:tab/>
              <w:t>Echéancier de remboursement</w:t>
              <w:tab/>
              <w:t>11</w:t>
            </w:r>
          </w:hyperlink>
        </w:p>
        <w:p>
          <w:pPr>
            <w:pStyle w:val="TOC2"/>
            <w:tabs>
              <w:tab w:val="clear" w:pos="708"/>
              <w:tab w:val="left" w:pos="880" w:leader="none"/>
              <w:tab w:val="right" w:pos="9639" w:leader="dot"/>
            </w:tabs>
            <w:rPr/>
          </w:pPr>
          <w:hyperlink w:anchor="__RefHeading___Toc234831721">
            <w:r>
              <w:rPr>
                <w:webHidden/>
                <w:rStyle w:val="IndexLink"/>
              </w:rPr>
              <w:t>V.2</w:t>
              <w:tab/>
            </w:r>
            <w:r>
              <w:rPr>
                <w:rStyle w:val="IndexLink"/>
                <w:i w:val="false"/>
                <w:iCs w:val="false"/>
              </w:rPr>
              <w:t>Coût total du projet</w:t>
            </w:r>
            <w:r>
              <w:rPr>
                <w:rStyle w:val="IndexLink"/>
              </w:rPr>
              <w:tab/>
              <w:t>13</w:t>
            </w:r>
          </w:hyperlink>
        </w:p>
        <w:p>
          <w:pPr>
            <w:pStyle w:val="TOC2"/>
            <w:tabs>
              <w:tab w:val="clear" w:pos="708"/>
              <w:tab w:val="left" w:pos="880" w:leader="none"/>
              <w:tab w:val="right" w:pos="9639" w:leader="dot"/>
            </w:tabs>
            <w:rPr/>
          </w:pPr>
          <w:hyperlink w:anchor="__RefHeading___Toc234831722">
            <w:r>
              <w:rPr>
                <w:webHidden/>
                <w:rStyle w:val="IndexLink"/>
              </w:rPr>
              <w:t>V.3</w:t>
              <w:tab/>
            </w:r>
            <w:r>
              <w:rPr>
                <w:rStyle w:val="IndexLink"/>
                <w:i w:val="false"/>
                <w:iCs w:val="false"/>
              </w:rPr>
              <w:t>Plan de financement</w:t>
            </w:r>
            <w:r>
              <w:rPr>
                <w:rStyle w:val="IndexLink"/>
              </w:rPr>
              <w:tab/>
              <w:t>13</w:t>
            </w:r>
          </w:hyperlink>
        </w:p>
        <w:p>
          <w:pPr>
            <w:pStyle w:val="TOC2"/>
            <w:tabs>
              <w:tab w:val="clear" w:pos="708"/>
              <w:tab w:val="left" w:pos="880" w:leader="none"/>
              <w:tab w:val="right" w:pos="9639" w:leader="dot"/>
            </w:tabs>
            <w:rPr/>
          </w:pPr>
          <w:hyperlink w:anchor="__RefHeading___Toc234831723">
            <w:r>
              <w:rPr>
                <w:webHidden/>
                <w:rStyle w:val="IndexLink"/>
              </w:rPr>
              <w:t>V.4</w:t>
              <w:tab/>
            </w:r>
            <w:r>
              <w:rPr>
                <w:rStyle w:val="IndexLink"/>
                <w:i w:val="false"/>
                <w:iCs w:val="false"/>
              </w:rPr>
              <w:t>Compte d'exploitation prévisionnel</w:t>
            </w:r>
            <w:r>
              <w:rPr>
                <w:rStyle w:val="IndexLink"/>
              </w:rPr>
              <w:tab/>
              <w:t>14</w:t>
            </w:r>
          </w:hyperlink>
        </w:p>
        <w:p>
          <w:pPr>
            <w:pStyle w:val="TOC2"/>
            <w:tabs>
              <w:tab w:val="clear" w:pos="708"/>
              <w:tab w:val="left" w:pos="880" w:leader="none"/>
              <w:tab w:val="right" w:pos="9639" w:leader="dot"/>
            </w:tabs>
            <w:rPr/>
          </w:pPr>
          <w:hyperlink w:anchor="__RefHeading___Toc234831724">
            <w:r>
              <w:rPr>
                <w:webHidden/>
                <w:rStyle w:val="IndexLink"/>
              </w:rPr>
              <w:t>V.5</w:t>
              <w:tab/>
            </w:r>
            <w:r>
              <w:rPr>
                <w:rStyle w:val="IndexLink"/>
                <w:i w:val="false"/>
                <w:iCs w:val="false"/>
              </w:rPr>
              <w:t>Tableau de financement annuel</w:t>
            </w:r>
            <w:r>
              <w:rPr>
                <w:rStyle w:val="IndexLink"/>
              </w:rPr>
              <w:tab/>
              <w:t>15</w:t>
            </w:r>
          </w:hyperlink>
        </w:p>
        <w:p>
          <w:pPr>
            <w:pStyle w:val="TOC2"/>
            <w:tabs>
              <w:tab w:val="clear" w:pos="708"/>
              <w:tab w:val="left" w:pos="880" w:leader="none"/>
              <w:tab w:val="right" w:pos="9639" w:leader="dot"/>
            </w:tabs>
            <w:rPr/>
          </w:pPr>
          <w:hyperlink w:anchor="__RefHeading___Toc234831725">
            <w:r>
              <w:rPr>
                <w:webHidden/>
                <w:rStyle w:val="IndexLink"/>
              </w:rPr>
              <w:t>V.6</w:t>
              <w:tab/>
            </w:r>
            <w:r>
              <w:rPr>
                <w:rStyle w:val="IndexLink"/>
                <w:i w:val="false"/>
                <w:iCs w:val="false"/>
              </w:rPr>
              <w:t>Bilan de départ</w:t>
            </w:r>
            <w:r>
              <w:rPr>
                <w:rStyle w:val="IndexLink"/>
              </w:rPr>
              <w:tab/>
              <w:t>16</w:t>
            </w:r>
          </w:hyperlink>
        </w:p>
        <w:p>
          <w:pPr>
            <w:pStyle w:val="TOC2"/>
            <w:tabs>
              <w:tab w:val="clear" w:pos="708"/>
              <w:tab w:val="left" w:pos="880" w:leader="none"/>
              <w:tab w:val="right" w:pos="9639" w:leader="dot"/>
            </w:tabs>
            <w:rPr/>
          </w:pPr>
          <w:hyperlink w:anchor="__RefHeading___Toc234831726">
            <w:r>
              <w:rPr>
                <w:webHidden/>
                <w:rStyle w:val="IndexLink"/>
              </w:rPr>
              <w:t>V.7</w:t>
              <w:tab/>
            </w:r>
            <w:r>
              <w:rPr>
                <w:rStyle w:val="IndexLink"/>
                <w:i w:val="false"/>
                <w:iCs w:val="false"/>
              </w:rPr>
              <w:t>Calcul de rentabilité</w:t>
            </w:r>
            <w:r>
              <w:rPr>
                <w:rStyle w:val="IndexLink"/>
              </w:rPr>
              <w:tab/>
              <w:t>17</w:t>
            </w:r>
          </w:hyperlink>
        </w:p>
        <w:p>
          <w:pPr>
            <w:pStyle w:val="TOC1"/>
            <w:tabs>
              <w:tab w:val="clear" w:pos="708"/>
              <w:tab w:val="left" w:pos="440" w:leader="none"/>
              <w:tab w:val="right" w:pos="9639" w:leader="dot"/>
            </w:tabs>
            <w:rPr/>
          </w:pPr>
          <w:hyperlink w:anchor="__RefHeading___Toc234831727">
            <w:r>
              <w:rPr>
                <w:webHidden/>
                <w:rStyle w:val="IndexLink"/>
              </w:rPr>
              <w:t>VI.</w:t>
              <w:tab/>
              <w:t>ANALYSE DES FORCES, FAIBLESSES, OPPORTUNITÉS ET MENACES</w:t>
              <w:tab/>
              <w:t>18</w:t>
            </w:r>
          </w:hyperlink>
        </w:p>
        <w:p>
          <w:pPr>
            <w:pStyle w:val="TOC1"/>
            <w:tabs>
              <w:tab w:val="clear" w:pos="708"/>
              <w:tab w:val="left" w:pos="440" w:leader="none"/>
              <w:tab w:val="right" w:pos="9639" w:leader="dot"/>
            </w:tabs>
            <w:rPr/>
          </w:pPr>
          <w:hyperlink w:anchor="__RefHeading___Toc234831728">
            <w:r>
              <w:rPr>
                <w:webHidden/>
                <w:rStyle w:val="IndexLink"/>
              </w:rPr>
              <w:t>VII.</w:t>
              <w:tab/>
              <w:t>CONCLUSION</w:t>
              <w:tab/>
              <w:t>19</w:t>
            </w:r>
          </w:hyperlink>
          <w:r>
            <w:rPr>
              <w:rStyle w:val="IndexLink"/>
            </w:rPr>
            <w:fldChar w:fldCharType="end"/>
          </w:r>
        </w:p>
      </w:sdtContent>
    </w:sdt>
    <w:p>
      <w:pPr>
        <w:pStyle w:val="TOC1"/>
        <w:rPr>
          <w:rStyle w:val="IndexLink"/>
          <w:rFonts w:ascii="Calibri" w:hAnsi="Calibri" w:cs="Calibri"/>
          <w:b/>
          <w:bCs/>
          <w:caps/>
          <w:sz w:val="22"/>
          <w:szCs w:val="22"/>
        </w:rPr>
      </w:pPr>
      <w:r>
        <w:rPr>
          <w:rFonts w:cs="Calibri" w:ascii="Calibri" w:hAnsi="Calibri"/>
          <w:b/>
          <w:bCs/>
          <w:caps/>
          <w:sz w:val="22"/>
          <w:szCs w:val="22"/>
        </w:rPr>
      </w:r>
    </w:p>
    <w:p>
      <w:pPr>
        <w:pStyle w:val="Normal"/>
        <w:jc w:val="both"/>
        <w:rPr>
          <w:rFonts w:ascii="Calibri" w:hAnsi="Calibri" w:cs="Calibri"/>
          <w:b/>
          <w:bCs/>
          <w:caps/>
          <w:sz w:val="20"/>
          <w:szCs w:val="20"/>
        </w:rPr>
      </w:pPr>
      <w:r>
        <w:rPr>
          <w:rFonts w:cs="Calibri" w:ascii="Calibri" w:hAnsi="Calibri"/>
          <w:b/>
          <w:bCs/>
          <w:caps/>
          <w:sz w:val="20"/>
          <w:szCs w:val="20"/>
        </w:rPr>
      </w:r>
    </w:p>
    <w:p>
      <w:pPr>
        <w:pStyle w:val="Heading1"/>
        <w:keepLines/>
        <w:numPr>
          <w:ilvl w:val="0"/>
          <w:numId w:val="6"/>
        </w:numPr>
        <w:spacing w:before="240" w:after="120"/>
        <w:ind w:hanging="431" w:left="431" w:right="0"/>
        <w:jc w:val="both"/>
        <w:rPr>
          <w:rFonts w:ascii="Times New Roman" w:hAnsi="Times New Roman" w:cs="Times New Roman"/>
          <w:caps/>
          <w:color w:val="166B7F"/>
          <w:kern w:val="0"/>
          <w:lang w:eastAsia="en-US"/>
        </w:rPr>
      </w:pPr>
      <w:bookmarkStart w:id="0" w:name="__RefHeading___Toc234831690"/>
      <w:bookmarkEnd w:id="0"/>
      <w:r>
        <w:rPr>
          <w:rFonts w:cs="Times New Roman" w:ascii="Times New Roman" w:hAnsi="Times New Roman"/>
          <w:caps/>
          <w:color w:val="166B7F"/>
          <w:kern w:val="0"/>
          <w:lang w:eastAsia="en-US"/>
        </w:rPr>
        <w:t>FICHE SIGNALÉTIQUE</w:t>
      </w:r>
    </w:p>
    <w:tbl>
      <w:tblPr>
        <w:tblW w:w="9781" w:type="dxa"/>
        <w:jc w:val="left"/>
        <w:tblInd w:w="70" w:type="dxa"/>
        <w:tblLayout w:type="fixed"/>
        <w:tblCellMar>
          <w:top w:w="0" w:type="dxa"/>
          <w:left w:w="70" w:type="dxa"/>
          <w:bottom w:w="0" w:type="dxa"/>
          <w:right w:w="70" w:type="dxa"/>
        </w:tblCellMar>
      </w:tblPr>
      <w:tblGrid>
        <w:gridCol w:w="3543"/>
        <w:gridCol w:w="2695"/>
        <w:gridCol w:w="282"/>
        <w:gridCol w:w="992"/>
        <w:gridCol w:w="851"/>
        <w:gridCol w:w="899"/>
        <w:gridCol w:w="196"/>
        <w:gridCol w:w="322"/>
      </w:tblGrid>
      <w:tr>
        <w:trPr>
          <w:trHeight w:val="405" w:hRule="atLeast"/>
        </w:trPr>
        <w:tc>
          <w:tcPr>
            <w:tcW w:w="9780" w:type="dxa"/>
            <w:gridSpan w:val="8"/>
            <w:tcBorders/>
            <w:shd w:fill="166B7F" w:val="clear"/>
            <w:vAlign w:val="bottom"/>
          </w:tcPr>
          <w:p>
            <w:pPr>
              <w:pStyle w:val="Normal"/>
              <w:jc w:val="center"/>
              <w:rPr>
                <w:b/>
                <w:bCs/>
                <w:color w:val="FFFFFF"/>
                <w:sz w:val="22"/>
                <w:szCs w:val="22"/>
              </w:rPr>
            </w:pPr>
            <w:r>
              <w:rPr>
                <w:b/>
                <w:bCs/>
                <w:color w:val="FFFFFF"/>
                <w:sz w:val="22"/>
                <w:szCs w:val="22"/>
              </w:rPr>
              <w:t>FICHE SIGNALETIQUE</w:t>
            </w:r>
          </w:p>
        </w:tc>
      </w:tr>
      <w:tr>
        <w:trPr>
          <w:trHeight w:val="315" w:hRule="atLeast"/>
        </w:trPr>
        <w:tc>
          <w:tcPr>
            <w:tcW w:w="35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780" w:leader="none"/>
                <w:tab w:val="left" w:pos="1455" w:leader="none"/>
                <w:tab w:val="center" w:pos="2195" w:leader="none"/>
              </w:tabs>
              <w:rPr/>
            </w:pPr>
            <w:r>
              <w:rPr/>
              <w:t>Nom(s) et prénom(s) du promoteur</w:t>
            </w:r>
          </w:p>
        </w:tc>
        <w:tc>
          <w:tcPr>
            <w:tcW w:w="5719"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pPr>
            <w:r>
              <w:rPr/>
              <w:t>Kadidia Karabenta</w:t>
            </w:r>
          </w:p>
          <w:p>
            <w:pPr>
              <w:pStyle w:val="Normal"/>
              <w:rPr/>
            </w:pPr>
            <w:r>
              <w:rPr/>
            </w:r>
          </w:p>
        </w:tc>
        <w:tc>
          <w:tcPr>
            <w:tcW w:w="196" w:type="dxa"/>
            <w:tcBorders>
              <w:left w:val="single" w:sz="4" w:space="0" w:color="000000"/>
            </w:tcBorders>
            <w:vAlign w:val="bottom"/>
          </w:tcPr>
          <w:p>
            <w:pPr>
              <w:pStyle w:val="Normal"/>
              <w:rPr>
                <w:color w:val="000000"/>
                <w:sz w:val="22"/>
                <w:szCs w:val="22"/>
              </w:rPr>
            </w:pPr>
            <w:r>
              <w:rPr/>
            </w:r>
          </w:p>
        </w:tc>
        <w:tc>
          <w:tcPr>
            <w:tcW w:w="322" w:type="dxa"/>
            <w:tcBorders/>
            <w:vAlign w:val="bottom"/>
          </w:tcPr>
          <w:p>
            <w:pPr>
              <w:pStyle w:val="Normal"/>
              <w:rPr>
                <w:color w:val="000000"/>
                <w:sz w:val="22"/>
                <w:szCs w:val="22"/>
              </w:rPr>
            </w:pPr>
            <w:r>
              <w:rPr/>
            </w:r>
          </w:p>
        </w:tc>
      </w:tr>
      <w:tr>
        <w:trPr>
          <w:trHeight w:val="315" w:hRule="atLeast"/>
        </w:trPr>
        <w:tc>
          <w:tcPr>
            <w:tcW w:w="35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8"/>
                <w:tab w:val="left" w:pos="780" w:leader="none"/>
                <w:tab w:val="left" w:pos="1455" w:leader="none"/>
                <w:tab w:val="center" w:pos="2195" w:leader="none"/>
              </w:tabs>
              <w:rPr/>
            </w:pPr>
            <w:r>
              <w:rPr/>
              <w:t>Date de naissance du promoteur</w:t>
            </w:r>
          </w:p>
        </w:tc>
        <w:tc>
          <w:tcPr>
            <w:tcW w:w="5719" w:type="dxa"/>
            <w:gridSpan w:val="5"/>
            <w:tcBorders>
              <w:top w:val="single" w:sz="4" w:space="0" w:color="000000"/>
              <w:left w:val="single" w:sz="4" w:space="0" w:color="000000"/>
              <w:bottom w:val="single" w:sz="4" w:space="0" w:color="000000"/>
              <w:right w:val="single" w:sz="4" w:space="0" w:color="000000"/>
            </w:tcBorders>
            <w:vAlign w:val="center"/>
          </w:tcPr>
          <w:p>
            <w:pPr>
              <w:pStyle w:val="Normal"/>
              <w:rPr/>
            </w:pPr>
            <w:r>
              <w:rPr/>
              <w:t>Née le 4 août 1998 à Diafarabé</w:t>
            </w:r>
          </w:p>
        </w:tc>
        <w:tc>
          <w:tcPr>
            <w:tcW w:w="196" w:type="dxa"/>
            <w:tcBorders>
              <w:left w:val="single" w:sz="4" w:space="0" w:color="000000"/>
            </w:tcBorders>
            <w:vAlign w:val="bottom"/>
          </w:tcPr>
          <w:p>
            <w:pPr>
              <w:pStyle w:val="Normal"/>
              <w:snapToGrid w:val="false"/>
              <w:rPr>
                <w:color w:val="000000"/>
                <w:sz w:val="22"/>
                <w:szCs w:val="22"/>
              </w:rPr>
            </w:pPr>
            <w:r>
              <w:rPr>
                <w:color w:val="000000"/>
                <w:sz w:val="22"/>
                <w:szCs w:val="22"/>
              </w:rPr>
            </w:r>
          </w:p>
        </w:tc>
        <w:tc>
          <w:tcPr>
            <w:tcW w:w="322" w:type="dxa"/>
            <w:tcBorders/>
            <w:vAlign w:val="bottom"/>
          </w:tcPr>
          <w:p>
            <w:pPr>
              <w:pStyle w:val="Normal"/>
              <w:snapToGrid w:val="false"/>
              <w:rPr>
                <w:color w:val="000000"/>
                <w:sz w:val="22"/>
                <w:szCs w:val="22"/>
              </w:rPr>
            </w:pPr>
            <w:r>
              <w:rPr>
                <w:color w:val="000000"/>
                <w:sz w:val="22"/>
                <w:szCs w:val="22"/>
              </w:rPr>
            </w:r>
          </w:p>
        </w:tc>
      </w:tr>
      <w:tr>
        <w:trPr>
          <w:trHeight w:val="300" w:hRule="atLeast"/>
        </w:trPr>
        <w:tc>
          <w:tcPr>
            <w:tcW w:w="3543" w:type="dxa"/>
            <w:tcBorders>
              <w:top w:val="single" w:sz="8" w:space="0" w:color="000000"/>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 Financement du Projet</w:t>
            </w:r>
          </w:p>
        </w:tc>
        <w:tc>
          <w:tcPr>
            <w:tcW w:w="3969" w:type="dxa"/>
            <w:gridSpan w:val="3"/>
            <w:tcBorders>
              <w:top w:val="single" w:sz="8" w:space="0" w:color="000000"/>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2268" w:type="dxa"/>
            <w:gridSpan w:val="4"/>
            <w:tcBorders>
              <w:top w:val="single" w:sz="8" w:space="0" w:color="000000"/>
              <w:bottom w:val="single" w:sz="4" w:space="0" w:color="000000"/>
              <w:right w:val="single" w:sz="8" w:space="0" w:color="000000"/>
            </w:tcBorders>
            <w:shd w:fill="166B7F" w:val="clear"/>
            <w:vAlign w:val="center"/>
          </w:tcPr>
          <w:p>
            <w:pPr>
              <w:pStyle w:val="Normal"/>
              <w:jc w:val="center"/>
              <w:rPr>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shd w:fill="FFFFFF" w:val="clear"/>
            <w:vAlign w:val="center"/>
          </w:tcPr>
          <w:p>
            <w:pPr>
              <w:pStyle w:val="Normal"/>
              <w:rPr>
                <w:b/>
                <w:bCs/>
                <w:color w:val="000000"/>
                <w:sz w:val="22"/>
                <w:szCs w:val="22"/>
              </w:rPr>
            </w:pPr>
            <w:r>
              <w:rPr>
                <w:b/>
                <w:bCs/>
                <w:color w:val="000000"/>
                <w:sz w:val="22"/>
                <w:szCs w:val="22"/>
              </w:rPr>
              <w:t>Coût Total du projet</w:t>
            </w:r>
          </w:p>
        </w:tc>
        <w:tc>
          <w:tcPr>
            <w:tcW w:w="2695" w:type="dxa"/>
            <w:tcBorders>
              <w:bottom w:val="single" w:sz="4" w:space="0" w:color="000000"/>
              <w:right w:val="single" w:sz="4" w:space="0" w:color="000000"/>
            </w:tcBorders>
            <w:vAlign w:val="center"/>
          </w:tcPr>
          <w:p>
            <w:pPr>
              <w:pStyle w:val="Normal"/>
              <w:rPr>
                <w:color w:val="000000"/>
                <w:sz w:val="22"/>
                <w:szCs w:val="22"/>
              </w:rPr>
            </w:pPr>
            <w:r>
              <w:rPr/>
            </w:r>
          </w:p>
        </w:tc>
        <w:tc>
          <w:tcPr>
            <w:tcW w:w="1274"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6 000 000 F</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Montant de l’apport personnel</w:t>
            </w:r>
          </w:p>
        </w:tc>
        <w:tc>
          <w:tcPr>
            <w:tcW w:w="2695" w:type="dxa"/>
            <w:tcBorders>
              <w:bottom w:val="single" w:sz="4" w:space="0" w:color="000000"/>
              <w:right w:val="single" w:sz="4" w:space="0" w:color="000000"/>
            </w:tcBorders>
            <w:vAlign w:val="center"/>
          </w:tcPr>
          <w:p>
            <w:pPr>
              <w:pStyle w:val="Normal"/>
              <w:rPr>
                <w:color w:val="000000"/>
                <w:sz w:val="22"/>
                <w:szCs w:val="22"/>
              </w:rPr>
            </w:pPr>
            <w:r>
              <w:rPr/>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10%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600 000 F</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Montant du crédit de financement sollicité</w:t>
            </w:r>
          </w:p>
        </w:tc>
        <w:tc>
          <w:tcPr>
            <w:tcW w:w="2695" w:type="dxa"/>
            <w:tcBorders>
              <w:bottom w:val="single" w:sz="4" w:space="0" w:color="000000"/>
              <w:right w:val="single" w:sz="4" w:space="0" w:color="000000"/>
            </w:tcBorders>
            <w:vAlign w:val="center"/>
          </w:tcPr>
          <w:p>
            <w:pPr>
              <w:pStyle w:val="Normal"/>
              <w:rPr>
                <w:color w:val="000000"/>
                <w:sz w:val="22"/>
                <w:szCs w:val="22"/>
              </w:rPr>
            </w:pPr>
            <w:r>
              <w:rPr>
                <w:color w:val="000000"/>
                <w:sz w:val="22"/>
                <w:szCs w:val="22"/>
              </w:rPr>
              <w:t>Crédit Moyen Terme</w:t>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90%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5 400 000 F CFA</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695" w:type="dxa"/>
            <w:tcBorders>
              <w:bottom w:val="single" w:sz="4" w:space="0" w:color="000000"/>
              <w:right w:val="single" w:sz="4" w:space="0" w:color="000000"/>
            </w:tcBorders>
            <w:vAlign w:val="center"/>
          </w:tcPr>
          <w:p>
            <w:pPr>
              <w:pStyle w:val="Normal"/>
              <w:rPr>
                <w:color w:val="000000"/>
                <w:sz w:val="22"/>
                <w:szCs w:val="22"/>
              </w:rPr>
            </w:pPr>
            <w:r>
              <w:rPr>
                <w:color w:val="000000"/>
                <w:sz w:val="22"/>
                <w:szCs w:val="22"/>
              </w:rPr>
              <w:t>Crédit Court Terme</w:t>
            </w:r>
          </w:p>
        </w:tc>
        <w:tc>
          <w:tcPr>
            <w:tcW w:w="1274" w:type="dxa"/>
            <w:gridSpan w:val="2"/>
            <w:tcBorders>
              <w:bottom w:val="single" w:sz="4" w:space="0" w:color="000000"/>
              <w:right w:val="single" w:sz="4" w:space="0" w:color="000000"/>
            </w:tcBorders>
            <w:vAlign w:val="center"/>
          </w:tcPr>
          <w:p>
            <w:pPr>
              <w:pStyle w:val="Normal"/>
              <w:jc w:val="center"/>
              <w:rPr>
                <w:i/>
                <w:i/>
                <w:iCs/>
                <w:color w:val="000000"/>
                <w:sz w:val="22"/>
                <w:szCs w:val="22"/>
              </w:rPr>
            </w:pPr>
            <w:r>
              <w:rPr>
                <w:i/>
                <w:iCs/>
                <w:color w:val="000000"/>
                <w:sz w:val="22"/>
                <w:szCs w:val="22"/>
              </w:rPr>
              <w:t>0%</w:t>
            </w:r>
          </w:p>
        </w:tc>
        <w:tc>
          <w:tcPr>
            <w:tcW w:w="2268" w:type="dxa"/>
            <w:gridSpan w:val="4"/>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II. Conditions de financement du crédit</w:t>
            </w:r>
          </w:p>
        </w:tc>
        <w:tc>
          <w:tcPr>
            <w:tcW w:w="2695" w:type="dxa"/>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274"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2268" w:type="dxa"/>
            <w:gridSpan w:val="4"/>
            <w:tcBorders>
              <w:bottom w:val="single" w:sz="4" w:space="0" w:color="000000"/>
              <w:right w:val="single" w:sz="8" w:space="0" w:color="000000"/>
            </w:tcBorders>
            <w:shd w:fill="166B7F" w:val="clear"/>
            <w:vAlign w:val="center"/>
          </w:tcPr>
          <w:p>
            <w:pPr>
              <w:pStyle w:val="Normal"/>
              <w:jc w:val="center"/>
              <w:rPr>
                <w:b/>
                <w:bCs/>
                <w:color w:val="FFFFFF"/>
                <w:sz w:val="22"/>
                <w:szCs w:val="22"/>
              </w:rPr>
            </w:pPr>
            <w:r>
              <w:rPr/>
            </w:r>
          </w:p>
        </w:tc>
      </w:tr>
      <w:tr>
        <w:trPr>
          <w:trHeight w:val="454"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Institution financière (IFP)</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(à renseigner)</w:t>
            </w:r>
          </w:p>
        </w:tc>
      </w:tr>
      <w:tr>
        <w:trPr>
          <w:trHeight w:val="454"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Durée du prêt</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(Années et mois)</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36 mois (3 ans), dont 3 mois de différé</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Taux du prêt</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Taux du crédit Moyen terme</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8%</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Taux du crédit Court terme</w:t>
            </w:r>
          </w:p>
        </w:tc>
        <w:tc>
          <w:tcPr>
            <w:tcW w:w="3260" w:type="dxa"/>
            <w:gridSpan w:val="5"/>
            <w:tcBorders>
              <w:top w:val="single" w:sz="4" w:space="0" w:color="000000"/>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Sans objet</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III. Données économiques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Chiffre d’affaires de référence (Entreprise en croissance)</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(Année 0)</w:t>
            </w:r>
          </w:p>
        </w:tc>
        <w:tc>
          <w:tcPr>
            <w:tcW w:w="1843" w:type="dxa"/>
            <w:gridSpan w:val="2"/>
            <w:tcBorders>
              <w:bottom w:val="single" w:sz="4" w:space="0" w:color="000000"/>
              <w:right w:val="single" w:sz="4" w:space="0" w:color="000000"/>
            </w:tcBorders>
            <w:shd w:fill="A9D18D" w:val="clear"/>
            <w:vAlign w:val="center"/>
          </w:tcPr>
          <w:p>
            <w:pPr>
              <w:pStyle w:val="Normal"/>
              <w:jc w:val="center"/>
              <w:rPr>
                <w:color w:val="000000"/>
                <w:sz w:val="22"/>
                <w:szCs w:val="22"/>
              </w:rPr>
            </w:pPr>
            <w:r>
              <w:rPr/>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Chiffres d’affaires prévisionnels</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sz w:val="22"/>
              </w:rPr>
            </w:pPr>
            <w:r>
              <w:rPr>
                <w:sz w:val="22"/>
              </w:rPr>
              <w:t>11 750 000</w:t>
            </w:r>
          </w:p>
        </w:tc>
        <w:tc>
          <w:tcPr>
            <w:tcW w:w="1417" w:type="dxa"/>
            <w:gridSpan w:val="3"/>
            <w:tcBorders>
              <w:bottom w:val="single" w:sz="4" w:space="0" w:color="000000"/>
              <w:right w:val="single" w:sz="8" w:space="0" w:color="000000"/>
            </w:tcBorders>
            <w:vAlign w:val="center"/>
          </w:tcPr>
          <w:p>
            <w:pPr>
              <w:pStyle w:val="Normal"/>
              <w:jc w:val="center"/>
              <w:rPr>
                <w:sz w:val="22"/>
              </w:rPr>
            </w:pPr>
            <w:r>
              <w:rPr>
                <w:sz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11 985 000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12 224 700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Résultats Nets</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3 506 509</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3 595 197</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3 704 934</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Capacité d’autofinancement</w:t>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1</w:t>
            </w:r>
            <w:r>
              <w:rPr>
                <w:color w:val="000000"/>
                <w:sz w:val="22"/>
                <w:szCs w:val="22"/>
                <w:vertAlign w:val="superscript"/>
              </w:rPr>
              <w:t>ère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4 581 509</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2</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4 620 197</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3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pPr>
            <w:r>
              <w:rPr>
                <w:color w:val="000000"/>
                <w:sz w:val="22"/>
                <w:szCs w:val="22"/>
              </w:rPr>
              <w:t>3</w:t>
            </w:r>
            <w:r>
              <w:rPr>
                <w:color w:val="000000"/>
                <w:sz w:val="22"/>
                <w:szCs w:val="22"/>
                <w:vertAlign w:val="superscript"/>
              </w:rPr>
              <w:t>ème</w:t>
            </w:r>
            <w:r>
              <w:rPr>
                <w:color w:val="000000"/>
                <w:sz w:val="22"/>
                <w:szCs w:val="22"/>
              </w:rPr>
              <w:t xml:space="preserve"> année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4 729 934</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F.CFA</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IV. Quelques ratios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Seuil de Rentabilité</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49 (année 3) – 52 (année 1)</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Valeur ajoutée</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61</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TRI</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sz w:val="22"/>
              </w:rPr>
              <w:t>72</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w:t>
            </w:r>
          </w:p>
        </w:tc>
      </w:tr>
      <w:tr>
        <w:trPr>
          <w:trHeight w:val="300" w:hRule="atLeast"/>
        </w:trPr>
        <w:tc>
          <w:tcPr>
            <w:tcW w:w="3543" w:type="dxa"/>
            <w:vMerge w:val="restart"/>
            <w:tcBorders>
              <w:left w:val="single" w:sz="8" w:space="0" w:color="000000"/>
              <w:bottom w:val="single" w:sz="4" w:space="0" w:color="000000"/>
              <w:right w:val="single" w:sz="4" w:space="0" w:color="000000"/>
            </w:tcBorders>
            <w:vAlign w:val="center"/>
          </w:tcPr>
          <w:p>
            <w:pPr>
              <w:pStyle w:val="Normal"/>
              <w:rPr>
                <w:b/>
                <w:bCs/>
                <w:color w:val="000000"/>
                <w:sz w:val="22"/>
                <w:szCs w:val="22"/>
              </w:rPr>
            </w:pPr>
            <w:r>
              <w:rPr>
                <w:b/>
                <w:bCs/>
                <w:color w:val="000000"/>
                <w:sz w:val="22"/>
                <w:szCs w:val="22"/>
              </w:rPr>
              <w:t>Délai de récupération</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Sans actualisation</w:t>
            </w:r>
          </w:p>
        </w:tc>
        <w:tc>
          <w:tcPr>
            <w:tcW w:w="3260" w:type="dxa"/>
            <w:gridSpan w:val="5"/>
            <w:tcBorders>
              <w:top w:val="single" w:sz="4" w:space="0" w:color="000000"/>
              <w:bottom w:val="single" w:sz="4" w:space="0" w:color="000000"/>
              <w:right w:val="single" w:sz="8" w:space="0" w:color="000000"/>
            </w:tcBorders>
            <w:vAlign w:val="center"/>
          </w:tcPr>
          <w:p>
            <w:pPr>
              <w:pStyle w:val="Normal"/>
              <w:jc w:val="center"/>
              <w:rPr>
                <w:color w:val="000000"/>
                <w:sz w:val="22"/>
                <w:szCs w:val="22"/>
              </w:rPr>
            </w:pPr>
            <w:r>
              <w:rPr>
                <w:sz w:val="22"/>
              </w:rPr>
              <w:t>1 an et 4 mois</w:t>
            </w:r>
          </w:p>
        </w:tc>
      </w:tr>
      <w:tr>
        <w:trPr>
          <w:trHeight w:val="300" w:hRule="atLeast"/>
        </w:trPr>
        <w:tc>
          <w:tcPr>
            <w:tcW w:w="3543" w:type="dxa"/>
            <w:vMerge w:val="continue"/>
            <w:tcBorders>
              <w:left w:val="single" w:sz="8" w:space="0" w:color="000000"/>
              <w:bottom w:val="single" w:sz="4" w:space="0" w:color="000000"/>
              <w:right w:val="single" w:sz="4" w:space="0" w:color="000000"/>
            </w:tcBorders>
            <w:vAlign w:val="center"/>
          </w:tcPr>
          <w:p>
            <w:pPr>
              <w:pStyle w:val="Normal"/>
              <w:snapToGrid w:val="false"/>
              <w:rPr>
                <w:b/>
                <w:bCs/>
                <w:color w:val="000000"/>
                <w:sz w:val="22"/>
                <w:szCs w:val="22"/>
              </w:rPr>
            </w:pPr>
            <w:r>
              <w:rPr>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Avec actualisation</w:t>
            </w:r>
          </w:p>
        </w:tc>
        <w:tc>
          <w:tcPr>
            <w:tcW w:w="3260" w:type="dxa"/>
            <w:gridSpan w:val="5"/>
            <w:tcBorders>
              <w:top w:val="single" w:sz="4" w:space="0" w:color="000000"/>
              <w:bottom w:val="single" w:sz="4" w:space="0" w:color="000000"/>
              <w:right w:val="single" w:sz="8" w:space="0" w:color="000000"/>
            </w:tcBorders>
            <w:vAlign w:val="center"/>
          </w:tcPr>
          <w:p>
            <w:pPr>
              <w:pStyle w:val="Normal"/>
              <w:jc w:val="center"/>
              <w:rPr>
                <w:color w:val="000000"/>
                <w:sz w:val="22"/>
                <w:szCs w:val="22"/>
              </w:rPr>
            </w:pPr>
            <w:r>
              <w:rPr>
                <w:sz w:val="22"/>
              </w:rPr>
              <w:t>1 an et 5 mois</w:t>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V. Emplois</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tcBorders>
              <w:left w:val="single" w:sz="8" w:space="0" w:color="000000"/>
              <w:bottom w:val="single" w:sz="4" w:space="0" w:color="000000"/>
              <w:right w:val="single" w:sz="4" w:space="0" w:color="000000"/>
            </w:tcBorders>
            <w:shd w:fill="166B7F" w:val="clear"/>
            <w:vAlign w:val="center"/>
          </w:tcPr>
          <w:p>
            <w:pPr>
              <w:pStyle w:val="Normal"/>
              <w:rPr>
                <w:b/>
                <w:bCs/>
                <w:color w:val="FFFFFF"/>
                <w:sz w:val="22"/>
                <w:szCs w:val="22"/>
              </w:rPr>
            </w:pPr>
            <w:r>
              <w:rPr>
                <w:b/>
                <w:bCs/>
                <w:color w:val="FFFFFF"/>
                <w:sz w:val="22"/>
                <w:szCs w:val="22"/>
              </w:rPr>
              <w:t>Nombre d’emploi existant</w:t>
            </w:r>
          </w:p>
        </w:tc>
        <w:tc>
          <w:tcPr>
            <w:tcW w:w="2977" w:type="dxa"/>
            <w:gridSpan w:val="2"/>
            <w:tcBorders>
              <w:bottom w:val="single" w:sz="4" w:space="0" w:color="000000"/>
              <w:right w:val="single" w:sz="4" w:space="0" w:color="000000"/>
            </w:tcBorders>
            <w:shd w:fill="166B7F" w:val="clear"/>
            <w:vAlign w:val="center"/>
          </w:tcPr>
          <w:p>
            <w:pPr>
              <w:pStyle w:val="Normal"/>
              <w:rPr>
                <w:b/>
                <w:bCs/>
                <w:color w:val="FFFFFF"/>
                <w:sz w:val="22"/>
                <w:szCs w:val="22"/>
              </w:rPr>
            </w:pPr>
            <w:r>
              <w:rPr/>
            </w:r>
          </w:p>
        </w:tc>
        <w:tc>
          <w:tcPr>
            <w:tcW w:w="1843" w:type="dxa"/>
            <w:gridSpan w:val="2"/>
            <w:tcBorders>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c>
          <w:tcPr>
            <w:tcW w:w="1417" w:type="dxa"/>
            <w:gridSpan w:val="3"/>
            <w:tcBorders>
              <w:bottom w:val="single" w:sz="4" w:space="0" w:color="000000"/>
              <w:right w:val="single" w:sz="8" w:space="0" w:color="000000"/>
            </w:tcBorders>
            <w:shd w:fill="166B7F" w:val="clear"/>
            <w:vAlign w:val="center"/>
          </w:tcPr>
          <w:p>
            <w:pPr>
              <w:pStyle w:val="Normal"/>
              <w:jc w:val="center"/>
              <w:rPr>
                <w:rFonts w:ascii="Cambria" w:hAnsi="Cambria" w:cs="Calibri"/>
                <w:b/>
                <w:bCs/>
                <w:color w:val="FFFFFF"/>
                <w:sz w:val="22"/>
                <w:szCs w:val="22"/>
              </w:rPr>
            </w:pPr>
            <w:r>
              <w:rPr/>
            </w:r>
          </w:p>
        </w:tc>
      </w:tr>
      <w:tr>
        <w:trPr>
          <w:trHeight w:val="300" w:hRule="atLeast"/>
        </w:trPr>
        <w:tc>
          <w:tcPr>
            <w:tcW w:w="3543" w:type="dxa"/>
            <w:vMerge w:val="restart"/>
            <w:tcBorders>
              <w:left w:val="single" w:sz="8" w:space="0" w:color="000000"/>
              <w:bottom w:val="single" w:sz="8" w:space="0" w:color="000000"/>
              <w:right w:val="single" w:sz="4" w:space="0" w:color="000000"/>
            </w:tcBorders>
            <w:vAlign w:val="center"/>
          </w:tcPr>
          <w:p>
            <w:pPr>
              <w:pStyle w:val="Normal"/>
              <w:rPr>
                <w:b/>
                <w:bCs/>
                <w:color w:val="000000"/>
                <w:sz w:val="22"/>
                <w:szCs w:val="22"/>
              </w:rPr>
            </w:pPr>
            <w:r>
              <w:rPr>
                <w:b/>
                <w:bCs/>
                <w:color w:val="000000"/>
                <w:sz w:val="22"/>
                <w:szCs w:val="22"/>
              </w:rPr>
              <w:t>Création de nouveaux emplois</w:t>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Type</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Hommes</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Femmes</w:t>
            </w:r>
          </w:p>
        </w:tc>
      </w:tr>
      <w:tr>
        <w:trPr>
          <w:trHeight w:val="300" w:hRule="atLeast"/>
        </w:trPr>
        <w:tc>
          <w:tcPr>
            <w:tcW w:w="3543" w:type="dxa"/>
            <w:vMerge w:val="continue"/>
            <w:tcBorders>
              <w:left w:val="single" w:sz="8" w:space="0" w:color="000000"/>
              <w:bottom w:val="single" w:sz="8"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4" w:space="0" w:color="000000"/>
              <w:right w:val="single" w:sz="4" w:space="0" w:color="000000"/>
            </w:tcBorders>
            <w:vAlign w:val="center"/>
          </w:tcPr>
          <w:p>
            <w:pPr>
              <w:pStyle w:val="Normal"/>
              <w:rPr>
                <w:color w:val="000000"/>
                <w:sz w:val="22"/>
                <w:szCs w:val="22"/>
              </w:rPr>
            </w:pPr>
            <w:r>
              <w:rPr>
                <w:color w:val="000000"/>
                <w:sz w:val="22"/>
                <w:szCs w:val="22"/>
              </w:rPr>
              <w:t>Permanent</w:t>
            </w:r>
          </w:p>
        </w:tc>
        <w:tc>
          <w:tcPr>
            <w:tcW w:w="1843" w:type="dxa"/>
            <w:gridSpan w:val="2"/>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417" w:type="dxa"/>
            <w:gridSpan w:val="3"/>
            <w:tcBorders>
              <w:bottom w:val="single" w:sz="4"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2</w:t>
            </w:r>
          </w:p>
        </w:tc>
      </w:tr>
      <w:tr>
        <w:trPr>
          <w:trHeight w:val="315" w:hRule="atLeast"/>
        </w:trPr>
        <w:tc>
          <w:tcPr>
            <w:tcW w:w="3543" w:type="dxa"/>
            <w:vMerge w:val="continue"/>
            <w:tcBorders>
              <w:left w:val="single" w:sz="8" w:space="0" w:color="000000"/>
              <w:bottom w:val="single" w:sz="8" w:space="0" w:color="000000"/>
              <w:right w:val="single" w:sz="4" w:space="0" w:color="000000"/>
            </w:tcBorders>
            <w:vAlign w:val="center"/>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2977" w:type="dxa"/>
            <w:gridSpan w:val="2"/>
            <w:tcBorders>
              <w:bottom w:val="single" w:sz="8" w:space="0" w:color="000000"/>
              <w:right w:val="single" w:sz="4" w:space="0" w:color="000000"/>
            </w:tcBorders>
            <w:vAlign w:val="center"/>
          </w:tcPr>
          <w:p>
            <w:pPr>
              <w:pStyle w:val="Normal"/>
              <w:rPr>
                <w:color w:val="000000"/>
                <w:sz w:val="22"/>
                <w:szCs w:val="22"/>
              </w:rPr>
            </w:pPr>
            <w:r>
              <w:rPr>
                <w:color w:val="000000"/>
                <w:sz w:val="22"/>
                <w:szCs w:val="22"/>
              </w:rPr>
              <w:t>Temporaire</w:t>
            </w:r>
          </w:p>
        </w:tc>
        <w:tc>
          <w:tcPr>
            <w:tcW w:w="1843" w:type="dxa"/>
            <w:gridSpan w:val="2"/>
            <w:tcBorders>
              <w:bottom w:val="single" w:sz="8"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417" w:type="dxa"/>
            <w:gridSpan w:val="3"/>
            <w:tcBorders>
              <w:bottom w:val="single" w:sz="8" w:space="0" w:color="000000"/>
              <w:right w:val="single" w:sz="8" w:space="0" w:color="000000"/>
            </w:tcBorders>
            <w:vAlign w:val="center"/>
          </w:tcPr>
          <w:p>
            <w:pPr>
              <w:pStyle w:val="Normal"/>
              <w:jc w:val="center"/>
              <w:rPr>
                <w:rFonts w:ascii="Cambria" w:hAnsi="Cambria" w:cs="Calibri"/>
                <w:color w:val="000000"/>
                <w:sz w:val="22"/>
                <w:szCs w:val="22"/>
              </w:rPr>
            </w:pPr>
            <w:r>
              <w:rPr>
                <w:rFonts w:cs="Calibri" w:ascii="Cambria" w:hAnsi="Cambria"/>
                <w:color w:val="000000"/>
                <w:sz w:val="22"/>
                <w:szCs w:val="22"/>
              </w:rPr>
              <w:t>3</w:t>
            </w:r>
          </w:p>
        </w:tc>
      </w:tr>
      <w:tr>
        <w:trPr>
          <w:trHeight w:val="300" w:hRule="atLeast"/>
        </w:trPr>
        <w:tc>
          <w:tcPr>
            <w:tcW w:w="3543" w:type="dxa"/>
            <w:tcBorders/>
            <w:shd w:fill="E2EFD9" w:val="clear"/>
            <w:vAlign w:val="bottom"/>
          </w:tcPr>
          <w:p>
            <w:pPr>
              <w:pStyle w:val="Normal"/>
              <w:rPr>
                <w:color w:val="000000"/>
                <w:sz w:val="22"/>
                <w:szCs w:val="22"/>
              </w:rPr>
            </w:pPr>
            <w:r>
              <w:rPr/>
            </w:r>
          </w:p>
        </w:tc>
        <w:tc>
          <w:tcPr>
            <w:tcW w:w="2977" w:type="dxa"/>
            <w:gridSpan w:val="2"/>
            <w:tcBorders/>
            <w:shd w:fill="E2EFD9" w:val="clear"/>
            <w:vAlign w:val="bottom"/>
          </w:tcPr>
          <w:p>
            <w:pPr>
              <w:pStyle w:val="Normal"/>
              <w:rPr>
                <w:color w:val="000000"/>
                <w:sz w:val="22"/>
                <w:szCs w:val="22"/>
              </w:rPr>
            </w:pPr>
            <w:r>
              <w:rPr/>
            </w:r>
          </w:p>
        </w:tc>
        <w:tc>
          <w:tcPr>
            <w:tcW w:w="1843" w:type="dxa"/>
            <w:gridSpan w:val="2"/>
            <w:tcBorders/>
            <w:shd w:fill="E2EFD9" w:val="clear"/>
            <w:vAlign w:val="bottom"/>
          </w:tcPr>
          <w:p>
            <w:pPr>
              <w:pStyle w:val="Normal"/>
              <w:jc w:val="center"/>
              <w:rPr>
                <w:color w:val="000000"/>
                <w:sz w:val="22"/>
                <w:szCs w:val="22"/>
              </w:rPr>
            </w:pPr>
            <w:r>
              <w:rPr/>
            </w:r>
          </w:p>
        </w:tc>
        <w:tc>
          <w:tcPr>
            <w:tcW w:w="1417" w:type="dxa"/>
            <w:gridSpan w:val="3"/>
            <w:tcBorders/>
            <w:shd w:fill="E2EFD9" w:val="clear"/>
            <w:vAlign w:val="bottom"/>
          </w:tcPr>
          <w:p>
            <w:pPr>
              <w:pStyle w:val="Normal"/>
              <w:jc w:val="center"/>
              <w:rPr>
                <w:rFonts w:ascii="Calibri" w:hAnsi="Calibri" w:cs="Calibri"/>
                <w:color w:val="000000"/>
                <w:sz w:val="22"/>
                <w:szCs w:val="22"/>
              </w:rPr>
            </w:pPr>
            <w:r>
              <w:rPr/>
            </w:r>
          </w:p>
        </w:tc>
      </w:tr>
    </w:tbl>
    <w:p>
      <w:pPr>
        <w:pStyle w:val="Heading1"/>
        <w:keepLines/>
        <w:numPr>
          <w:ilvl w:val="0"/>
          <w:numId w:val="6"/>
        </w:numPr>
        <w:spacing w:before="240" w:after="120"/>
        <w:ind w:hanging="431" w:left="431" w:right="0"/>
        <w:rPr>
          <w:rFonts w:ascii="Times New Roman" w:hAnsi="Times New Roman" w:cs="Times New Roman"/>
          <w:caps/>
          <w:color w:val="166B7F"/>
          <w:kern w:val="0"/>
          <w:lang w:eastAsia="en-US"/>
        </w:rPr>
      </w:pPr>
      <w:bookmarkStart w:id="1" w:name="__RefHeading___Toc12030_4017987919"/>
      <w:bookmarkEnd w:id="1"/>
      <w:r>
        <w:rPr/>
        <w:t>APERÇU GÉNÉRAL</w:t>
      </w:r>
      <w:bookmarkStart w:id="2" w:name="__RefHeading___Toc234831691"/>
      <w:bookmarkEnd w:id="2"/>
    </w:p>
    <w:p>
      <w:pPr>
        <w:pStyle w:val="Heading2"/>
        <w:keepLines/>
        <w:numPr>
          <w:ilvl w:val="0"/>
          <w:numId w:val="7"/>
        </w:numPr>
        <w:spacing w:before="120" w:after="120"/>
        <w:ind w:hanging="0" w:left="0" w:right="0"/>
        <w:jc w:val="both"/>
        <w:rPr>
          <w:rFonts w:ascii="Times New Roman" w:hAnsi="Times New Roman" w:cs="Times New Roman"/>
          <w:i w:val="false"/>
          <w:i w:val="false"/>
          <w:iCs w:val="false"/>
          <w:sz w:val="24"/>
          <w:szCs w:val="24"/>
          <w:lang w:val="fr-CI"/>
        </w:rPr>
      </w:pPr>
      <w:bookmarkStart w:id="3" w:name="__RefHeading___Toc234831692"/>
      <w:bookmarkEnd w:id="3"/>
      <w:r>
        <w:rPr>
          <w:rFonts w:cs="Times New Roman" w:ascii="Times New Roman" w:hAnsi="Times New Roman"/>
          <w:i w:val="false"/>
          <w:iCs w:val="false"/>
          <w:sz w:val="24"/>
          <w:szCs w:val="24"/>
          <w:lang w:val="fr-CI"/>
        </w:rPr>
        <w:t>Présentation du Promoteur :</w:t>
      </w:r>
    </w:p>
    <w:p>
      <w:pPr>
        <w:pStyle w:val="Normal"/>
        <w:rPr>
          <w:sz w:val="22"/>
          <w:szCs w:val="22"/>
        </w:rPr>
      </w:pPr>
      <w:r>
        <w:rPr>
          <w:sz w:val="22"/>
          <w:szCs w:val="22"/>
        </w:rPr>
        <w:t>Kadidia KARABENTA est une jeune entrepreneure résidant à Banankabougou, dans le District de Bamako. Depuis plusieurs années, elle pratique la transformation artisanale de la patate douce et maîtrise les techniques de production de chips, poudre, crêpes, jus et bouillie infantile. Son expérience de terrain et sa connaissance du marché local lui permettent aujourd’hui d’envisager la création d’une unité de transformation à plus grande échelle pour répondre à la demande croissante des marchés de Bamako et de ses environs. C’est dans cette dynamique qu’elle crée l’entreprise DIJA SAVEURS DE PATATE DOUCE, un nom qui exprime à la fois la qualité de ses produits (Dija = bon/plaisir en bambara), la nature de son produit (la patate douce) et la promesse de saveurs authentiques (Saveurs).</w:t>
      </w:r>
    </w:p>
    <w:p>
      <w:pPr>
        <w:pStyle w:val="Heading2"/>
        <w:keepLines/>
        <w:numPr>
          <w:ilvl w:val="0"/>
          <w:numId w:val="7"/>
        </w:numPr>
        <w:spacing w:before="120" w:after="120"/>
        <w:ind w:hanging="0" w:left="0" w:right="0"/>
        <w:jc w:val="both"/>
        <w:rPr>
          <w:rFonts w:ascii="Times New Roman" w:hAnsi="Times New Roman" w:cs="Times New Roman"/>
          <w:i w:val="false"/>
          <w:i w:val="false"/>
          <w:iCs w:val="false"/>
          <w:sz w:val="24"/>
          <w:szCs w:val="24"/>
          <w:lang w:val="fr-CI"/>
        </w:rPr>
      </w:pPr>
      <w:bookmarkStart w:id="4" w:name="__RefHeading___Toc234831693"/>
      <w:bookmarkEnd w:id="4"/>
      <w:r>
        <w:rPr>
          <w:rFonts w:cs="Times New Roman" w:ascii="Times New Roman" w:hAnsi="Times New Roman"/>
          <w:i w:val="false"/>
          <w:iCs w:val="false"/>
          <w:sz w:val="24"/>
          <w:szCs w:val="24"/>
          <w:lang w:val="fr-CI"/>
        </w:rPr>
        <w:t>Description du projet :</w:t>
      </w:r>
    </w:p>
    <w:p>
      <w:pPr>
        <w:pStyle w:val="Normal"/>
        <w:shd w:val="clear" w:fill="FFFFFF"/>
        <w:suppressAutoHyphens w:val="false"/>
        <w:spacing w:before="240" w:after="240"/>
        <w:rPr>
          <w:sz w:val="22"/>
          <w:szCs w:val="22"/>
        </w:rPr>
      </w:pPr>
      <w:r>
        <w:rPr>
          <w:sz w:val="22"/>
          <w:szCs w:val="22"/>
        </w:rPr>
        <w:t>Le projet est basé sur la création d’une entreprise de transformation agroalimentaire spécialisée dans la valorisation de la patate douce, sous la marque DIJA SAVEURS DE PATATE DOUCE. Il s’agit d’aménager une unité artisanale de transformation à Bankabougou, Bamako, pour produire des chips, poudre, crêpes, jus et bouillie infantile à base de patate douce. L’entreprise prévoit l’installation d’équipements de transformation : éplucheuse, trancheuse/râpe, friteuse, séchoir solaire, broyeur, mixeur, balance et matériel d’emballage pour optimiser la production. Pour cette première campagne, l’entreprise a besoin de s’approvisionner en patate douce de variétés adaptées à la transformation. La production sera orientée vers cinq produits : chips (sachets 100 g), poudre (sachets 500 g), crêpes (paquets de 6), jus (bouteilles 50 cl) et bouillie infantile (sachets 1 kg). Le cycle de transformation est court et permet une commercialisation régulière sur les marchés. Ce projet contribuera à réduire les pertes post-récolte, à approvisionner les marchés de Bamako et environs en produits transformés sains et nutritifs, tout en créant des emplois pour les jeunes et les femmes de la localité. Il vise un chiffre d’affaires annuel de 11 750 000 F CFA et s’inscrit dans une dynamique de sécurité alimentaire et de valorisation des ressources locales. Pour garantir la réussite de cette transformation, le choix des variétés de patate douce est un élément déterminant. La patate douce, dont le nom scientifique est Ipomoea batatas (L.) Lam., est une plante de la famille des Convolvulaceae, riche en glucides, en vitamines A et C, et adaptée aux climats chauds.</w:t>
      </w:r>
    </w:p>
    <w:p>
      <w:pPr>
        <w:pStyle w:val="Normal"/>
        <w:jc w:val="both"/>
        <w:rPr>
          <w:sz w:val="22"/>
          <w:szCs w:val="22"/>
        </w:rPr>
      </w:pPr>
      <w:r>
        <w:rPr>
          <w:sz w:val="22"/>
          <w:szCs w:val="22"/>
        </w:rPr>
      </w:r>
    </w:p>
    <w:p>
      <w:pPr>
        <w:pStyle w:val="Heading2"/>
        <w:keepLines/>
        <w:numPr>
          <w:ilvl w:val="0"/>
          <w:numId w:val="7"/>
        </w:numPr>
        <w:spacing w:before="120" w:after="120"/>
        <w:ind w:hanging="0" w:left="0" w:right="0"/>
        <w:jc w:val="both"/>
        <w:rPr>
          <w:rFonts w:ascii="Times New Roman" w:hAnsi="Times New Roman" w:cs="Times New Roman"/>
          <w:i w:val="false"/>
          <w:i w:val="false"/>
          <w:iCs w:val="false"/>
          <w:sz w:val="24"/>
          <w:szCs w:val="24"/>
          <w:lang w:val="fr-CI"/>
        </w:rPr>
      </w:pPr>
      <w:bookmarkStart w:id="5" w:name="__RefHeading___Toc234831694"/>
      <w:bookmarkEnd w:id="5"/>
      <w:r>
        <w:rPr>
          <w:rFonts w:cs="Times New Roman" w:ascii="Times New Roman" w:hAnsi="Times New Roman"/>
          <w:i w:val="false"/>
          <w:iCs w:val="false"/>
          <w:sz w:val="24"/>
          <w:szCs w:val="24"/>
          <w:lang w:val="fr-CI"/>
        </w:rPr>
        <w:t xml:space="preserve">Objectifs du projet : </w:t>
      </w:r>
    </w:p>
    <w:p>
      <w:pPr>
        <w:pStyle w:val="Normal"/>
        <w:rPr>
          <w:b/>
          <w:sz w:val="22"/>
          <w:szCs w:val="22"/>
          <w:lang w:val="fr-CI"/>
        </w:rPr>
      </w:pPr>
      <w:r>
        <w:rPr>
          <w:b/>
          <w:sz w:val="22"/>
          <w:szCs w:val="22"/>
          <w:lang w:val="fr-CI"/>
        </w:rPr>
        <w:t>L’objectif global du projet est :</w:t>
      </w:r>
    </w:p>
    <w:p>
      <w:pPr>
        <w:pStyle w:val="Normal"/>
        <w:rPr/>
      </w:pPr>
      <w:r>
        <w:rPr/>
        <w:t xml:space="preserve">Aménager et exploiter une unité artisanale de transformation de la patate douce à Banankabougou (Bamako), pour la production et la commercialisation de chips (nature et épicé), poudre, crêpes, jus et bouillie infantile à base de patate douce, sous la marque </w:t>
      </w:r>
      <w:r>
        <w:rPr>
          <w:b/>
          <w:bCs/>
        </w:rPr>
        <w:t>DIJA SAVEURS DE PATATE DOUCE</w:t>
      </w:r>
    </w:p>
    <w:p>
      <w:pPr>
        <w:pStyle w:val="Normal"/>
        <w:rPr>
          <w:b/>
          <w:sz w:val="22"/>
          <w:szCs w:val="22"/>
          <w:lang w:val="fr-CI"/>
        </w:rPr>
      </w:pPr>
      <w:r>
        <w:rPr>
          <w:b/>
          <w:sz w:val="22"/>
          <w:szCs w:val="22"/>
          <w:lang w:val="fr-CI"/>
        </w:rPr>
        <w:t>Les objectifs spécifiques du projet sont :</w:t>
      </w:r>
    </w:p>
    <w:p>
      <w:pPr>
        <w:pStyle w:val="Normal"/>
        <w:numPr>
          <w:ilvl w:val="0"/>
          <w:numId w:val="5"/>
        </w:numPr>
        <w:rPr>
          <w:bCs/>
          <w:sz w:val="22"/>
          <w:szCs w:val="22"/>
        </w:rPr>
      </w:pPr>
      <w:r>
        <w:rPr>
          <w:bCs/>
          <w:sz w:val="22"/>
          <w:szCs w:val="22"/>
        </w:rPr>
        <w:t xml:space="preserve">Réaliser un chiffre d’affaires de </w:t>
      </w:r>
      <w:r>
        <w:rPr>
          <w:sz w:val="22"/>
          <w:szCs w:val="22"/>
        </w:rPr>
        <w:t>11 750 000 FCFA</w:t>
      </w:r>
      <w:r>
        <w:rPr>
          <w:bCs/>
          <w:sz w:val="22"/>
          <w:szCs w:val="22"/>
        </w:rPr>
        <w:t xml:space="preserve"> la première année d’exploitation de l’unité de transformation ;</w:t>
      </w:r>
    </w:p>
    <w:p>
      <w:pPr>
        <w:pStyle w:val="Normal"/>
        <w:numPr>
          <w:ilvl w:val="0"/>
          <w:numId w:val="5"/>
        </w:numPr>
        <w:rPr>
          <w:bCs/>
          <w:sz w:val="22"/>
          <w:szCs w:val="22"/>
        </w:rPr>
      </w:pPr>
      <w:r>
        <w:rPr>
          <w:bCs/>
          <w:sz w:val="22"/>
          <w:szCs w:val="22"/>
        </w:rPr>
        <w:t xml:space="preserve">Offrir sur le marché de </w:t>
      </w:r>
      <w:r>
        <w:rPr>
          <w:sz w:val="22"/>
          <w:szCs w:val="22"/>
        </w:rPr>
        <w:t>Bamako et environs</w:t>
      </w:r>
      <w:r>
        <w:rPr>
          <w:bCs/>
          <w:sz w:val="22"/>
          <w:szCs w:val="22"/>
        </w:rPr>
        <w:t xml:space="preserve"> des produits transformés à base de patate douce (</w:t>
      </w:r>
      <w:r>
        <w:rPr>
          <w:sz w:val="22"/>
          <w:szCs w:val="22"/>
        </w:rPr>
        <w:t>chips nature et épicé, poudre, crêpes, jus et bouillie infantile)</w:t>
      </w:r>
      <w:r>
        <w:rPr>
          <w:bCs/>
          <w:sz w:val="22"/>
          <w:szCs w:val="22"/>
        </w:rPr>
        <w:t xml:space="preserve"> de qualité, sains, nutritifs et de conservation facile ;</w:t>
      </w:r>
    </w:p>
    <w:p>
      <w:pPr>
        <w:pStyle w:val="Normal"/>
        <w:numPr>
          <w:ilvl w:val="0"/>
          <w:numId w:val="5"/>
        </w:numPr>
        <w:rPr>
          <w:bCs/>
          <w:sz w:val="22"/>
          <w:szCs w:val="22"/>
        </w:rPr>
      </w:pPr>
      <w:r>
        <w:rPr>
          <w:bCs/>
          <w:sz w:val="22"/>
          <w:szCs w:val="22"/>
        </w:rPr>
        <w:t xml:space="preserve">Assurer la promotion d’une </w:t>
      </w:r>
      <w:r>
        <w:rPr>
          <w:sz w:val="22"/>
          <w:szCs w:val="22"/>
        </w:rPr>
        <w:t>transformation agroalimentaire durable</w:t>
      </w:r>
      <w:r>
        <w:rPr>
          <w:bCs/>
          <w:sz w:val="22"/>
          <w:szCs w:val="22"/>
        </w:rPr>
        <w:t>, valorisant la patate douce locale et limitant les additifs chimiques ;</w:t>
      </w:r>
    </w:p>
    <w:p>
      <w:pPr>
        <w:pStyle w:val="Normal"/>
        <w:numPr>
          <w:ilvl w:val="0"/>
          <w:numId w:val="5"/>
        </w:numPr>
        <w:rPr>
          <w:bCs/>
          <w:sz w:val="22"/>
          <w:szCs w:val="22"/>
        </w:rPr>
      </w:pPr>
      <w:r>
        <w:rPr>
          <w:bCs/>
          <w:sz w:val="22"/>
          <w:szCs w:val="22"/>
        </w:rPr>
        <w:t xml:space="preserve">Créer </w:t>
      </w:r>
      <w:r>
        <w:rPr>
          <w:sz w:val="22"/>
          <w:szCs w:val="22"/>
        </w:rPr>
        <w:t>cinq (5) emplois, dont deux (2) permanents et trois (3) saisonniers,</w:t>
      </w:r>
      <w:r>
        <w:rPr>
          <w:bCs/>
          <w:sz w:val="22"/>
          <w:szCs w:val="22"/>
        </w:rPr>
        <w:t xml:space="preserve"> pour les jeunes et les femmes de la localité ;</w:t>
      </w:r>
    </w:p>
    <w:p>
      <w:pPr>
        <w:pStyle w:val="Normal"/>
        <w:numPr>
          <w:ilvl w:val="0"/>
          <w:numId w:val="5"/>
        </w:numPr>
        <w:rPr>
          <w:bCs/>
          <w:sz w:val="22"/>
          <w:szCs w:val="22"/>
        </w:rPr>
      </w:pPr>
      <w:r>
        <w:rPr>
          <w:bCs/>
          <w:sz w:val="22"/>
          <w:szCs w:val="22"/>
        </w:rPr>
        <w:t xml:space="preserve">Positionner la marque </w:t>
      </w:r>
      <w:r>
        <w:rPr>
          <w:b/>
          <w:bCs/>
          <w:sz w:val="22"/>
          <w:szCs w:val="22"/>
        </w:rPr>
        <w:t>DIJA SAVEURS DE PATATE DOUCE</w:t>
      </w:r>
      <w:r>
        <w:rPr>
          <w:bCs/>
          <w:sz w:val="22"/>
          <w:szCs w:val="22"/>
        </w:rPr>
        <w:t xml:space="preserve"> comme une référence de qualité sur le marché malien des produits transformés à base de patate douce.</w:t>
      </w:r>
    </w:p>
    <w:p>
      <w:pPr>
        <w:pStyle w:val="Normal"/>
        <w:rPr>
          <w:bCs/>
          <w:sz w:val="22"/>
          <w:szCs w:val="22"/>
        </w:rPr>
      </w:pPr>
      <w:r>
        <w:rPr>
          <w:bCs/>
          <w:sz w:val="22"/>
          <w:szCs w:val="22"/>
        </w:rPr>
      </w:r>
    </w:p>
    <w:p>
      <w:pPr>
        <w:pStyle w:val="Heading2"/>
        <w:keepLines/>
        <w:numPr>
          <w:ilvl w:val="0"/>
          <w:numId w:val="7"/>
        </w:numPr>
        <w:spacing w:before="120" w:after="120"/>
        <w:ind w:hanging="0" w:left="0" w:right="0"/>
        <w:jc w:val="both"/>
        <w:rPr>
          <w:rFonts w:ascii="Times New Roman" w:hAnsi="Times New Roman" w:cs="Times New Roman"/>
          <w:i w:val="false"/>
          <w:i w:val="false"/>
          <w:iCs w:val="false"/>
          <w:sz w:val="24"/>
          <w:szCs w:val="24"/>
          <w:lang w:val="fr-CI"/>
        </w:rPr>
      </w:pPr>
      <w:bookmarkStart w:id="6" w:name="__RefHeading___Toc234831695"/>
      <w:bookmarkEnd w:id="6"/>
      <w:r>
        <w:rPr>
          <w:rFonts w:cs="Times New Roman" w:ascii="Times New Roman" w:hAnsi="Times New Roman"/>
          <w:i w:val="false"/>
          <w:iCs w:val="false"/>
          <w:sz w:val="24"/>
          <w:szCs w:val="24"/>
          <w:lang w:val="fr-CI"/>
        </w:rPr>
        <w:t>Localisation du projet</w:t>
      </w:r>
    </w:p>
    <w:p>
      <w:pPr>
        <w:pStyle w:val="Normal"/>
        <w:rPr>
          <w:lang w:val="fr-CI"/>
        </w:rPr>
      </w:pPr>
      <w:r>
        <w:rPr/>
        <w:t>Le projet est réalisé à Banankabougou, dans le District de Bamako</w:t>
      </w:r>
    </w:p>
    <w:p>
      <w:pPr>
        <w:pStyle w:val="Heading1"/>
        <w:keepLines/>
        <w:numPr>
          <w:ilvl w:val="0"/>
          <w:numId w:val="6"/>
        </w:numPr>
        <w:spacing w:before="240" w:after="0"/>
        <w:ind w:hanging="431" w:left="431" w:right="0"/>
        <w:jc w:val="both"/>
        <w:rPr>
          <w:rFonts w:ascii="Times New Roman" w:hAnsi="Times New Roman" w:cs="Times New Roman"/>
          <w:caps/>
          <w:color w:val="166B7F"/>
          <w:kern w:val="0"/>
          <w:sz w:val="28"/>
          <w:szCs w:val="28"/>
          <w:lang w:eastAsia="en-US"/>
        </w:rPr>
      </w:pPr>
      <w:bookmarkStart w:id="7" w:name="__RefHeading___Toc234831696"/>
      <w:bookmarkEnd w:id="7"/>
      <w:r>
        <w:rPr>
          <w:rFonts w:cs="Times New Roman" w:ascii="Times New Roman" w:hAnsi="Times New Roman"/>
          <w:caps/>
          <w:color w:val="166B7F"/>
          <w:kern w:val="0"/>
          <w:sz w:val="28"/>
          <w:szCs w:val="28"/>
          <w:lang w:eastAsia="en-US"/>
        </w:rPr>
        <w:t>ÉTUDE DE MARCHÉ</w:t>
      </w:r>
    </w:p>
    <w:p>
      <w:pPr>
        <w:pStyle w:val="Normal"/>
        <w:rPr>
          <w:b/>
          <w:bCs/>
          <w:lang w:eastAsia="en-US"/>
        </w:rPr>
      </w:pPr>
      <w:r>
        <w:rPr>
          <w:b/>
          <w:bCs/>
          <w:lang w:eastAsia="en-US"/>
        </w:rPr>
        <w:t>1. Les produits</w:t>
      </w:r>
    </w:p>
    <w:p>
      <w:pPr>
        <w:pStyle w:val="Normal"/>
        <w:rPr>
          <w:lang w:eastAsia="en-US"/>
        </w:rPr>
      </w:pPr>
      <w:r>
        <w:rPr>
          <w:lang w:eastAsia="en-US"/>
        </w:rPr>
        <w:t xml:space="preserve">Les produits que l'entreprise </w:t>
      </w:r>
      <w:r>
        <w:rPr>
          <w:b/>
          <w:bCs/>
          <w:lang w:eastAsia="en-US"/>
        </w:rPr>
        <w:t>DIJA SAVEURS DE PATATE DOUCE</w:t>
      </w:r>
      <w:r>
        <w:rPr>
          <w:lang w:eastAsia="en-US"/>
        </w:rPr>
        <w:t xml:space="preserve"> offre aux clients sont : les chips de patate douce (nature et épicé), la poudre de patate douce, les crêpes de patate douce, le jus de patate douce et la bouillie infantile enrichie. Il faut noter que la caractéristique fondamentale des produits de l'entreprise est leur </w:t>
      </w:r>
      <w:r>
        <w:rPr>
          <w:b/>
          <w:bCs/>
          <w:lang w:eastAsia="en-US"/>
        </w:rPr>
        <w:t>qualité gustative supérieure</w:t>
      </w:r>
      <w:r>
        <w:rPr>
          <w:lang w:eastAsia="en-US"/>
        </w:rPr>
        <w:t xml:space="preserve">, leur </w:t>
      </w:r>
      <w:r>
        <w:rPr>
          <w:b/>
          <w:bCs/>
          <w:lang w:eastAsia="en-US"/>
        </w:rPr>
        <w:t>naturalité</w:t>
      </w:r>
      <w:r>
        <w:rPr>
          <w:lang w:eastAsia="en-US"/>
        </w:rPr>
        <w:t xml:space="preserve"> et leur </w:t>
      </w:r>
      <w:r>
        <w:rPr>
          <w:b/>
          <w:bCs/>
          <w:lang w:eastAsia="en-US"/>
        </w:rPr>
        <w:t>valeur nutritive</w:t>
      </w:r>
      <w:r>
        <w:rPr>
          <w:lang w:eastAsia="en-US"/>
        </w:rPr>
        <w:t>, gages de satisfaction pour la clientèle.</w:t>
      </w:r>
    </w:p>
    <w:p>
      <w:pPr>
        <w:pStyle w:val="Normal"/>
        <w:rPr>
          <w:lang w:eastAsia="en-US"/>
        </w:rPr>
      </w:pPr>
      <w:r>
        <w:rPr>
          <w:lang w:eastAsia="en-US"/>
        </w:rPr>
        <w:t>Les caractéristiques des produits qui seront mis sur le marché sont :</w:t>
      </w:r>
    </w:p>
    <w:p>
      <w:pPr>
        <w:pStyle w:val="Normal"/>
        <w:rPr>
          <w:lang w:eastAsia="en-US"/>
        </w:rPr>
      </w:pPr>
      <w:r>
        <w:rPr>
          <w:b/>
          <w:bCs/>
          <w:lang w:eastAsia="en-US"/>
        </w:rPr>
        <w:t>Chips de patate douce (sachets 100 g) :</w:t>
      </w:r>
    </w:p>
    <w:p>
      <w:pPr>
        <w:pStyle w:val="Normal"/>
        <w:numPr>
          <w:ilvl w:val="0"/>
          <w:numId w:val="15"/>
        </w:numPr>
        <w:rPr>
          <w:lang w:eastAsia="en-US"/>
        </w:rPr>
      </w:pPr>
      <w:r>
        <w:rPr>
          <w:lang w:eastAsia="en-US"/>
        </w:rPr>
        <w:t>Deux variantes : Nature et Épicé ;</w:t>
      </w:r>
    </w:p>
    <w:p>
      <w:pPr>
        <w:pStyle w:val="Normal"/>
        <w:numPr>
          <w:ilvl w:val="0"/>
          <w:numId w:val="15"/>
        </w:numPr>
        <w:rPr>
          <w:lang w:eastAsia="en-US"/>
        </w:rPr>
      </w:pPr>
      <w:r>
        <w:rPr>
          <w:lang w:eastAsia="en-US"/>
        </w:rPr>
        <w:t>Croustillantes et savoureuses ;</w:t>
      </w:r>
    </w:p>
    <w:p>
      <w:pPr>
        <w:pStyle w:val="Normal"/>
        <w:numPr>
          <w:ilvl w:val="0"/>
          <w:numId w:val="15"/>
        </w:numPr>
        <w:rPr>
          <w:lang w:eastAsia="en-US"/>
        </w:rPr>
      </w:pPr>
      <w:r>
        <w:rPr>
          <w:lang w:eastAsia="en-US"/>
        </w:rPr>
        <w:t>Sans conservateurs chimiques ;</w:t>
      </w:r>
    </w:p>
    <w:p>
      <w:pPr>
        <w:pStyle w:val="Normal"/>
        <w:numPr>
          <w:ilvl w:val="0"/>
          <w:numId w:val="15"/>
        </w:numPr>
        <w:rPr>
          <w:lang w:eastAsia="en-US"/>
        </w:rPr>
      </w:pPr>
      <w:r>
        <w:rPr>
          <w:lang w:eastAsia="en-US"/>
        </w:rPr>
        <w:t>Emballage moderne et attractif ;</w:t>
      </w:r>
    </w:p>
    <w:p>
      <w:pPr>
        <w:pStyle w:val="Normal"/>
        <w:numPr>
          <w:ilvl w:val="0"/>
          <w:numId w:val="15"/>
        </w:numPr>
        <w:rPr>
          <w:lang w:eastAsia="en-US"/>
        </w:rPr>
      </w:pPr>
      <w:r>
        <w:rPr>
          <w:lang w:eastAsia="en-US"/>
        </w:rPr>
        <w:t>Valeur nutritive élevée ;</w:t>
      </w:r>
    </w:p>
    <w:p>
      <w:pPr>
        <w:pStyle w:val="Normal"/>
        <w:numPr>
          <w:ilvl w:val="0"/>
          <w:numId w:val="15"/>
        </w:numPr>
        <w:rPr>
          <w:lang w:eastAsia="en-US"/>
        </w:rPr>
      </w:pPr>
      <w:r>
        <w:rPr>
          <w:lang w:eastAsia="en-US"/>
        </w:rPr>
        <w:t>Riche en vitamines A et C.</w:t>
      </w:r>
    </w:p>
    <w:p>
      <w:pPr>
        <w:pStyle w:val="Normal"/>
        <w:rPr>
          <w:lang w:eastAsia="en-US"/>
        </w:rPr>
      </w:pPr>
      <w:r>
        <w:rPr>
          <w:b/>
          <w:bCs/>
          <w:lang w:eastAsia="en-US"/>
        </w:rPr>
        <w:t>Poudre de patate douce (sachets 500 g) :</w:t>
      </w:r>
    </w:p>
    <w:p>
      <w:pPr>
        <w:pStyle w:val="Normal"/>
        <w:numPr>
          <w:ilvl w:val="0"/>
          <w:numId w:val="13"/>
        </w:numPr>
        <w:rPr>
          <w:lang w:eastAsia="en-US"/>
        </w:rPr>
      </w:pPr>
      <w:r>
        <w:rPr>
          <w:lang w:eastAsia="en-US"/>
        </w:rPr>
        <w:t>Complément alimentaire infantile ;</w:t>
      </w:r>
    </w:p>
    <w:p>
      <w:pPr>
        <w:pStyle w:val="Normal"/>
        <w:numPr>
          <w:ilvl w:val="0"/>
          <w:numId w:val="13"/>
        </w:numPr>
        <w:rPr>
          <w:lang w:eastAsia="en-US"/>
        </w:rPr>
      </w:pPr>
      <w:r>
        <w:rPr>
          <w:lang w:eastAsia="en-US"/>
        </w:rPr>
        <w:t>100 % naturel ;</w:t>
      </w:r>
    </w:p>
    <w:p>
      <w:pPr>
        <w:pStyle w:val="Normal"/>
        <w:numPr>
          <w:ilvl w:val="0"/>
          <w:numId w:val="13"/>
        </w:numPr>
        <w:rPr>
          <w:lang w:eastAsia="en-US"/>
        </w:rPr>
      </w:pPr>
      <w:r>
        <w:rPr>
          <w:lang w:eastAsia="en-US"/>
        </w:rPr>
        <w:t>Riche en bêta-carotène ;</w:t>
      </w:r>
    </w:p>
    <w:p>
      <w:pPr>
        <w:pStyle w:val="Normal"/>
        <w:numPr>
          <w:ilvl w:val="0"/>
          <w:numId w:val="13"/>
        </w:numPr>
        <w:rPr>
          <w:lang w:eastAsia="en-US"/>
        </w:rPr>
      </w:pPr>
      <w:r>
        <w:rPr>
          <w:lang w:eastAsia="en-US"/>
        </w:rPr>
        <w:t>Facilité de préparation ;</w:t>
      </w:r>
    </w:p>
    <w:p>
      <w:pPr>
        <w:pStyle w:val="Normal"/>
        <w:numPr>
          <w:ilvl w:val="0"/>
          <w:numId w:val="13"/>
        </w:numPr>
        <w:rPr>
          <w:lang w:eastAsia="en-US"/>
        </w:rPr>
      </w:pPr>
      <w:r>
        <w:rPr>
          <w:lang w:eastAsia="en-US"/>
        </w:rPr>
        <w:t>Longue durée de conservation.</w:t>
      </w:r>
    </w:p>
    <w:p>
      <w:pPr>
        <w:pStyle w:val="Normal"/>
        <w:rPr>
          <w:lang w:eastAsia="en-US"/>
        </w:rPr>
      </w:pPr>
      <w:r>
        <w:rPr>
          <w:b/>
          <w:bCs/>
          <w:lang w:eastAsia="en-US"/>
        </w:rPr>
        <w:t>Crêpes de patate douce (paquets de 6) :</w:t>
      </w:r>
    </w:p>
    <w:p>
      <w:pPr>
        <w:pStyle w:val="Normal"/>
        <w:numPr>
          <w:ilvl w:val="0"/>
          <w:numId w:val="12"/>
        </w:numPr>
        <w:rPr>
          <w:lang w:eastAsia="en-US"/>
        </w:rPr>
      </w:pPr>
      <w:r>
        <w:rPr>
          <w:lang w:eastAsia="en-US"/>
        </w:rPr>
        <w:t>Prêtes à consommer ;</w:t>
      </w:r>
    </w:p>
    <w:p>
      <w:pPr>
        <w:pStyle w:val="Normal"/>
        <w:numPr>
          <w:ilvl w:val="0"/>
          <w:numId w:val="12"/>
        </w:numPr>
        <w:rPr>
          <w:lang w:eastAsia="en-US"/>
        </w:rPr>
      </w:pPr>
      <w:r>
        <w:rPr>
          <w:lang w:eastAsia="en-US"/>
        </w:rPr>
        <w:t>Moelleuses et savoureuses ;</w:t>
      </w:r>
    </w:p>
    <w:p>
      <w:pPr>
        <w:pStyle w:val="Normal"/>
        <w:numPr>
          <w:ilvl w:val="0"/>
          <w:numId w:val="12"/>
        </w:numPr>
        <w:rPr>
          <w:lang w:eastAsia="en-US"/>
        </w:rPr>
      </w:pPr>
      <w:r>
        <w:rPr>
          <w:lang w:eastAsia="en-US"/>
        </w:rPr>
        <w:t>Riches en glucides naturels ;</w:t>
      </w:r>
    </w:p>
    <w:p>
      <w:pPr>
        <w:pStyle w:val="Normal"/>
        <w:numPr>
          <w:ilvl w:val="0"/>
          <w:numId w:val="12"/>
        </w:numPr>
        <w:rPr>
          <w:lang w:eastAsia="en-US"/>
        </w:rPr>
      </w:pPr>
      <w:r>
        <w:rPr>
          <w:lang w:eastAsia="en-US"/>
        </w:rPr>
        <w:t>Idéales pour le goûter des enfants.</w:t>
      </w:r>
    </w:p>
    <w:p>
      <w:pPr>
        <w:pStyle w:val="Normal"/>
        <w:rPr>
          <w:lang w:eastAsia="en-US"/>
        </w:rPr>
      </w:pPr>
      <w:r>
        <w:rPr>
          <w:b/>
          <w:bCs/>
          <w:lang w:eastAsia="en-US"/>
        </w:rPr>
        <w:t>Jus de patate douce (bouteilles 50 cl) :</w:t>
      </w:r>
    </w:p>
    <w:p>
      <w:pPr>
        <w:pStyle w:val="Normal"/>
        <w:numPr>
          <w:ilvl w:val="0"/>
          <w:numId w:val="10"/>
        </w:numPr>
        <w:rPr>
          <w:lang w:eastAsia="en-US"/>
        </w:rPr>
      </w:pPr>
      <w:r>
        <w:rPr>
          <w:lang w:eastAsia="en-US"/>
        </w:rPr>
        <w:t>Mélangé au pois sucré, lait de coco ou autres fruits ;</w:t>
      </w:r>
    </w:p>
    <w:p>
      <w:pPr>
        <w:pStyle w:val="Normal"/>
        <w:numPr>
          <w:ilvl w:val="0"/>
          <w:numId w:val="10"/>
        </w:numPr>
        <w:rPr>
          <w:lang w:eastAsia="en-US"/>
        </w:rPr>
      </w:pPr>
      <w:r>
        <w:rPr>
          <w:lang w:eastAsia="en-US"/>
        </w:rPr>
        <w:t>100 % naturel, sans conservateurs ;</w:t>
      </w:r>
    </w:p>
    <w:p>
      <w:pPr>
        <w:pStyle w:val="Normal"/>
        <w:numPr>
          <w:ilvl w:val="0"/>
          <w:numId w:val="10"/>
        </w:numPr>
        <w:rPr>
          <w:lang w:eastAsia="en-US"/>
        </w:rPr>
      </w:pPr>
      <w:r>
        <w:rPr>
          <w:lang w:eastAsia="en-US"/>
        </w:rPr>
        <w:t>Rafraîchissant et nutritif ;</w:t>
      </w:r>
    </w:p>
    <w:p>
      <w:pPr>
        <w:pStyle w:val="Normal"/>
        <w:numPr>
          <w:ilvl w:val="0"/>
          <w:numId w:val="10"/>
        </w:numPr>
        <w:rPr>
          <w:lang w:eastAsia="en-US"/>
        </w:rPr>
      </w:pPr>
      <w:r>
        <w:rPr>
          <w:lang w:eastAsia="en-US"/>
        </w:rPr>
        <w:t>Riche en vitamines.</w:t>
      </w:r>
    </w:p>
    <w:p>
      <w:pPr>
        <w:pStyle w:val="Normal"/>
        <w:rPr>
          <w:lang w:eastAsia="en-US"/>
        </w:rPr>
      </w:pPr>
      <w:r>
        <w:rPr>
          <w:b/>
          <w:bCs/>
          <w:lang w:eastAsia="en-US"/>
        </w:rPr>
        <w:t>Bouillie infantile enrichie (sachets 1 kg) :</w:t>
      </w:r>
    </w:p>
    <w:p>
      <w:pPr>
        <w:pStyle w:val="Normal"/>
        <w:numPr>
          <w:ilvl w:val="0"/>
          <w:numId w:val="11"/>
        </w:numPr>
        <w:rPr>
          <w:lang w:eastAsia="en-US"/>
        </w:rPr>
      </w:pPr>
      <w:r>
        <w:rPr>
          <w:lang w:eastAsia="en-US"/>
        </w:rPr>
        <w:t>À base de patate douce ;</w:t>
      </w:r>
    </w:p>
    <w:p>
      <w:pPr>
        <w:pStyle w:val="Normal"/>
        <w:numPr>
          <w:ilvl w:val="0"/>
          <w:numId w:val="11"/>
        </w:numPr>
        <w:rPr>
          <w:lang w:eastAsia="en-US"/>
        </w:rPr>
      </w:pPr>
      <w:r>
        <w:rPr>
          <w:lang w:eastAsia="en-US"/>
        </w:rPr>
        <w:t>Enrichie en nutriments essentiels ;</w:t>
      </w:r>
    </w:p>
    <w:p>
      <w:pPr>
        <w:pStyle w:val="Normal"/>
        <w:numPr>
          <w:ilvl w:val="0"/>
          <w:numId w:val="11"/>
        </w:numPr>
        <w:rPr>
          <w:lang w:eastAsia="en-US"/>
        </w:rPr>
      </w:pPr>
      <w:r>
        <w:rPr>
          <w:lang w:eastAsia="en-US"/>
        </w:rPr>
        <w:t>Facile à préparer ;</w:t>
      </w:r>
    </w:p>
    <w:p>
      <w:pPr>
        <w:pStyle w:val="Normal"/>
        <w:numPr>
          <w:ilvl w:val="0"/>
          <w:numId w:val="11"/>
        </w:numPr>
        <w:rPr>
          <w:lang w:eastAsia="en-US"/>
        </w:rPr>
      </w:pPr>
      <w:r>
        <w:rPr>
          <w:lang w:eastAsia="en-US"/>
        </w:rPr>
        <w:t>Adaptée à l'alimentation des nourrissons et jeunes enfants.</w:t>
      </w:r>
    </w:p>
    <w:p>
      <w:pPr>
        <w:pStyle w:val="Normal"/>
        <w:rPr>
          <w:b/>
          <w:bCs/>
          <w:lang w:eastAsia="en-US"/>
        </w:rPr>
      </w:pPr>
      <w:r>
        <w:rPr>
          <w:b/>
          <w:bCs/>
          <w:lang w:eastAsia="en-US"/>
        </w:rPr>
        <w:t>2. Le marché cible / secteur d'activité</w:t>
      </w:r>
    </w:p>
    <w:p>
      <w:pPr>
        <w:pStyle w:val="Normal"/>
        <w:rPr>
          <w:lang w:eastAsia="en-US"/>
        </w:rPr>
      </w:pPr>
      <w:r>
        <w:rPr>
          <w:lang w:eastAsia="en-US"/>
        </w:rPr>
        <w:t xml:space="preserve">Le marché cible de l'entreprise est constitué par les </w:t>
      </w:r>
      <w:r>
        <w:rPr>
          <w:b/>
          <w:bCs/>
          <w:lang w:eastAsia="en-US"/>
        </w:rPr>
        <w:t>ménages</w:t>
      </w:r>
      <w:r>
        <w:rPr>
          <w:lang w:eastAsia="en-US"/>
        </w:rPr>
        <w:t xml:space="preserve">, les </w:t>
      </w:r>
      <w:r>
        <w:rPr>
          <w:b/>
          <w:bCs/>
          <w:lang w:eastAsia="en-US"/>
        </w:rPr>
        <w:t>supermarchés</w:t>
      </w:r>
      <w:r>
        <w:rPr>
          <w:lang w:eastAsia="en-US"/>
        </w:rPr>
        <w:t xml:space="preserve"> (Bamako, Kati), les </w:t>
      </w:r>
      <w:r>
        <w:rPr>
          <w:b/>
          <w:bCs/>
          <w:lang w:eastAsia="en-US"/>
        </w:rPr>
        <w:t>pharmacies</w:t>
      </w:r>
      <w:r>
        <w:rPr>
          <w:lang w:eastAsia="en-US"/>
        </w:rPr>
        <w:t xml:space="preserve"> (pour la poudre infantile), les </w:t>
      </w:r>
      <w:r>
        <w:rPr>
          <w:b/>
          <w:bCs/>
          <w:lang w:eastAsia="en-US"/>
        </w:rPr>
        <w:t>marchés locaux</w:t>
      </w:r>
      <w:r>
        <w:rPr>
          <w:lang w:eastAsia="en-US"/>
        </w:rPr>
        <w:t xml:space="preserve"> et les </w:t>
      </w:r>
      <w:r>
        <w:rPr>
          <w:b/>
          <w:bCs/>
          <w:lang w:eastAsia="en-US"/>
        </w:rPr>
        <w:t>écoles</w:t>
      </w:r>
      <w:r>
        <w:rPr>
          <w:lang w:eastAsia="en-US"/>
        </w:rPr>
        <w:t xml:space="preserve"> de Banankabougou, Bamako et environs.</w:t>
      </w:r>
    </w:p>
    <w:p>
      <w:pPr>
        <w:pStyle w:val="Normal"/>
        <w:rPr>
          <w:b/>
          <w:bCs/>
          <w:lang w:eastAsia="en-US"/>
        </w:rPr>
      </w:pPr>
      <w:r>
        <w:rPr>
          <w:b/>
          <w:bCs/>
          <w:lang w:eastAsia="en-US"/>
        </w:rPr>
        <w:t>3. Analyse de l'offre :</w:t>
      </w:r>
    </w:p>
    <w:p>
      <w:pPr>
        <w:pStyle w:val="Normal"/>
        <w:rPr>
          <w:lang w:eastAsia="en-US"/>
        </w:rPr>
      </w:pPr>
      <w:r>
        <w:rPr>
          <w:lang w:eastAsia="en-US"/>
        </w:rPr>
        <w:t xml:space="preserve">L'offre en produits transformés à base de patate douce au Mali est </w:t>
      </w:r>
      <w:r>
        <w:rPr>
          <w:b/>
          <w:bCs/>
          <w:lang w:eastAsia="en-US"/>
        </w:rPr>
        <w:t>quasi inexistante</w:t>
      </w:r>
      <w:r>
        <w:rPr>
          <w:lang w:eastAsia="en-US"/>
        </w:rPr>
        <w:t>. Les produits importés (chips, poudres infantiles) sont chers et ne répondent pas toujours aux besoins locaux. Le secteur souffre d'un manque d'unités de transformation locales, ce qui entraîne des pertes post-récolte importantes. Les offres concurrentielles proposent des produits artisanaux non transformés ou des produits importés à des prix élevés, sans contrôle rigoureux de la qualité.</w:t>
      </w:r>
    </w:p>
    <w:p>
      <w:pPr>
        <w:pStyle w:val="Normal"/>
        <w:rPr>
          <w:lang w:eastAsia="en-US"/>
        </w:rPr>
      </w:pPr>
      <w:r>
        <w:rPr>
          <w:b/>
          <w:bCs/>
          <w:lang w:eastAsia="en-US"/>
        </w:rPr>
        <w:t>a. L'approvisionnement en matières premières :</w:t>
      </w:r>
    </w:p>
    <w:p>
      <w:pPr>
        <w:pStyle w:val="Normal"/>
        <w:rPr>
          <w:lang w:eastAsia="en-US"/>
        </w:rPr>
      </w:pPr>
      <w:r>
        <w:rPr>
          <w:lang w:eastAsia="en-US"/>
        </w:rPr>
        <w:t>Les besoins en matières premières qui sont nécessaires à la production sont : la patate douce de variétés adaptées à la transformation (Beauregard, Covington, Georgia Jet, Jewel, variétés locales à chair blanche et violette), le sucr</w:t>
      </w:r>
      <w:r>
        <w:rPr>
          <w:b/>
          <w:bCs/>
          <w:lang w:eastAsia="en-US"/>
        </w:rPr>
        <w:t>e</w:t>
      </w:r>
      <w:r>
        <w:rPr>
          <w:lang w:eastAsia="en-US"/>
        </w:rPr>
        <w:t>, l'huile de friture, les emballage</w:t>
      </w:r>
      <w:r>
        <w:rPr>
          <w:b/>
          <w:bCs/>
          <w:lang w:eastAsia="en-US"/>
        </w:rPr>
        <w:t>s</w:t>
      </w:r>
      <w:r>
        <w:rPr>
          <w:lang w:eastAsia="en-US"/>
        </w:rPr>
        <w:t xml:space="preserve"> (sachets, étiquettes, bouteilles) et les additifs naturels (arômes, épices locales).</w:t>
      </w:r>
    </w:p>
    <w:p>
      <w:pPr>
        <w:pStyle w:val="Normal"/>
        <w:rPr>
          <w:lang w:eastAsia="en-US"/>
        </w:rPr>
      </w:pPr>
      <w:r>
        <w:rPr>
          <w:lang w:eastAsia="en-US"/>
        </w:rPr>
        <w:t>L'approvisionnement en matières premières se fera essentiellement auprès des producteurs locaux de patate douce de Bamako, Sikasso et environs ainsi qu'auprès des fournisseurs spécialisés de Bamako pour le sucre, l'huile et les emballages.</w:t>
      </w:r>
    </w:p>
    <w:p>
      <w:pPr>
        <w:pStyle w:val="Normal"/>
        <w:rPr>
          <w:lang w:eastAsia="en-US"/>
        </w:rPr>
      </w:pPr>
      <w:r>
        <w:rPr>
          <w:b/>
          <w:bCs/>
          <w:lang w:eastAsia="en-US"/>
        </w:rPr>
        <w:t>b. La politique de distribution :</w:t>
      </w:r>
    </w:p>
    <w:p>
      <w:pPr>
        <w:pStyle w:val="Normal"/>
        <w:rPr>
          <w:lang w:eastAsia="en-US"/>
        </w:rPr>
      </w:pPr>
      <w:r>
        <w:rPr>
          <w:lang w:eastAsia="en-US"/>
        </w:rPr>
        <w:t xml:space="preserve">La politique de distribution de </w:t>
      </w:r>
      <w:r>
        <w:rPr>
          <w:b/>
          <w:bCs/>
          <w:lang w:eastAsia="en-US"/>
        </w:rPr>
        <w:t>DIJA SAVEURS DE PATATE DOUCE</w:t>
      </w:r>
      <w:r>
        <w:rPr>
          <w:lang w:eastAsia="en-US"/>
        </w:rPr>
        <w:t xml:space="preserve"> est structurée autour de trois axes principaux :</w:t>
      </w:r>
    </w:p>
    <w:p>
      <w:pPr>
        <w:pStyle w:val="Normal"/>
        <w:numPr>
          <w:ilvl w:val="0"/>
          <w:numId w:val="9"/>
        </w:numPr>
        <w:rPr>
          <w:lang w:eastAsia="en-US"/>
        </w:rPr>
      </w:pPr>
      <w:r>
        <w:rPr>
          <w:lang w:eastAsia="en-US"/>
        </w:rPr>
        <w:t>La vente directe dans l'unité de transformation aux commerçants grossistes ;</w:t>
      </w:r>
    </w:p>
    <w:p>
      <w:pPr>
        <w:pStyle w:val="Normal"/>
        <w:numPr>
          <w:ilvl w:val="0"/>
          <w:numId w:val="9"/>
        </w:numPr>
        <w:rPr>
          <w:lang w:eastAsia="en-US"/>
        </w:rPr>
      </w:pPr>
      <w:r>
        <w:rPr>
          <w:lang w:eastAsia="en-US"/>
        </w:rPr>
        <w:t>La livraison aux supermarchés, pharmacies et écoles ;</w:t>
      </w:r>
    </w:p>
    <w:p>
      <w:pPr>
        <w:pStyle w:val="Normal"/>
        <w:numPr>
          <w:ilvl w:val="0"/>
          <w:numId w:val="9"/>
        </w:numPr>
        <w:rPr>
          <w:lang w:eastAsia="en-US"/>
        </w:rPr>
      </w:pPr>
      <w:r>
        <w:rPr>
          <w:lang w:eastAsia="en-US"/>
        </w:rPr>
        <w:t>La vente via des revendeurs dans les marchés locaux.</w:t>
      </w:r>
    </w:p>
    <w:p>
      <w:pPr>
        <w:pStyle w:val="Normal"/>
        <w:rPr>
          <w:lang w:eastAsia="en-US"/>
        </w:rPr>
      </w:pPr>
      <w:r>
        <w:rPr>
          <w:lang w:eastAsia="en-US"/>
        </w:rPr>
        <w:t>Cela permettra de satisfaire chaque type de client en fonction de leurs besoins.</w:t>
      </w:r>
    </w:p>
    <w:p>
      <w:pPr>
        <w:pStyle w:val="Normal"/>
        <w:rPr>
          <w:lang w:eastAsia="en-US"/>
        </w:rPr>
      </w:pPr>
      <w:r>
        <w:rPr>
          <w:b/>
          <w:bCs/>
          <w:lang w:eastAsia="en-US"/>
        </w:rPr>
        <w:t>c. La politique tarifaire</w:t>
      </w:r>
    </w:p>
    <w:p>
      <w:pPr>
        <w:pStyle w:val="Normal"/>
        <w:rPr>
          <w:lang w:eastAsia="en-US"/>
        </w:rPr>
      </w:pPr>
      <w:r>
        <w:rPr>
          <w:lang w:eastAsia="en-US"/>
        </w:rPr>
        <w:t>L'entreprise a développé une politique tarifaire en tenant compte des tarifs des concurrents. En ce qui concerne les grandes commandes, des facilités de livraison seront accordées pour attirer cette catégorie de clients.</w:t>
      </w:r>
    </w:p>
    <w:p>
      <w:pPr>
        <w:pStyle w:val="Normal"/>
        <w:rPr>
          <w:lang w:eastAsia="en-US"/>
        </w:rPr>
      </w:pPr>
      <w:r>
        <w:rPr>
          <w:lang w:eastAsia="en-US"/>
        </w:rPr>
        <w:t xml:space="preserve">Les prix proposés par </w:t>
      </w:r>
      <w:r>
        <w:rPr>
          <w:b/>
          <w:bCs/>
          <w:lang w:eastAsia="en-US"/>
        </w:rPr>
        <w:t>DIJA SAVEURS DE PATATE DOUCE</w:t>
      </w:r>
      <w:r>
        <w:rPr>
          <w:lang w:eastAsia="en-US"/>
        </w:rPr>
        <w:t xml:space="preserve"> :</w:t>
      </w:r>
    </w:p>
    <w:tbl>
      <w:tblPr>
        <w:tblW w:w="9428" w:type="dxa"/>
        <w:jc w:val="left"/>
        <w:tblInd w:w="-5" w:type="dxa"/>
        <w:tblLayout w:type="fixed"/>
        <w:tblCellMar>
          <w:top w:w="150" w:type="dxa"/>
          <w:left w:w="5" w:type="dxa"/>
          <w:bottom w:w="150" w:type="dxa"/>
          <w:right w:w="235" w:type="dxa"/>
        </w:tblCellMar>
      </w:tblPr>
      <w:tblGrid>
        <w:gridCol w:w="5495"/>
        <w:gridCol w:w="2779"/>
        <w:gridCol w:w="1154"/>
      </w:tblGrid>
      <w:tr>
        <w:trPr>
          <w:tblHeader w:val="true"/>
          <w:trHeight w:val="232" w:hRule="atLeast"/>
        </w:trPr>
        <w:tc>
          <w:tcPr>
            <w:tcW w:w="5495" w:type="dxa"/>
            <w:tcBorders>
              <w:top w:val="single" w:sz="4" w:space="0" w:color="000000"/>
              <w:left w:val="single" w:sz="4" w:space="0" w:color="000000"/>
              <w:bottom w:val="single" w:sz="4" w:space="0" w:color="000000"/>
              <w:right w:val="single" w:sz="4" w:space="0" w:color="000000"/>
            </w:tcBorders>
            <w:vAlign w:val="center"/>
          </w:tcPr>
          <w:p>
            <w:pPr>
              <w:pStyle w:val="Normal"/>
              <w:rPr>
                <w:lang w:eastAsia="en-US"/>
              </w:rPr>
            </w:pPr>
            <w:r>
              <w:rPr>
                <w:lang w:eastAsia="en-US"/>
              </w:rPr>
              <w:t>Désignation</w:t>
            </w:r>
          </w:p>
        </w:tc>
        <w:tc>
          <w:tcPr>
            <w:tcW w:w="277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lang w:eastAsia="en-US"/>
              </w:rPr>
            </w:pPr>
            <w:r>
              <w:rPr>
                <w:lang w:eastAsia="en-US"/>
              </w:rPr>
              <w:t>Unité</w:t>
            </w:r>
          </w:p>
        </w:tc>
        <w:tc>
          <w:tcPr>
            <w:tcW w:w="115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lang w:eastAsia="en-US"/>
              </w:rPr>
            </w:pPr>
            <w:r>
              <w:rPr>
                <w:lang w:eastAsia="en-US"/>
              </w:rPr>
              <w:t>PU</w:t>
            </w:r>
          </w:p>
        </w:tc>
      </w:tr>
      <w:tr>
        <w:trPr>
          <w:trHeight w:val="232" w:hRule="atLeast"/>
        </w:trPr>
        <w:tc>
          <w:tcPr>
            <w:tcW w:w="5495" w:type="dxa"/>
            <w:tcBorders>
              <w:top w:val="single" w:sz="4" w:space="0" w:color="000000"/>
              <w:left w:val="single" w:sz="4" w:space="0" w:color="000000"/>
              <w:bottom w:val="single" w:sz="4" w:space="0" w:color="000000"/>
              <w:right w:val="single" w:sz="4" w:space="0" w:color="000000"/>
            </w:tcBorders>
            <w:vAlign w:val="center"/>
          </w:tcPr>
          <w:p>
            <w:pPr>
              <w:pStyle w:val="Normal"/>
              <w:rPr>
                <w:lang w:eastAsia="en-US"/>
              </w:rPr>
            </w:pPr>
            <w:r>
              <w:rPr>
                <w:lang w:eastAsia="en-US"/>
              </w:rPr>
              <w:t>Chips de patate douce (nature/épicé)</w:t>
            </w:r>
          </w:p>
        </w:tc>
        <w:tc>
          <w:tcPr>
            <w:tcW w:w="277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lang w:eastAsia="en-US"/>
              </w:rPr>
            </w:pPr>
            <w:r>
              <w:rPr>
                <w:lang w:eastAsia="en-US"/>
              </w:rPr>
              <w:t>Sachet 100 g</w:t>
            </w:r>
          </w:p>
        </w:tc>
        <w:tc>
          <w:tcPr>
            <w:tcW w:w="115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lang w:eastAsia="en-US"/>
              </w:rPr>
            </w:pPr>
            <w:r>
              <w:rPr>
                <w:lang w:eastAsia="en-US"/>
              </w:rPr>
              <w:t>500</w:t>
            </w:r>
          </w:p>
        </w:tc>
      </w:tr>
      <w:tr>
        <w:trPr>
          <w:trHeight w:val="232" w:hRule="atLeast"/>
        </w:trPr>
        <w:tc>
          <w:tcPr>
            <w:tcW w:w="5495" w:type="dxa"/>
            <w:tcBorders>
              <w:top w:val="single" w:sz="4" w:space="0" w:color="000000"/>
              <w:left w:val="single" w:sz="4" w:space="0" w:color="000000"/>
              <w:bottom w:val="single" w:sz="4" w:space="0" w:color="000000"/>
              <w:right w:val="single" w:sz="4" w:space="0" w:color="000000"/>
            </w:tcBorders>
            <w:vAlign w:val="center"/>
          </w:tcPr>
          <w:p>
            <w:pPr>
              <w:pStyle w:val="Normal"/>
              <w:rPr>
                <w:lang w:eastAsia="en-US"/>
              </w:rPr>
            </w:pPr>
            <w:r>
              <w:rPr>
                <w:lang w:eastAsia="en-US"/>
              </w:rPr>
              <w:t>Poudre de patate douce</w:t>
            </w:r>
          </w:p>
        </w:tc>
        <w:tc>
          <w:tcPr>
            <w:tcW w:w="277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lang w:eastAsia="en-US"/>
              </w:rPr>
            </w:pPr>
            <w:r>
              <w:rPr>
                <w:lang w:eastAsia="en-US"/>
              </w:rPr>
              <w:t>Sachet 500 g</w:t>
            </w:r>
          </w:p>
        </w:tc>
        <w:tc>
          <w:tcPr>
            <w:tcW w:w="115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lang w:eastAsia="en-US"/>
              </w:rPr>
            </w:pPr>
            <w:r>
              <w:rPr>
                <w:lang w:eastAsia="en-US"/>
              </w:rPr>
              <w:t>2 000</w:t>
            </w:r>
          </w:p>
        </w:tc>
      </w:tr>
      <w:tr>
        <w:trPr>
          <w:trHeight w:val="232" w:hRule="atLeast"/>
        </w:trPr>
        <w:tc>
          <w:tcPr>
            <w:tcW w:w="5495" w:type="dxa"/>
            <w:tcBorders>
              <w:top w:val="single" w:sz="4" w:space="0" w:color="000000"/>
              <w:left w:val="single" w:sz="4" w:space="0" w:color="000000"/>
              <w:bottom w:val="single" w:sz="4" w:space="0" w:color="000000"/>
              <w:right w:val="single" w:sz="4" w:space="0" w:color="000000"/>
            </w:tcBorders>
            <w:vAlign w:val="center"/>
          </w:tcPr>
          <w:p>
            <w:pPr>
              <w:pStyle w:val="Normal"/>
              <w:rPr>
                <w:lang w:eastAsia="en-US"/>
              </w:rPr>
            </w:pPr>
            <w:r>
              <w:rPr>
                <w:lang w:eastAsia="en-US"/>
              </w:rPr>
              <w:t>Crêpes de patate douce</w:t>
            </w:r>
          </w:p>
        </w:tc>
        <w:tc>
          <w:tcPr>
            <w:tcW w:w="277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lang w:eastAsia="en-US"/>
              </w:rPr>
            </w:pPr>
            <w:r>
              <w:rPr>
                <w:lang w:eastAsia="en-US"/>
              </w:rPr>
              <w:t>Paquet de 6</w:t>
            </w:r>
          </w:p>
        </w:tc>
        <w:tc>
          <w:tcPr>
            <w:tcW w:w="115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lang w:eastAsia="en-US"/>
              </w:rPr>
            </w:pPr>
            <w:r>
              <w:rPr>
                <w:lang w:eastAsia="en-US"/>
              </w:rPr>
              <w:t>1 500</w:t>
            </w:r>
          </w:p>
        </w:tc>
      </w:tr>
      <w:tr>
        <w:trPr>
          <w:trHeight w:val="232" w:hRule="atLeast"/>
        </w:trPr>
        <w:tc>
          <w:tcPr>
            <w:tcW w:w="5495" w:type="dxa"/>
            <w:tcBorders>
              <w:top w:val="single" w:sz="4" w:space="0" w:color="000000"/>
              <w:left w:val="single" w:sz="4" w:space="0" w:color="000000"/>
              <w:bottom w:val="single" w:sz="4" w:space="0" w:color="000000"/>
              <w:right w:val="single" w:sz="4" w:space="0" w:color="000000"/>
            </w:tcBorders>
            <w:vAlign w:val="center"/>
          </w:tcPr>
          <w:p>
            <w:pPr>
              <w:pStyle w:val="Normal"/>
              <w:rPr>
                <w:lang w:eastAsia="en-US"/>
              </w:rPr>
            </w:pPr>
            <w:r>
              <w:rPr>
                <w:lang w:eastAsia="en-US"/>
              </w:rPr>
              <w:t>Jus de patate douce</w:t>
            </w:r>
          </w:p>
        </w:tc>
        <w:tc>
          <w:tcPr>
            <w:tcW w:w="277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lang w:eastAsia="en-US"/>
              </w:rPr>
            </w:pPr>
            <w:r>
              <w:rPr>
                <w:lang w:eastAsia="en-US"/>
              </w:rPr>
              <w:t>Bouteille 50 cl</w:t>
            </w:r>
          </w:p>
        </w:tc>
        <w:tc>
          <w:tcPr>
            <w:tcW w:w="115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lang w:eastAsia="en-US"/>
              </w:rPr>
            </w:pPr>
            <w:r>
              <w:rPr>
                <w:lang w:eastAsia="en-US"/>
              </w:rPr>
              <w:t>1 000</w:t>
            </w:r>
          </w:p>
        </w:tc>
      </w:tr>
      <w:tr>
        <w:trPr>
          <w:trHeight w:val="232" w:hRule="atLeast"/>
        </w:trPr>
        <w:tc>
          <w:tcPr>
            <w:tcW w:w="5495" w:type="dxa"/>
            <w:tcBorders>
              <w:top w:val="single" w:sz="4" w:space="0" w:color="000000"/>
              <w:left w:val="single" w:sz="4" w:space="0" w:color="000000"/>
              <w:bottom w:val="single" w:sz="4" w:space="0" w:color="000000"/>
              <w:right w:val="single" w:sz="4" w:space="0" w:color="000000"/>
            </w:tcBorders>
            <w:vAlign w:val="center"/>
          </w:tcPr>
          <w:p>
            <w:pPr>
              <w:pStyle w:val="Normal"/>
              <w:rPr>
                <w:lang w:eastAsia="en-US"/>
              </w:rPr>
            </w:pPr>
            <w:r>
              <w:rPr>
                <w:lang w:eastAsia="en-US"/>
              </w:rPr>
              <w:t>Bouillie infantile</w:t>
            </w:r>
          </w:p>
        </w:tc>
        <w:tc>
          <w:tcPr>
            <w:tcW w:w="277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lang w:eastAsia="en-US"/>
              </w:rPr>
            </w:pPr>
            <w:r>
              <w:rPr>
                <w:lang w:eastAsia="en-US"/>
              </w:rPr>
              <w:t>Sachet 1 kg</w:t>
            </w:r>
          </w:p>
        </w:tc>
        <w:tc>
          <w:tcPr>
            <w:tcW w:w="1154"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lang w:eastAsia="en-US"/>
              </w:rPr>
            </w:pPr>
            <w:r>
              <w:rPr>
                <w:lang w:eastAsia="en-US"/>
              </w:rPr>
              <w:t>3 000</w:t>
            </w:r>
          </w:p>
        </w:tc>
      </w:tr>
    </w:tbl>
    <w:p>
      <w:pPr>
        <w:pStyle w:val="Normal"/>
        <w:rPr>
          <w:lang w:eastAsia="en-US"/>
        </w:rPr>
      </w:pPr>
      <w:r>
        <w:rPr>
          <w:lang w:eastAsia="en-US"/>
        </w:rPr>
        <w:t>Les prix proposés par les concurrents de l'entreprise (produits importés) :</w:t>
      </w:r>
    </w:p>
    <w:tbl>
      <w:tblPr>
        <w:tblW w:w="10005" w:type="dxa"/>
        <w:jc w:val="left"/>
        <w:tblInd w:w="-5" w:type="dxa"/>
        <w:tblLayout w:type="fixed"/>
        <w:tblCellMar>
          <w:top w:w="150" w:type="dxa"/>
          <w:left w:w="5" w:type="dxa"/>
          <w:bottom w:w="150" w:type="dxa"/>
          <w:right w:w="235" w:type="dxa"/>
        </w:tblCellMar>
      </w:tblPr>
      <w:tblGrid>
        <w:gridCol w:w="4521"/>
        <w:gridCol w:w="2886"/>
        <w:gridCol w:w="2598"/>
      </w:tblGrid>
      <w:tr>
        <w:trPr>
          <w:tblHeader w:val="true"/>
          <w:trHeight w:val="251" w:hRule="atLeast"/>
        </w:trPr>
        <w:tc>
          <w:tcPr>
            <w:tcW w:w="4521" w:type="dxa"/>
            <w:tcBorders>
              <w:top w:val="single" w:sz="4" w:space="0" w:color="000000"/>
              <w:left w:val="single" w:sz="4" w:space="0" w:color="000000"/>
              <w:bottom w:val="single" w:sz="4" w:space="0" w:color="000000"/>
              <w:right w:val="single" w:sz="4" w:space="0" w:color="000000"/>
            </w:tcBorders>
            <w:vAlign w:val="center"/>
          </w:tcPr>
          <w:p>
            <w:pPr>
              <w:pStyle w:val="Normal"/>
              <w:rPr>
                <w:lang w:eastAsia="en-US"/>
              </w:rPr>
            </w:pPr>
            <w:r>
              <w:rPr>
                <w:lang w:eastAsia="en-US"/>
              </w:rPr>
              <w:t>Désignation</w:t>
            </w:r>
          </w:p>
        </w:tc>
        <w:tc>
          <w:tcPr>
            <w:tcW w:w="288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lang w:eastAsia="en-US"/>
              </w:rPr>
            </w:pPr>
            <w:r>
              <w:rPr>
                <w:lang w:eastAsia="en-US"/>
              </w:rPr>
              <w:t>Unité</w:t>
            </w:r>
          </w:p>
        </w:tc>
        <w:tc>
          <w:tcPr>
            <w:tcW w:w="2598"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lang w:eastAsia="en-US"/>
              </w:rPr>
            </w:pPr>
            <w:r>
              <w:rPr>
                <w:lang w:eastAsia="en-US"/>
              </w:rPr>
              <w:t>PU</w:t>
            </w:r>
          </w:p>
        </w:tc>
      </w:tr>
      <w:tr>
        <w:trPr>
          <w:trHeight w:val="251" w:hRule="atLeast"/>
        </w:trPr>
        <w:tc>
          <w:tcPr>
            <w:tcW w:w="4521" w:type="dxa"/>
            <w:tcBorders>
              <w:top w:val="single" w:sz="4" w:space="0" w:color="000000"/>
              <w:left w:val="single" w:sz="4" w:space="0" w:color="000000"/>
              <w:bottom w:val="single" w:sz="4" w:space="0" w:color="000000"/>
              <w:right w:val="single" w:sz="4" w:space="0" w:color="000000"/>
            </w:tcBorders>
            <w:vAlign w:val="center"/>
          </w:tcPr>
          <w:p>
            <w:pPr>
              <w:pStyle w:val="Normal"/>
              <w:rPr>
                <w:lang w:eastAsia="en-US"/>
              </w:rPr>
            </w:pPr>
            <w:r>
              <w:rPr>
                <w:lang w:eastAsia="en-US"/>
              </w:rPr>
              <w:t>Chips importées</w:t>
            </w:r>
          </w:p>
        </w:tc>
        <w:tc>
          <w:tcPr>
            <w:tcW w:w="288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lang w:eastAsia="en-US"/>
              </w:rPr>
            </w:pPr>
            <w:r>
              <w:rPr>
                <w:lang w:eastAsia="en-US"/>
              </w:rPr>
              <w:t>Sachet 100 g</w:t>
            </w:r>
          </w:p>
        </w:tc>
        <w:tc>
          <w:tcPr>
            <w:tcW w:w="259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lang w:eastAsia="en-US"/>
              </w:rPr>
            </w:pPr>
            <w:r>
              <w:rPr>
                <w:lang w:eastAsia="en-US"/>
              </w:rPr>
              <w:t>750 à 1 500</w:t>
            </w:r>
          </w:p>
        </w:tc>
      </w:tr>
      <w:tr>
        <w:trPr>
          <w:trHeight w:val="251" w:hRule="atLeast"/>
        </w:trPr>
        <w:tc>
          <w:tcPr>
            <w:tcW w:w="4521" w:type="dxa"/>
            <w:tcBorders>
              <w:top w:val="single" w:sz="4" w:space="0" w:color="000000"/>
              <w:left w:val="single" w:sz="4" w:space="0" w:color="000000"/>
              <w:bottom w:val="single" w:sz="4" w:space="0" w:color="000000"/>
              <w:right w:val="single" w:sz="4" w:space="0" w:color="000000"/>
            </w:tcBorders>
            <w:vAlign w:val="center"/>
          </w:tcPr>
          <w:p>
            <w:pPr>
              <w:pStyle w:val="Normal"/>
              <w:rPr>
                <w:lang w:eastAsia="en-US"/>
              </w:rPr>
            </w:pPr>
            <w:r>
              <w:rPr>
                <w:lang w:eastAsia="en-US"/>
              </w:rPr>
              <w:t>Poudre infantile importée</w:t>
            </w:r>
          </w:p>
        </w:tc>
        <w:tc>
          <w:tcPr>
            <w:tcW w:w="2886"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lang w:eastAsia="en-US"/>
              </w:rPr>
            </w:pPr>
            <w:r>
              <w:rPr>
                <w:lang w:eastAsia="en-US"/>
              </w:rPr>
              <w:t>Boîte 400 g</w:t>
            </w:r>
          </w:p>
        </w:tc>
        <w:tc>
          <w:tcPr>
            <w:tcW w:w="2598"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lang w:eastAsia="en-US"/>
              </w:rPr>
            </w:pPr>
            <w:r>
              <w:rPr>
                <w:lang w:eastAsia="en-US"/>
              </w:rPr>
              <w:t>3 500 à 5 000</w:t>
            </w:r>
          </w:p>
        </w:tc>
      </w:tr>
    </w:tbl>
    <w:p>
      <w:pPr>
        <w:pStyle w:val="Normal"/>
        <w:rPr>
          <w:b/>
          <w:bCs/>
          <w:lang w:eastAsia="en-US"/>
        </w:rPr>
      </w:pPr>
      <w:r>
        <w:rPr>
          <w:b/>
          <w:bCs/>
          <w:lang w:eastAsia="en-US"/>
        </w:rPr>
        <w:t>4. L'analyse de la concurrence :</w:t>
      </w:r>
    </w:p>
    <w:p>
      <w:pPr>
        <w:pStyle w:val="Normal"/>
        <w:rPr>
          <w:lang w:eastAsia="en-US"/>
        </w:rPr>
      </w:pPr>
      <w:r>
        <w:rPr>
          <w:lang w:eastAsia="en-US"/>
        </w:rPr>
        <w:t>L'entreprise est face à des concurrents très expérimentés mais non formels dans la zone du projet, c'est-à-dire quelques transformateurs artisanaux. Mais c'est le respect des normes d'hygiène et l'application des techniques modernes de transformation qui permettra à DIJA SAVEURS DE PATATE DOUCE de fournir sur le marché des produits de très bonne qualité qui seront appréciés par les clients.</w:t>
      </w:r>
    </w:p>
    <w:p>
      <w:pPr>
        <w:pStyle w:val="Normal"/>
        <w:rPr>
          <w:lang w:eastAsia="en-US"/>
        </w:rPr>
      </w:pPr>
      <w:r>
        <w:rPr>
          <w:lang w:eastAsia="en-US"/>
        </w:rPr>
        <w:t>Les concurrents qui fournissent des produits de même qualité que ceux de l’entreprise pratiquent généralement des prix plus élevés que les siens (produits importés).</w:t>
      </w:r>
    </w:p>
    <w:p>
      <w:pPr>
        <w:pStyle w:val="Normal"/>
        <w:rPr>
          <w:lang w:eastAsia="en-US"/>
        </w:rPr>
      </w:pPr>
      <w:r>
        <w:rPr>
          <w:lang w:eastAsia="en-US"/>
        </w:rPr>
        <w:t>Cependant l’entreprise développera des stratégies pour mieux se positionner sur le marché en :</w:t>
      </w:r>
    </w:p>
    <w:p>
      <w:pPr>
        <w:pStyle w:val="Normal"/>
        <w:numPr>
          <w:ilvl w:val="0"/>
          <w:numId w:val="2"/>
        </w:numPr>
        <w:rPr>
          <w:lang w:eastAsia="en-US"/>
        </w:rPr>
      </w:pPr>
      <w:r>
        <w:rPr>
          <w:lang w:eastAsia="en-US"/>
        </w:rPr>
        <w:t>Fidélisant ses clients afin d’étendre sa part de marché ;</w:t>
      </w:r>
    </w:p>
    <w:p>
      <w:pPr>
        <w:pStyle w:val="Normal"/>
        <w:numPr>
          <w:ilvl w:val="0"/>
          <w:numId w:val="2"/>
        </w:numPr>
        <w:rPr>
          <w:lang w:eastAsia="en-US"/>
        </w:rPr>
      </w:pPr>
      <w:r>
        <w:rPr>
          <w:lang w:eastAsia="en-US"/>
        </w:rPr>
        <w:t>Renforçant sa capacité de transformation et de distribution avec de nouveaux équipements pour mieux satisfaire la demande croissante des clients.</w:t>
      </w:r>
    </w:p>
    <w:p>
      <w:pPr>
        <w:pStyle w:val="Normal"/>
        <w:rPr>
          <w:lang w:eastAsia="en-US"/>
        </w:rPr>
      </w:pPr>
      <w:r>
        <w:rPr>
          <w:lang w:eastAsia="en-US"/>
        </w:rPr>
        <w:t>L’entreprise prévoit également de participer aux foires agricoles et commerciales et de développer des actions de promotion pour toucher le maximum de prospects.</w:t>
      </w:r>
    </w:p>
    <w:p>
      <w:pPr>
        <w:pStyle w:val="Normal"/>
        <w:rPr>
          <w:b/>
          <w:bCs/>
          <w:lang w:eastAsia="en-US"/>
        </w:rPr>
      </w:pPr>
      <w:r>
        <w:rPr>
          <w:b/>
          <w:bCs/>
          <w:lang w:eastAsia="en-US"/>
        </w:rPr>
        <w:t>5. La demande (clientèle cible) :</w:t>
      </w:r>
    </w:p>
    <w:p>
      <w:pPr>
        <w:pStyle w:val="Normal"/>
        <w:rPr>
          <w:lang w:eastAsia="en-US"/>
        </w:rPr>
      </w:pPr>
      <w:r>
        <w:rPr>
          <w:lang w:eastAsia="en-US"/>
        </w:rPr>
        <w:t xml:space="preserve">La clientèle cible est constituée par les ménages, les supermarchés, les pharmacies, les marchés locaux et les écoles de Banankabougou, Bamako et environs. En général, les clients sont exigeants sur certains éléments clés : la </w:t>
      </w:r>
      <w:r>
        <w:rPr>
          <w:b/>
          <w:bCs/>
          <w:lang w:eastAsia="en-US"/>
        </w:rPr>
        <w:t>qualité du produit</w:t>
      </w:r>
      <w:r>
        <w:rPr>
          <w:lang w:eastAsia="en-US"/>
        </w:rPr>
        <w:t>, l'</w:t>
      </w:r>
      <w:r>
        <w:rPr>
          <w:b/>
          <w:bCs/>
          <w:lang w:eastAsia="en-US"/>
        </w:rPr>
        <w:t>absence de conservateurs chimiques</w:t>
      </w:r>
      <w:r>
        <w:rPr>
          <w:lang w:eastAsia="en-US"/>
        </w:rPr>
        <w:t xml:space="preserve">, la </w:t>
      </w:r>
      <w:r>
        <w:rPr>
          <w:b/>
          <w:bCs/>
          <w:lang w:eastAsia="en-US"/>
        </w:rPr>
        <w:t>valeur nutritive</w:t>
      </w:r>
      <w:r>
        <w:rPr>
          <w:lang w:eastAsia="en-US"/>
        </w:rPr>
        <w:t xml:space="preserve">, le </w:t>
      </w:r>
      <w:r>
        <w:rPr>
          <w:b/>
          <w:bCs/>
          <w:lang w:eastAsia="en-US"/>
        </w:rPr>
        <w:t>prix</w:t>
      </w:r>
      <w:r>
        <w:rPr>
          <w:lang w:eastAsia="en-US"/>
        </w:rPr>
        <w:t xml:space="preserve"> et la </w:t>
      </w:r>
      <w:r>
        <w:rPr>
          <w:b/>
          <w:bCs/>
          <w:lang w:eastAsia="en-US"/>
        </w:rPr>
        <w:t>disponibilité</w:t>
      </w:r>
      <w:r>
        <w:rPr>
          <w:lang w:eastAsia="en-US"/>
        </w:rPr>
        <w:t>.</w:t>
      </w:r>
    </w:p>
    <w:p>
      <w:pPr>
        <w:pStyle w:val="Normal"/>
        <w:rPr>
          <w:lang w:eastAsia="en-US"/>
        </w:rPr>
      </w:pPr>
      <w:r>
        <w:rPr>
          <w:lang w:eastAsia="en-US"/>
        </w:rPr>
        <w:t>En tenant compte de ces critères de qualité, l’entreprise se distingue par le fait qu’elle n’utilise ni conservateurs ni additifs chimiques. Le respect des normes d'hygiène et la naturalité des produits attirent les clients.</w:t>
      </w:r>
    </w:p>
    <w:p>
      <w:pPr>
        <w:pStyle w:val="Normal"/>
        <w:rPr>
          <w:lang w:eastAsia="en-US"/>
        </w:rPr>
      </w:pPr>
      <w:r>
        <w:rPr>
          <w:lang w:eastAsia="en-US"/>
        </w:rPr>
        <w:t>Cela permet également d'avoir une longue durée de conservation des produits transformés.</w:t>
      </w:r>
    </w:p>
    <w:p>
      <w:pPr>
        <w:pStyle w:val="Normal"/>
        <w:rPr>
          <w:lang w:eastAsia="en-US"/>
        </w:rPr>
      </w:pPr>
      <w:r>
        <w:rPr>
          <w:lang w:eastAsia="en-US"/>
        </w:rPr>
        <w:t>La stratégie de l'entreprise pour satisfaire les besoins des clients consiste à recenser les commandes afin de mieux planifier les jours de livraison, maintenir le contact avec les clients à travers une vérification de l'appréciation des clients sur les produits, sur la base des appels téléphoniques et souvent des visites de terrain.</w:t>
      </w:r>
    </w:p>
    <w:p>
      <w:pPr>
        <w:pStyle w:val="Normal"/>
        <w:rPr>
          <w:b/>
          <w:bCs/>
          <w:lang w:eastAsia="en-US"/>
        </w:rPr>
      </w:pPr>
      <w:r>
        <w:rPr>
          <w:b/>
          <w:bCs/>
          <w:lang w:eastAsia="en-US"/>
        </w:rPr>
        <w:t>6. Stratégies marketing :</w:t>
      </w:r>
    </w:p>
    <w:p>
      <w:pPr>
        <w:pStyle w:val="Normal"/>
        <w:rPr>
          <w:lang w:eastAsia="en-US"/>
        </w:rPr>
      </w:pPr>
      <w:r>
        <w:rPr>
          <w:b/>
          <w:bCs/>
          <w:lang w:eastAsia="en-US"/>
        </w:rPr>
        <w:t>6.1 Politique de Produit :</w:t>
      </w:r>
    </w:p>
    <w:p>
      <w:pPr>
        <w:pStyle w:val="Normal"/>
        <w:rPr>
          <w:lang w:eastAsia="en-US"/>
        </w:rPr>
      </w:pPr>
      <w:r>
        <w:rPr>
          <w:lang w:eastAsia="en-US"/>
        </w:rPr>
        <w:t xml:space="preserve">La politique de produit de </w:t>
      </w:r>
      <w:r>
        <w:rPr>
          <w:b/>
          <w:bCs/>
          <w:lang w:eastAsia="en-US"/>
        </w:rPr>
        <w:t>DIJA SAVEURS DE PATATE DOUCE</w:t>
      </w:r>
      <w:r>
        <w:rPr>
          <w:lang w:eastAsia="en-US"/>
        </w:rPr>
        <w:t xml:space="preserve"> est axée sur la production de produits transformés à base de patate douce de haute qualité, disponibles tout au long de l'année et répondant aux attentes des consommateurs exigeants. La marque véhicule une image de </w:t>
      </w:r>
      <w:r>
        <w:rPr>
          <w:b/>
          <w:bCs/>
          <w:lang w:eastAsia="en-US"/>
        </w:rPr>
        <w:t>naturalité</w:t>
      </w:r>
      <w:r>
        <w:rPr>
          <w:lang w:eastAsia="en-US"/>
        </w:rPr>
        <w:t xml:space="preserve">, de </w:t>
      </w:r>
      <w:r>
        <w:rPr>
          <w:b/>
          <w:bCs/>
          <w:lang w:eastAsia="en-US"/>
        </w:rPr>
        <w:t>santé</w:t>
      </w:r>
      <w:r>
        <w:rPr>
          <w:lang w:eastAsia="en-US"/>
        </w:rPr>
        <w:t xml:space="preserve"> et de </w:t>
      </w:r>
      <w:r>
        <w:rPr>
          <w:b/>
          <w:bCs/>
          <w:lang w:eastAsia="en-US"/>
        </w:rPr>
        <w:t>plaisir</w:t>
      </w:r>
      <w:r>
        <w:rPr>
          <w:lang w:eastAsia="en-US"/>
        </w:rPr>
        <w:t xml:space="preserve"> (Dija = bon/plaisir en bambara). Les produits sont proposés en cinq gammes : chips (nature et épicé), poudre, crêpes, jus et bouillie infantile. Cette politique vise à fidéliser la clientèle et à assurer l’écoulement régulier de la production tout au long de l'année.</w:t>
      </w:r>
    </w:p>
    <w:p>
      <w:pPr>
        <w:pStyle w:val="Normal"/>
        <w:rPr>
          <w:lang w:eastAsia="en-US"/>
        </w:rPr>
      </w:pPr>
      <w:r>
        <w:rPr>
          <w:b/>
          <w:bCs/>
          <w:lang w:eastAsia="en-US"/>
        </w:rPr>
        <w:t>6.2 Politique de prix :</w:t>
      </w:r>
    </w:p>
    <w:p>
      <w:pPr>
        <w:pStyle w:val="Normal"/>
        <w:rPr>
          <w:lang w:eastAsia="en-US"/>
        </w:rPr>
      </w:pPr>
      <w:r>
        <w:rPr>
          <w:lang w:eastAsia="en-US"/>
        </w:rPr>
        <w:t>La politique de prix a consisté à fixer un prix incitatif pour les clients afin de les fidéliser, augmenter le chiffre d'affaires de l'entreprise et mieux se positionner face à la concurrence. Les prix de vente sont fixés comme suit : chips 500 F/sachet, poudre 2 000 F/500 g, crêpes 1 500 F/paquet, jus 1 000 F/bouteille, bouillie 3 000 F/kg. Des conditions favorables de livraison sont proposées pour les clients qui passent des commandes importantes.</w:t>
      </w:r>
    </w:p>
    <w:p>
      <w:pPr>
        <w:pStyle w:val="Normal"/>
        <w:rPr>
          <w:lang w:eastAsia="en-US"/>
        </w:rPr>
      </w:pPr>
      <w:r>
        <w:rPr>
          <w:b/>
          <w:bCs/>
          <w:lang w:eastAsia="en-US"/>
        </w:rPr>
        <w:t>6.3 Politique de place</w:t>
      </w:r>
    </w:p>
    <w:p>
      <w:pPr>
        <w:pStyle w:val="Normal"/>
        <w:rPr>
          <w:lang w:eastAsia="en-US"/>
        </w:rPr>
      </w:pPr>
      <w:r>
        <w:rPr>
          <w:lang w:eastAsia="en-US"/>
        </w:rPr>
        <w:t xml:space="preserve">La localisation de l'unité de transformation à </w:t>
      </w:r>
      <w:r>
        <w:rPr>
          <w:b/>
          <w:bCs/>
          <w:lang w:eastAsia="en-US"/>
        </w:rPr>
        <w:t>Banankabougou (Bamako)</w:t>
      </w:r>
      <w:r>
        <w:rPr>
          <w:lang w:eastAsia="en-US"/>
        </w:rPr>
        <w:t xml:space="preserve"> est stratégique parce qu'elle permet d'attirer les clients vers les produits et de bénéficier de la proximité du grand marché de Bamako. Les grossistes, supermarchés et revendeurs se rendent dans cette zone pour négocier avec les transformateurs. Cela facilite l'établissement des liens de marché solides et durables dans la commercialisation de la production.</w:t>
      </w:r>
    </w:p>
    <w:p>
      <w:pPr>
        <w:pStyle w:val="Normal"/>
        <w:rPr>
          <w:lang w:eastAsia="en-US"/>
        </w:rPr>
      </w:pPr>
      <w:r>
        <w:rPr>
          <w:b/>
          <w:bCs/>
          <w:lang w:eastAsia="en-US"/>
        </w:rPr>
        <w:t>6.4 Politique de promotion/communication :</w:t>
      </w:r>
    </w:p>
    <w:p>
      <w:pPr>
        <w:pStyle w:val="Normal"/>
        <w:rPr>
          <w:lang w:eastAsia="en-US"/>
        </w:rPr>
      </w:pPr>
      <w:r>
        <w:rPr>
          <w:lang w:eastAsia="en-US"/>
        </w:rPr>
        <w:t>La politique de promotion et de communication développée comprend :</w:t>
      </w:r>
    </w:p>
    <w:p>
      <w:pPr>
        <w:pStyle w:val="Normal"/>
        <w:rPr>
          <w:lang w:eastAsia="en-US"/>
        </w:rPr>
      </w:pPr>
      <w:r>
        <w:rPr>
          <w:b/>
          <w:bCs/>
          <w:lang w:eastAsia="en-US"/>
        </w:rPr>
        <w:t>L'identification des prospects :</w:t>
      </w:r>
      <w:r>
        <w:rPr>
          <w:lang w:eastAsia="en-US"/>
        </w:rPr>
        <w:br/>
        <w:t>Il s'agit d'identifier les clients potentiels afin d'avoir leurs contacts et des informations sur les quantités de produits dont ils ont besoin par mois.</w:t>
      </w:r>
    </w:p>
    <w:p>
      <w:pPr>
        <w:pStyle w:val="Normal"/>
        <w:rPr>
          <w:lang w:eastAsia="en-US"/>
        </w:rPr>
      </w:pPr>
      <w:r>
        <w:rPr>
          <w:b/>
          <w:bCs/>
          <w:lang w:eastAsia="en-US"/>
        </w:rPr>
        <w:t>Identification des canaux de communication :</w:t>
      </w:r>
      <w:r>
        <w:rPr>
          <w:lang w:eastAsia="en-US"/>
        </w:rPr>
        <w:br/>
        <w:t>Les différents canaux de communication identifiés sont le contact direct, le téléphone, les radios de proximité et les réseaux sociaux.</w:t>
      </w:r>
    </w:p>
    <w:p>
      <w:pPr>
        <w:pStyle w:val="Normal"/>
        <w:rPr>
          <w:lang w:eastAsia="en-US"/>
        </w:rPr>
      </w:pPr>
      <w:r>
        <w:rPr>
          <w:b/>
          <w:bCs/>
          <w:lang w:eastAsia="en-US"/>
        </w:rPr>
        <w:t>Elaboration des outils de communication :</w:t>
      </w:r>
      <w:r>
        <w:rPr>
          <w:lang w:eastAsia="en-US"/>
        </w:rPr>
        <w:br/>
        <w:t>Les outils de communication retenus par l'entreprise sont les appels téléphoniques, les spots radios, WhatsApp, Facebook et TikTok.</w:t>
      </w:r>
    </w:p>
    <w:p>
      <w:pPr>
        <w:pStyle w:val="Normal"/>
        <w:rPr>
          <w:lang w:eastAsia="en-US"/>
        </w:rPr>
      </w:pPr>
      <w:r>
        <w:rPr>
          <w:b/>
          <w:bCs/>
          <w:lang w:eastAsia="en-US"/>
        </w:rPr>
        <w:t>Elaboration d'un plan de communication :</w:t>
      </w:r>
      <w:r>
        <w:rPr>
          <w:lang w:eastAsia="en-US"/>
        </w:rPr>
        <w:br/>
        <w:t>Un plan de communication cohérent et adapté aux moyens de l'entreprise sera élaboré afin de mieux cibler les clients potentiels et mieux faire face à la concurrence.</w:t>
      </w:r>
    </w:p>
    <w:p>
      <w:pPr>
        <w:pStyle w:val="Normal"/>
        <w:rPr>
          <w:lang w:eastAsia="en-US"/>
        </w:rPr>
      </w:pPr>
      <w:r>
        <w:rPr>
          <w:b/>
          <w:bCs/>
          <w:lang w:eastAsia="en-US"/>
        </w:rPr>
        <w:t>Mise en œuvre du plan de communication.</w:t>
      </w:r>
      <w:r>
        <w:rPr>
          <w:lang w:eastAsia="en-US"/>
        </w:rPr>
        <w:br/>
        <w:t>Les différents canaux identifiés seront utilisés dans la mise en œuvre de ce plan de communication. L'accent sera mis sur les périodes de grande consommation, de foires agricoles et commerciales.</w:t>
      </w:r>
    </w:p>
    <w:p>
      <w:pPr>
        <w:pStyle w:val="Normal"/>
        <w:rPr>
          <w:lang w:eastAsia="en-US"/>
        </w:rPr>
      </w:pPr>
      <w:r>
        <w:rPr>
          <w:lang w:eastAsia="en-US"/>
        </w:rPr>
      </w:r>
    </w:p>
    <w:p>
      <w:pPr>
        <w:pStyle w:val="Heading1"/>
        <w:keepLines/>
        <w:numPr>
          <w:ilvl w:val="0"/>
          <w:numId w:val="4"/>
        </w:numPr>
        <w:spacing w:before="0" w:after="120"/>
        <w:ind w:hanging="431" w:left="431" w:right="0"/>
        <w:jc w:val="both"/>
        <w:rPr>
          <w:rFonts w:ascii="Times New Roman" w:hAnsi="Times New Roman" w:cs="Times New Roman"/>
          <w:caps/>
          <w:color w:val="166B7F"/>
          <w:kern w:val="0"/>
          <w:lang w:eastAsia="en-US"/>
        </w:rPr>
      </w:pPr>
      <w:bookmarkStart w:id="8" w:name="__RefHeading___Toc234831707"/>
      <w:bookmarkEnd w:id="8"/>
      <w:r>
        <w:rPr>
          <w:rFonts w:cs="Times New Roman" w:ascii="Times New Roman" w:hAnsi="Times New Roman"/>
          <w:caps/>
          <w:color w:val="166B7F"/>
          <w:kern w:val="0"/>
          <w:lang w:eastAsia="en-US"/>
        </w:rPr>
        <w:t>ÉTUDE TECHNIQUE</w:t>
      </w:r>
    </w:p>
    <w:p>
      <w:pPr>
        <w:pStyle w:val="Heading2"/>
        <w:keepLines/>
        <w:numPr>
          <w:ilvl w:val="0"/>
          <w:numId w:val="16"/>
        </w:numPr>
        <w:spacing w:before="120" w:after="120"/>
        <w:ind w:hanging="360" w:left="720" w:right="0"/>
        <w:jc w:val="both"/>
        <w:rPr>
          <w:rFonts w:ascii="Times New Roman" w:hAnsi="Times New Roman" w:cs="Times New Roman"/>
          <w:i w:val="false"/>
          <w:i w:val="false"/>
          <w:iCs w:val="false"/>
          <w:sz w:val="24"/>
          <w:szCs w:val="24"/>
          <w:lang w:val="fr-CI"/>
        </w:rPr>
      </w:pPr>
      <w:bookmarkStart w:id="9" w:name="__RefHeading___Toc234831708"/>
      <w:bookmarkEnd w:id="9"/>
      <w:r>
        <w:rPr>
          <w:rFonts w:cs="Times New Roman" w:ascii="Times New Roman" w:hAnsi="Times New Roman"/>
          <w:i w:val="false"/>
          <w:iCs w:val="false"/>
          <w:sz w:val="24"/>
          <w:szCs w:val="24"/>
          <w:lang w:val="fr-CI"/>
        </w:rPr>
        <w:t xml:space="preserve">Site d’implantation : </w:t>
      </w:r>
    </w:p>
    <w:p>
      <w:pPr>
        <w:pStyle w:val="Normal"/>
        <w:rPr>
          <w:lang w:eastAsia="en-US"/>
        </w:rPr>
      </w:pPr>
      <w:r>
        <w:rPr>
          <w:lang w:eastAsia="en-US"/>
        </w:rPr>
        <w:t xml:space="preserve">Le projet sera réalisé à </w:t>
      </w:r>
      <w:r>
        <w:rPr>
          <w:b/>
          <w:bCs/>
          <w:lang w:eastAsia="en-US"/>
        </w:rPr>
        <w:t>Banankabougou</w:t>
      </w:r>
      <w:r>
        <w:rPr>
          <w:lang w:eastAsia="en-US"/>
        </w:rPr>
        <w:t xml:space="preserve">, dans le District de </w:t>
      </w:r>
      <w:r>
        <w:rPr>
          <w:b/>
          <w:bCs/>
          <w:lang w:eastAsia="en-US"/>
        </w:rPr>
        <w:t>Bamako</w:t>
      </w:r>
      <w:r>
        <w:rPr>
          <w:lang w:eastAsia="en-US"/>
        </w:rPr>
        <w:t>. Le site du projet est accessible avec des routes praticables en toute saison, cela facilitera le transport de la production pour la livraison aux clients. Le local est détenu par un membre de la famille qui autorise l'exploitation pour une durée de 7 ans, renouvelable. L’acte de mise à disposition du local, dûment signé et légalisé, sera joint en annexe du présent plan d’affaires.</w:t>
      </w:r>
    </w:p>
    <w:p>
      <w:pPr>
        <w:pStyle w:val="ds-markdown-paragraph"/>
        <w:shd w:val="clear" w:fill="FFFFFF"/>
        <w:spacing w:before="240" w:after="240"/>
        <w:ind w:left="360" w:right="0"/>
        <w:rPr>
          <w:rFonts w:ascii="Segoe UI" w:hAnsi="Segoe UI" w:cs="Segoe UI"/>
          <w:color w:val="0F1115"/>
        </w:rPr>
      </w:pPr>
      <w:r>
        <w:rPr>
          <w:rFonts w:cs="Segoe UI" w:ascii="Segoe UI" w:hAnsi="Segoe UI"/>
          <w:color w:val="0F1115"/>
        </w:rPr>
        <w:t>.</w:t>
      </w:r>
    </w:p>
    <w:p>
      <w:pPr>
        <w:pStyle w:val="Heading2"/>
        <w:keepLines/>
        <w:numPr>
          <w:ilvl w:val="0"/>
          <w:numId w:val="16"/>
        </w:numPr>
        <w:spacing w:before="120" w:after="0"/>
        <w:ind w:hanging="360" w:left="720" w:right="0"/>
        <w:jc w:val="both"/>
        <w:rPr>
          <w:rFonts w:ascii="Times New Roman" w:hAnsi="Times New Roman" w:cs="Times New Roman"/>
          <w:i w:val="false"/>
          <w:i w:val="false"/>
          <w:iCs w:val="false"/>
          <w:sz w:val="24"/>
          <w:szCs w:val="24"/>
          <w:lang w:val="fr-CI"/>
        </w:rPr>
      </w:pPr>
      <w:bookmarkStart w:id="10" w:name="__RefHeading___Toc234831709"/>
      <w:bookmarkEnd w:id="10"/>
      <w:r>
        <w:rPr>
          <w:rFonts w:cs="Times New Roman" w:ascii="Times New Roman" w:hAnsi="Times New Roman"/>
          <w:i w:val="false"/>
          <w:iCs w:val="false"/>
          <w:sz w:val="24"/>
          <w:szCs w:val="24"/>
          <w:lang w:val="fr-CI"/>
        </w:rPr>
        <w:t>Locaux, aménagements / installations et équipements</w:t>
      </w:r>
    </w:p>
    <w:p>
      <w:pPr>
        <w:pStyle w:val="Normal"/>
        <w:ind w:left="720" w:right="0"/>
        <w:rPr/>
      </w:pPr>
      <w:r>
        <w:rPr/>
        <w:t xml:space="preserve">2.1 Constructions </w:t>
      </w:r>
    </w:p>
    <w:tbl>
      <w:tblPr>
        <w:tblW w:w="7420" w:type="dxa"/>
        <w:jc w:val="left"/>
        <w:tblInd w:w="80" w:type="dxa"/>
        <w:tblLayout w:type="fixed"/>
        <w:tblCellMar>
          <w:top w:w="0" w:type="dxa"/>
          <w:left w:w="70" w:type="dxa"/>
          <w:bottom w:w="0" w:type="dxa"/>
          <w:right w:w="70" w:type="dxa"/>
        </w:tblCellMar>
      </w:tblPr>
      <w:tblGrid>
        <w:gridCol w:w="3250"/>
        <w:gridCol w:w="992"/>
        <w:gridCol w:w="1417"/>
        <w:gridCol w:w="1760"/>
      </w:tblGrid>
      <w:tr>
        <w:trPr>
          <w:trHeight w:val="270" w:hRule="atLeast"/>
        </w:trPr>
        <w:tc>
          <w:tcPr>
            <w:tcW w:w="3250"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992"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417"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760" w:type="dxa"/>
            <w:tcBorders>
              <w:top w:val="single" w:sz="4" w:space="0" w:color="000000"/>
              <w:left w:val="single" w:sz="4" w:space="0" w:color="000000"/>
              <w:bottom w:val="single" w:sz="4" w:space="0" w:color="000000"/>
              <w:right w:val="single" w:sz="4" w:space="0" w:color="000000"/>
            </w:tcBorders>
            <w:shd w:fill="C659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250" w:type="dxa"/>
            <w:tcBorders>
              <w:top w:val="single" w:sz="4" w:space="0" w:color="000000"/>
              <w:left w:val="single" w:sz="4" w:space="0" w:color="000000"/>
              <w:bottom w:val="single" w:sz="4" w:space="0" w:color="000000"/>
              <w:right w:val="single" w:sz="4" w:space="0" w:color="000000"/>
            </w:tcBorders>
            <w:vAlign w:val="bottom"/>
          </w:tcPr>
          <w:p>
            <w:pPr>
              <w:pStyle w:val="Normal"/>
              <w:rPr>
                <w:color w:val="000000"/>
              </w:rPr>
            </w:pPr>
            <w:r>
              <w:rPr>
                <w:color w:val="000000"/>
              </w:rPr>
              <w:t>0</w:t>
            </w:r>
          </w:p>
        </w:tc>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0</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0</w:t>
            </w:r>
          </w:p>
        </w:tc>
        <w:tc>
          <w:tcPr>
            <w:tcW w:w="1760" w:type="dxa"/>
            <w:tcBorders>
              <w:top w:val="single" w:sz="4" w:space="0" w:color="000000"/>
              <w:left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0</w:t>
            </w:r>
          </w:p>
        </w:tc>
      </w:tr>
      <w:tr>
        <w:trPr>
          <w:trHeight w:val="270" w:hRule="atLeast"/>
        </w:trPr>
        <w:tc>
          <w:tcPr>
            <w:tcW w:w="3250"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992"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7"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760" w:type="dxa"/>
            <w:tcBorders>
              <w:top w:val="single" w:sz="4" w:space="0" w:color="000000"/>
              <w:left w:val="single" w:sz="4" w:space="0" w:color="000000"/>
              <w:bottom w:val="single" w:sz="4"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0</w:t>
            </w:r>
          </w:p>
        </w:tc>
      </w:tr>
    </w:tbl>
    <w:p>
      <w:pPr>
        <w:pStyle w:val="Normal"/>
        <w:ind w:left="720" w:right="0"/>
        <w:rPr>
          <w:lang w:val="fr-CI"/>
        </w:rPr>
      </w:pPr>
      <w:r>
        <w:rPr>
          <w:lang w:val="fr-CI"/>
        </w:rPr>
      </w:r>
    </w:p>
    <w:p>
      <w:pPr>
        <w:pStyle w:val="Normal"/>
        <w:ind w:left="720" w:right="0"/>
        <w:rPr>
          <w:lang w:val="fr-CI"/>
        </w:rPr>
      </w:pPr>
      <w:r>
        <w:rPr>
          <w:lang w:val="fr-CI"/>
        </w:rPr>
        <w:t>2.2 Aménagements /installations</w:t>
      </w:r>
    </w:p>
    <w:p>
      <w:pPr>
        <w:pStyle w:val="Normal"/>
        <w:rPr/>
      </w:pPr>
      <w:r>
        <w:rPr/>
        <w:t> </w:t>
      </w:r>
    </w:p>
    <w:tbl>
      <w:tblPr>
        <w:tblW w:w="7665" w:type="dxa"/>
        <w:jc w:val="left"/>
        <w:tblInd w:w="60" w:type="dxa"/>
        <w:tblLayout w:type="fixed"/>
        <w:tblCellMar>
          <w:top w:w="0" w:type="dxa"/>
          <w:left w:w="70" w:type="dxa"/>
          <w:bottom w:w="0" w:type="dxa"/>
          <w:right w:w="70" w:type="dxa"/>
        </w:tblCellMar>
      </w:tblPr>
      <w:tblGrid>
        <w:gridCol w:w="3899"/>
        <w:gridCol w:w="1001"/>
        <w:gridCol w:w="1205"/>
        <w:gridCol w:w="1559"/>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205"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559"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Aménagement local de transformation</w:t>
            </w:r>
          </w:p>
        </w:tc>
        <w:tc>
          <w:tcPr>
            <w:tcW w:w="1001" w:type="dxa"/>
            <w:tcBorders>
              <w:left w:val="single" w:sz="4" w:space="0" w:color="000000"/>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w:t>
            </w:r>
          </w:p>
        </w:tc>
        <w:tc>
          <w:tcPr>
            <w:tcW w:w="1205"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1 200 000</w:t>
            </w:r>
          </w:p>
        </w:tc>
        <w:tc>
          <w:tcPr>
            <w:tcW w:w="1559"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1 200 000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Installation électrique et plomberie</w:t>
            </w:r>
          </w:p>
        </w:tc>
        <w:tc>
          <w:tcPr>
            <w:tcW w:w="1001" w:type="dxa"/>
            <w:tcBorders>
              <w:left w:val="single" w:sz="4" w:space="0" w:color="000000"/>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1</w:t>
            </w:r>
          </w:p>
        </w:tc>
        <w:tc>
          <w:tcPr>
            <w:tcW w:w="1205"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300 000</w:t>
            </w:r>
          </w:p>
        </w:tc>
        <w:tc>
          <w:tcPr>
            <w:tcW w:w="1559" w:type="dxa"/>
            <w:tcBorders>
              <w:bottom w:val="single" w:sz="8" w:space="0" w:color="000000"/>
              <w:right w:val="single" w:sz="8" w:space="0" w:color="000000"/>
            </w:tcBorders>
            <w:vAlign w:val="center"/>
          </w:tcPr>
          <w:p>
            <w:pPr>
              <w:pStyle w:val="Normal"/>
              <w:jc w:val="right"/>
              <w:rPr>
                <w:color w:val="000000"/>
                <w:sz w:val="22"/>
                <w:szCs w:val="22"/>
              </w:rPr>
            </w:pPr>
            <w:r>
              <w:rPr>
                <w:color w:val="000000"/>
                <w:sz w:val="22"/>
                <w:szCs w:val="22"/>
              </w:rPr>
              <w:t>300 000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Peinture et carrelage</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1</w:t>
            </w:r>
          </w:p>
        </w:tc>
        <w:tc>
          <w:tcPr>
            <w:tcW w:w="1205" w:type="dxa"/>
            <w:tcBorders>
              <w:top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200 000</w:t>
            </w:r>
          </w:p>
        </w:tc>
        <w:tc>
          <w:tcPr>
            <w:tcW w:w="1559" w:type="dxa"/>
            <w:tcBorders>
              <w:top w:val="single" w:sz="4" w:space="0" w:color="000000"/>
              <w:bottom w:val="single" w:sz="4" w:space="0" w:color="000000"/>
              <w:right w:val="single" w:sz="4" w:space="0" w:color="000000"/>
            </w:tcBorders>
            <w:vAlign w:val="center"/>
          </w:tcPr>
          <w:p>
            <w:pPr>
              <w:pStyle w:val="Normal"/>
              <w:jc w:val="right"/>
              <w:rPr>
                <w:rFonts w:ascii="Cambria" w:hAnsi="Cambria" w:cs="Calibri"/>
                <w:sz w:val="20"/>
                <w:szCs w:val="20"/>
              </w:rPr>
            </w:pPr>
            <w:r>
              <w:rPr>
                <w:rFonts w:cs="Calibri" w:ascii="Cambria" w:hAnsi="Cambria"/>
                <w:sz w:val="20"/>
                <w:szCs w:val="20"/>
              </w:rPr>
              <w:t>200 000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205"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559"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1 700 000</w:t>
            </w:r>
          </w:p>
        </w:tc>
      </w:tr>
    </w:tbl>
    <w:p>
      <w:pPr>
        <w:pStyle w:val="Normal"/>
        <w:ind w:left="720" w:right="0"/>
        <w:rPr>
          <w:lang w:val="fr-CI"/>
        </w:rPr>
      </w:pPr>
      <w:r>
        <w:rPr>
          <w:lang w:val="fr-CI"/>
        </w:rPr>
        <w:t>2.3 Mobiliers et matériels</w:t>
      </w:r>
    </w:p>
    <w:tbl>
      <w:tblPr>
        <w:tblW w:w="7665" w:type="dxa"/>
        <w:jc w:val="left"/>
        <w:tblInd w:w="60" w:type="dxa"/>
        <w:tblLayout w:type="fixed"/>
        <w:tblCellMar>
          <w:top w:w="0" w:type="dxa"/>
          <w:left w:w="70" w:type="dxa"/>
          <w:bottom w:w="0" w:type="dxa"/>
          <w:right w:w="70" w:type="dxa"/>
        </w:tblCellMar>
      </w:tblPr>
      <w:tblGrid>
        <w:gridCol w:w="3899"/>
        <w:gridCol w:w="1001"/>
        <w:gridCol w:w="1346"/>
        <w:gridCol w:w="1418"/>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346"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418"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Balance de précision</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50 000</w:t>
            </w:r>
          </w:p>
        </w:tc>
        <w:tc>
          <w:tcPr>
            <w:tcW w:w="1418" w:type="dxa"/>
            <w:tcBorders>
              <w:top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50 000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Tables de travail inox</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75 000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150 000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jc w:val="both"/>
              <w:rPr>
                <w:color w:val="000000"/>
                <w:sz w:val="22"/>
                <w:szCs w:val="22"/>
              </w:rPr>
            </w:pPr>
            <w:r>
              <w:rPr>
                <w:color w:val="000000"/>
                <w:sz w:val="22"/>
                <w:szCs w:val="22"/>
              </w:rPr>
              <w:t>Étagères de stockage</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100 000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346"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8"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300 000</w:t>
            </w:r>
          </w:p>
        </w:tc>
      </w:tr>
    </w:tbl>
    <w:p>
      <w:pPr>
        <w:pStyle w:val="Heading3"/>
        <w:numPr>
          <w:ilvl w:val="1"/>
          <w:numId w:val="8"/>
        </w:numPr>
        <w:ind w:hanging="360" w:left="1211" w:right="0"/>
        <w:rPr>
          <w:rFonts w:ascii="Times New Roman" w:hAnsi="Times New Roman" w:cs="Times New Roman"/>
          <w:sz w:val="24"/>
          <w:szCs w:val="24"/>
        </w:rPr>
      </w:pPr>
      <w:bookmarkStart w:id="11" w:name="__RefHeading___Toc234831710"/>
      <w:bookmarkEnd w:id="11"/>
      <w:r>
        <w:rPr>
          <w:rFonts w:cs="Times New Roman" w:ascii="Times New Roman" w:hAnsi="Times New Roman"/>
          <w:sz w:val="24"/>
          <w:szCs w:val="24"/>
        </w:rPr>
        <w:t>Equipements de production :</w:t>
      </w:r>
    </w:p>
    <w:p>
      <w:pPr>
        <w:pStyle w:val="Normal"/>
        <w:rPr>
          <w:sz w:val="22"/>
          <w:szCs w:val="22"/>
        </w:rPr>
      </w:pPr>
      <w:r>
        <w:rPr>
          <w:sz w:val="22"/>
          <w:szCs w:val="22"/>
        </w:rPr>
        <w:t>Les équipements de production sont consignés dans le tableau ci-dessous :</w:t>
      </w:r>
    </w:p>
    <w:p>
      <w:pPr>
        <w:pStyle w:val="Normal"/>
        <w:rPr>
          <w:b/>
          <w:bCs/>
          <w:sz w:val="22"/>
          <w:szCs w:val="22"/>
          <w:lang w:eastAsia="fr-CA"/>
        </w:rPr>
      </w:pPr>
      <w:r>
        <w:rPr>
          <w:b/>
          <w:bCs/>
          <w:sz w:val="22"/>
          <w:szCs w:val="22"/>
          <w:lang w:eastAsia="fr-CA"/>
        </w:rPr>
        <w:t xml:space="preserve"> </w:t>
      </w:r>
      <w:r>
        <w:rPr>
          <w:b/>
          <w:bCs/>
          <w:sz w:val="22"/>
          <w:szCs w:val="22"/>
          <w:lang w:eastAsia="fr-CA"/>
        </w:rPr>
        <w:t>Equipements de production</w:t>
      </w:r>
    </w:p>
    <w:tbl>
      <w:tblPr>
        <w:tblW w:w="7665" w:type="dxa"/>
        <w:jc w:val="left"/>
        <w:tblInd w:w="60" w:type="dxa"/>
        <w:tblLayout w:type="fixed"/>
        <w:tblCellMar>
          <w:top w:w="0" w:type="dxa"/>
          <w:left w:w="70" w:type="dxa"/>
          <w:bottom w:w="0" w:type="dxa"/>
          <w:right w:w="70" w:type="dxa"/>
        </w:tblCellMar>
      </w:tblPr>
      <w:tblGrid>
        <w:gridCol w:w="3899"/>
        <w:gridCol w:w="1001"/>
        <w:gridCol w:w="1346"/>
        <w:gridCol w:w="1418"/>
      </w:tblGrid>
      <w:tr>
        <w:trPr>
          <w:trHeight w:val="270" w:hRule="atLeast"/>
        </w:trPr>
        <w:tc>
          <w:tcPr>
            <w:tcW w:w="3899" w:type="dxa"/>
            <w:tcBorders>
              <w:top w:val="single" w:sz="8" w:space="0" w:color="000000"/>
              <w:left w:val="single" w:sz="8" w:space="0" w:color="000000"/>
              <w:bottom w:val="single" w:sz="4"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Désignation</w:t>
            </w:r>
          </w:p>
        </w:tc>
        <w:tc>
          <w:tcPr>
            <w:tcW w:w="1001"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Quantité</w:t>
            </w:r>
          </w:p>
        </w:tc>
        <w:tc>
          <w:tcPr>
            <w:tcW w:w="1346" w:type="dxa"/>
            <w:tcBorders>
              <w:top w:val="single" w:sz="8" w:space="0" w:color="000000"/>
              <w:bottom w:val="single" w:sz="8" w:space="0" w:color="000000"/>
              <w:right w:val="single" w:sz="4"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Prix unitaire</w:t>
            </w:r>
          </w:p>
        </w:tc>
        <w:tc>
          <w:tcPr>
            <w:tcW w:w="1418" w:type="dxa"/>
            <w:tcBorders>
              <w:top w:val="single" w:sz="8" w:space="0" w:color="000000"/>
              <w:bottom w:val="single" w:sz="8" w:space="0" w:color="000000"/>
              <w:right w:val="single" w:sz="8" w:space="0" w:color="000000"/>
            </w:tcBorders>
            <w:shd w:fill="C55A11" w:val="clear"/>
            <w:vAlign w:val="bottom"/>
          </w:tcPr>
          <w:p>
            <w:pPr>
              <w:pStyle w:val="Normal"/>
              <w:rPr>
                <w:rFonts w:ascii="Cambria" w:hAnsi="Cambria" w:cs="Calibri"/>
                <w:b/>
                <w:bCs/>
                <w:color w:val="FFFFFF"/>
                <w:sz w:val="20"/>
                <w:szCs w:val="20"/>
              </w:rPr>
            </w:pPr>
            <w:r>
              <w:rPr>
                <w:rFonts w:cs="Calibri" w:ascii="Cambria" w:hAnsi="Cambria"/>
                <w:b/>
                <w:bCs/>
                <w:color w:val="FFFFFF"/>
                <w:sz w:val="20"/>
                <w:szCs w:val="20"/>
              </w:rPr>
              <w:t>Montant (F.CFA)</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Éplucheuse électrique</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400 000</w:t>
            </w:r>
          </w:p>
        </w:tc>
        <w:tc>
          <w:tcPr>
            <w:tcW w:w="1418" w:type="dxa"/>
            <w:tcBorders>
              <w:top w:val="single" w:sz="4" w:space="0" w:color="000000"/>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400 000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color w:val="000000"/>
                <w:sz w:val="22"/>
                <w:szCs w:val="22"/>
              </w:rPr>
            </w:pPr>
            <w:r>
              <w:rPr>
                <w:color w:val="000000"/>
                <w:sz w:val="22"/>
                <w:szCs w:val="22"/>
              </w:rPr>
              <w:t>Trancheuse / râpe</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300 000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300 000</w:t>
            </w:r>
          </w:p>
        </w:tc>
      </w:tr>
      <w:tr>
        <w:trPr>
          <w:trHeight w:val="31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jc w:val="both"/>
              <w:rPr>
                <w:color w:val="000000"/>
                <w:sz w:val="22"/>
                <w:szCs w:val="22"/>
              </w:rPr>
            </w:pPr>
            <w:r>
              <w:rPr>
                <w:color w:val="000000"/>
                <w:sz w:val="22"/>
                <w:szCs w:val="22"/>
              </w:rPr>
              <w:t>Friteuse professionnelle</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500 000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500 000</w:t>
            </w:r>
          </w:p>
        </w:tc>
      </w:tr>
      <w:tr>
        <w:trPr>
          <w:trHeight w:val="255" w:hRule="atLeast"/>
        </w:trPr>
        <w:tc>
          <w:tcPr>
            <w:tcW w:w="3899" w:type="dxa"/>
            <w:tcBorders>
              <w:top w:val="single" w:sz="4" w:space="0" w:color="000000"/>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Séchoir solaire</w:t>
            </w:r>
          </w:p>
        </w:tc>
        <w:tc>
          <w:tcPr>
            <w:tcW w:w="100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300 000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600 000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rFonts w:ascii="Cambria" w:hAnsi="Cambria" w:cs="Calibri"/>
                <w:color w:val="000000"/>
                <w:sz w:val="20"/>
                <w:szCs w:val="20"/>
              </w:rPr>
            </w:pPr>
            <w:r>
              <w:rPr>
                <w:rFonts w:cs="Calibri" w:ascii="Cambria" w:hAnsi="Cambria"/>
                <w:color w:val="000000"/>
                <w:sz w:val="20"/>
                <w:szCs w:val="20"/>
              </w:rPr>
              <w:t>Broyeur / moulin</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350 000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350 000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rFonts w:ascii="Cambria" w:hAnsi="Cambria" w:cs="Calibri"/>
                <w:color w:val="000000"/>
                <w:sz w:val="20"/>
                <w:szCs w:val="20"/>
              </w:rPr>
            </w:pPr>
            <w:r>
              <w:rPr>
                <w:rFonts w:cs="Calibri" w:ascii="Cambria" w:hAnsi="Cambria"/>
                <w:color w:val="000000"/>
                <w:sz w:val="20"/>
                <w:szCs w:val="20"/>
              </w:rPr>
              <w:t>Mixeur industriel</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250 000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250 000</w:t>
            </w:r>
          </w:p>
        </w:tc>
      </w:tr>
      <w:tr>
        <w:trPr>
          <w:trHeight w:val="255" w:hRule="atLeast"/>
        </w:trPr>
        <w:tc>
          <w:tcPr>
            <w:tcW w:w="3899" w:type="dxa"/>
            <w:tcBorders>
              <w:top w:val="single" w:sz="4" w:space="0" w:color="000000"/>
              <w:left w:val="single" w:sz="4" w:space="0" w:color="000000"/>
              <w:bottom w:val="single" w:sz="4" w:space="0" w:color="000000"/>
            </w:tcBorders>
            <w:shd w:fill="FFFFFF" w:val="clear"/>
            <w:vAlign w:val="bottom"/>
          </w:tcPr>
          <w:p>
            <w:pPr>
              <w:pStyle w:val="Normal"/>
              <w:rPr>
                <w:rFonts w:ascii="Cambria" w:hAnsi="Cambria" w:cs="Calibri"/>
                <w:color w:val="000000"/>
                <w:sz w:val="20"/>
                <w:szCs w:val="20"/>
              </w:rPr>
            </w:pPr>
            <w:r>
              <w:rPr>
                <w:rFonts w:cs="Calibri" w:ascii="Cambria" w:hAnsi="Cambria"/>
                <w:color w:val="000000"/>
                <w:sz w:val="20"/>
                <w:szCs w:val="20"/>
              </w:rPr>
              <w:t>Petit matériel divers (1 lot)</w:t>
            </w:r>
          </w:p>
        </w:tc>
        <w:tc>
          <w:tcPr>
            <w:tcW w:w="1001" w:type="dxa"/>
            <w:tcBorders>
              <w:left w:val="single" w:sz="4" w:space="0" w:color="000000"/>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w:t>
            </w:r>
          </w:p>
        </w:tc>
        <w:tc>
          <w:tcPr>
            <w:tcW w:w="1346"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100 000</w:t>
            </w:r>
          </w:p>
        </w:tc>
        <w:tc>
          <w:tcPr>
            <w:tcW w:w="1418" w:type="dxa"/>
            <w:tcBorders>
              <w:bottom w:val="single" w:sz="4" w:space="0" w:color="000000"/>
              <w:right w:val="single" w:sz="4" w:space="0" w:color="000000"/>
            </w:tcBorders>
            <w:vAlign w:val="center"/>
          </w:tcPr>
          <w:p>
            <w:pPr>
              <w:pStyle w:val="Normal"/>
              <w:ind w:firstLine="200" w:right="0"/>
              <w:jc w:val="right"/>
              <w:rPr>
                <w:rFonts w:ascii="Cambria" w:hAnsi="Cambria" w:cs="Calibri"/>
                <w:sz w:val="20"/>
                <w:szCs w:val="20"/>
              </w:rPr>
            </w:pPr>
            <w:r>
              <w:rPr>
                <w:rFonts w:cs="Calibri" w:ascii="Cambria" w:hAnsi="Cambria"/>
                <w:sz w:val="20"/>
                <w:szCs w:val="20"/>
              </w:rPr>
              <w:t>100 000</w:t>
            </w:r>
          </w:p>
        </w:tc>
      </w:tr>
      <w:tr>
        <w:trPr>
          <w:trHeight w:val="270" w:hRule="atLeast"/>
        </w:trPr>
        <w:tc>
          <w:tcPr>
            <w:tcW w:w="3899" w:type="dxa"/>
            <w:tcBorders>
              <w:left w:val="single" w:sz="4" w:space="0" w:color="000000"/>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TOTAL</w:t>
            </w:r>
          </w:p>
        </w:tc>
        <w:tc>
          <w:tcPr>
            <w:tcW w:w="1001"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346" w:type="dxa"/>
            <w:tcBorders>
              <w:bottom w:val="single" w:sz="8"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418" w:type="dxa"/>
            <w:tcBorders>
              <w:bottom w:val="single" w:sz="8" w:space="0" w:color="000000"/>
              <w:right w:val="single" w:sz="4" w:space="0" w:color="000000"/>
            </w:tcBorders>
            <w:shd w:fill="ACB9CA" w:val="clear"/>
            <w:vAlign w:val="center"/>
          </w:tcPr>
          <w:p>
            <w:pPr>
              <w:pStyle w:val="Normal"/>
              <w:ind w:firstLine="201" w:right="0"/>
              <w:jc w:val="right"/>
              <w:rPr>
                <w:rFonts w:ascii="Cambria" w:hAnsi="Cambria" w:cs="Calibri"/>
                <w:b/>
                <w:bCs/>
                <w:sz w:val="20"/>
                <w:szCs w:val="20"/>
              </w:rPr>
            </w:pPr>
            <w:r>
              <w:rPr>
                <w:rFonts w:cs="Calibri" w:ascii="Cambria" w:hAnsi="Cambria"/>
                <w:b/>
                <w:bCs/>
                <w:sz w:val="20"/>
                <w:szCs w:val="20"/>
              </w:rPr>
              <w:t>2 500 000</w:t>
            </w:r>
          </w:p>
        </w:tc>
      </w:tr>
    </w:tbl>
    <w:p>
      <w:pPr>
        <w:pStyle w:val="Normal"/>
        <w:rPr>
          <w:b/>
          <w:bCs/>
          <w:sz w:val="22"/>
          <w:szCs w:val="22"/>
          <w:lang w:eastAsia="fr-CA"/>
        </w:rPr>
      </w:pPr>
      <w:r>
        <w:rPr>
          <w:b/>
          <w:bCs/>
          <w:sz w:val="22"/>
          <w:szCs w:val="22"/>
          <w:lang w:eastAsia="fr-CA"/>
        </w:rPr>
      </w:r>
    </w:p>
    <w:tbl>
      <w:tblPr>
        <w:tblW w:w="7420" w:type="dxa"/>
        <w:jc w:val="left"/>
        <w:tblInd w:w="60" w:type="dxa"/>
        <w:tblLayout w:type="fixed"/>
        <w:tblCellMar>
          <w:top w:w="0" w:type="dxa"/>
          <w:left w:w="70" w:type="dxa"/>
          <w:bottom w:w="0" w:type="dxa"/>
          <w:right w:w="70" w:type="dxa"/>
        </w:tblCellMar>
      </w:tblPr>
      <w:tblGrid>
        <w:gridCol w:w="3899"/>
        <w:gridCol w:w="1001"/>
        <w:gridCol w:w="999"/>
        <w:gridCol w:w="1520"/>
      </w:tblGrid>
      <w:tr>
        <w:trPr>
          <w:trHeight w:val="255" w:hRule="atLeast"/>
        </w:trPr>
        <w:tc>
          <w:tcPr>
            <w:tcW w:w="3899" w:type="dxa"/>
            <w:tcBorders/>
            <w:shd w:fill="FFFFFF" w:val="clear"/>
            <w:vAlign w:val="bottom"/>
          </w:tcPr>
          <w:p>
            <w:pPr>
              <w:pStyle w:val="Normal"/>
              <w:snapToGrid w:val="false"/>
              <w:rPr>
                <w:rFonts w:ascii="Cambria" w:hAnsi="Cambria" w:cs="Calibri"/>
                <w:b/>
                <w:bCs/>
                <w:sz w:val="20"/>
                <w:szCs w:val="20"/>
              </w:rPr>
            </w:pPr>
            <w:r>
              <w:rPr>
                <w:rFonts w:cs="Calibri" w:ascii="Cambria" w:hAnsi="Cambria"/>
                <w:b/>
                <w:bCs/>
                <w:sz w:val="20"/>
                <w:szCs w:val="20"/>
              </w:rPr>
            </w:r>
          </w:p>
        </w:tc>
        <w:tc>
          <w:tcPr>
            <w:tcW w:w="1001" w:type="dxa"/>
            <w:tcBorders/>
            <w:shd w:fill="FFFFFF" w:val="clear"/>
            <w:vAlign w:val="bottom"/>
          </w:tcPr>
          <w:p>
            <w:pPr>
              <w:pStyle w:val="Normal"/>
              <w:rPr>
                <w:rFonts w:ascii="Cambria" w:hAnsi="Cambria" w:cs="Calibri"/>
                <w:sz w:val="20"/>
                <w:szCs w:val="20"/>
              </w:rPr>
            </w:pPr>
            <w:r>
              <w:rPr/>
            </w:r>
          </w:p>
        </w:tc>
        <w:tc>
          <w:tcPr>
            <w:tcW w:w="999" w:type="dxa"/>
            <w:tcBorders/>
            <w:shd w:fill="FFFFFF" w:val="clear"/>
            <w:vAlign w:val="bottom"/>
          </w:tcPr>
          <w:p>
            <w:pPr>
              <w:pStyle w:val="Normal"/>
              <w:rPr>
                <w:rFonts w:ascii="Cambria" w:hAnsi="Cambria" w:cs="Calibri"/>
                <w:sz w:val="20"/>
                <w:szCs w:val="20"/>
              </w:rPr>
            </w:pPr>
            <w:r>
              <w:rPr/>
            </w:r>
          </w:p>
        </w:tc>
        <w:tc>
          <w:tcPr>
            <w:tcW w:w="1520" w:type="dxa"/>
            <w:tcBorders/>
            <w:shd w:fill="FFFFFF" w:val="clear"/>
            <w:vAlign w:val="bottom"/>
          </w:tcPr>
          <w:p>
            <w:pPr>
              <w:pStyle w:val="Normal"/>
              <w:rPr>
                <w:rFonts w:ascii="Cambria" w:hAnsi="Cambria" w:cs="Calibri"/>
                <w:sz w:val="20"/>
                <w:szCs w:val="20"/>
              </w:rPr>
            </w:pPr>
            <w:r>
              <w:rPr/>
            </w:r>
          </w:p>
        </w:tc>
      </w:tr>
    </w:tbl>
    <w:p>
      <w:pPr>
        <w:pStyle w:val="Heading2"/>
        <w:keepLines/>
        <w:numPr>
          <w:ilvl w:val="0"/>
          <w:numId w:val="16"/>
        </w:numPr>
        <w:spacing w:before="120" w:after="120"/>
        <w:ind w:hanging="360" w:left="720" w:right="0"/>
        <w:jc w:val="both"/>
        <w:rPr>
          <w:rFonts w:ascii="Times New Roman" w:hAnsi="Times New Roman" w:cs="Times New Roman"/>
          <w:i w:val="false"/>
          <w:i w:val="false"/>
          <w:iCs w:val="false"/>
          <w:sz w:val="22"/>
          <w:szCs w:val="22"/>
          <w:lang w:val="fr-CI"/>
        </w:rPr>
      </w:pPr>
      <w:bookmarkStart w:id="12" w:name="__RefHeading___Toc234831711"/>
      <w:bookmarkEnd w:id="12"/>
      <w:r>
        <w:rPr>
          <w:rFonts w:cs="Times New Roman" w:ascii="Times New Roman" w:hAnsi="Times New Roman"/>
          <w:i w:val="false"/>
          <w:iCs w:val="false"/>
          <w:sz w:val="22"/>
          <w:szCs w:val="22"/>
          <w:lang w:val="fr-CI"/>
        </w:rPr>
        <w:t>Le processus de production :</w:t>
      </w:r>
    </w:p>
    <w:p>
      <w:pPr>
        <w:pStyle w:val="ds-markdown-paragraph"/>
        <w:shd w:val="clear" w:fill="FFFFFF"/>
        <w:spacing w:before="0" w:after="0"/>
        <w:ind w:left="360" w:right="0"/>
        <w:rPr>
          <w:color w:val="0F1115"/>
        </w:rPr>
      </w:pPr>
      <w:r>
        <w:rPr>
          <w:rStyle w:val="Strong"/>
          <w:color w:val="0F1115"/>
        </w:rPr>
        <w:t>Chips :</w:t>
      </w:r>
      <w:r>
        <w:rPr>
          <w:color w:val="0F1115"/>
        </w:rPr>
        <w:t xml:space="preserve"> Lavage → Épluchage → Tranchage → Friture → Salage → Emballage.</w:t>
      </w:r>
    </w:p>
    <w:p>
      <w:pPr>
        <w:pStyle w:val="ds-markdown-paragraph"/>
        <w:shd w:val="clear" w:fill="FFFFFF"/>
        <w:spacing w:before="0" w:after="0"/>
        <w:rPr>
          <w:color w:val="0F1115"/>
        </w:rPr>
      </w:pPr>
      <w:r>
        <w:rPr>
          <w:rStyle w:val="Strong"/>
          <w:color w:val="0F1115"/>
        </w:rPr>
        <w:t xml:space="preserve">     </w:t>
      </w:r>
      <w:r>
        <w:rPr>
          <w:rStyle w:val="Strong"/>
          <w:color w:val="0F1115"/>
        </w:rPr>
        <w:t>Poudre :</w:t>
      </w:r>
      <w:r>
        <w:rPr>
          <w:color w:val="0F1115"/>
        </w:rPr>
        <w:t xml:space="preserve"> Lavage → Épluchage → Cuisson → Séchage → Broyage → Tamisage → Emballage.</w:t>
      </w:r>
    </w:p>
    <w:p>
      <w:pPr>
        <w:pStyle w:val="ds-markdown-paragraph"/>
        <w:shd w:val="clear" w:fill="FFFFFF"/>
        <w:spacing w:before="0" w:after="0"/>
        <w:rPr>
          <w:color w:val="0F1115"/>
        </w:rPr>
      </w:pPr>
      <w:r>
        <w:rPr>
          <w:rStyle w:val="Strong"/>
          <w:color w:val="0F1115"/>
        </w:rPr>
        <w:t xml:space="preserve">   </w:t>
      </w:r>
      <w:r>
        <w:rPr>
          <w:rStyle w:val="Strong"/>
          <w:color w:val="0F1115"/>
        </w:rPr>
        <w:t>Crêpes :</w:t>
      </w:r>
      <w:r>
        <w:rPr>
          <w:color w:val="0F1115"/>
        </w:rPr>
        <w:t xml:space="preserve"> Lavage → Épluchage → Cuisson → Écrasage → Mélange → Cuisson → Emballage.</w:t>
      </w:r>
    </w:p>
    <w:p>
      <w:pPr>
        <w:pStyle w:val="ds-markdown-paragraph"/>
        <w:shd w:val="clear" w:fill="FFFFFF"/>
        <w:spacing w:before="0" w:after="0"/>
        <w:rPr>
          <w:color w:val="0F1115"/>
        </w:rPr>
      </w:pPr>
      <w:r>
        <w:rPr>
          <w:rStyle w:val="Strong"/>
          <w:color w:val="0F1115"/>
        </w:rPr>
        <w:t>Jus :</w:t>
      </w:r>
      <w:r>
        <w:rPr>
          <w:color w:val="0F1115"/>
        </w:rPr>
        <w:t xml:space="preserve"> Lavage → Épluchage → Pressage → Mélange → Pasteurisation → Conditionnement.</w:t>
      </w:r>
    </w:p>
    <w:p>
      <w:pPr>
        <w:pStyle w:val="ds-markdown-paragraph"/>
        <w:shd w:val="clear" w:fill="FFFFFF"/>
        <w:spacing w:before="0" w:after="0"/>
        <w:rPr>
          <w:color w:val="0F1115"/>
        </w:rPr>
      </w:pPr>
      <w:r>
        <w:rPr>
          <w:rStyle w:val="Strong"/>
          <w:color w:val="0F1115"/>
        </w:rPr>
        <w:t>Bouillie :</w:t>
      </w:r>
      <w:r>
        <w:rPr>
          <w:color w:val="0F1115"/>
        </w:rPr>
        <w:t xml:space="preserve"> Lavage → Épluchage → Cuisson → Séchage → Broyage → Mélange → Emballage.</w:t>
      </w:r>
    </w:p>
    <w:p>
      <w:pPr>
        <w:pStyle w:val="Normal"/>
        <w:rPr/>
      </w:pPr>
      <w:r>
        <w:rPr/>
        <w:t xml:space="preserve">Le processus de production au niveau de l'unité de transformation </w:t>
      </w:r>
      <w:r>
        <w:rPr>
          <w:b/>
          <w:bCs/>
        </w:rPr>
        <w:t>DIJA SAVEURS DE PATATE DOUCE</w:t>
      </w:r>
      <w:r>
        <w:rPr/>
        <w:t xml:space="preserve"> comprend :</w:t>
      </w:r>
    </w:p>
    <w:p>
      <w:pPr>
        <w:pStyle w:val="Normal"/>
        <w:numPr>
          <w:ilvl w:val="0"/>
          <w:numId w:val="3"/>
        </w:numPr>
        <w:rPr/>
      </w:pPr>
      <w:r>
        <w:rPr>
          <w:b/>
          <w:bCs/>
        </w:rPr>
        <w:t>Approvisionnement et tri de la patate douce</w:t>
      </w:r>
      <w:r>
        <w:rPr/>
        <w:br/>
        <w:t>La patate douce est achetée auprès des producteurs locaux de Banankabougou et environs. Elle est triée pour éliminer les tubercules abîmés ou non conformes, garantissant ainsi la qualité des produits finis.</w:t>
      </w:r>
    </w:p>
    <w:p>
      <w:pPr>
        <w:pStyle w:val="Normal"/>
        <w:numPr>
          <w:ilvl w:val="0"/>
          <w:numId w:val="3"/>
        </w:numPr>
        <w:rPr/>
      </w:pPr>
      <w:r>
        <w:rPr>
          <w:b/>
          <w:bCs/>
        </w:rPr>
        <w:t>Lavage et épluchage</w:t>
      </w:r>
      <w:r>
        <w:rPr/>
        <w:br/>
        <w:t>Les tubercules sont lavés à l'eau propre puis épluchés manuellement ou à l'aide d'une éplucheuse électrique, selon le produit à transformer.</w:t>
      </w:r>
    </w:p>
    <w:p>
      <w:pPr>
        <w:pStyle w:val="Normal"/>
        <w:numPr>
          <w:ilvl w:val="0"/>
          <w:numId w:val="3"/>
        </w:numPr>
        <w:rPr/>
      </w:pPr>
      <w:r>
        <w:rPr>
          <w:b/>
          <w:bCs/>
        </w:rPr>
        <w:t>Transformation selon le produit</w:t>
      </w:r>
    </w:p>
    <w:p>
      <w:pPr>
        <w:pStyle w:val="Normal"/>
        <w:numPr>
          <w:ilvl w:val="1"/>
          <w:numId w:val="3"/>
        </w:numPr>
        <w:rPr/>
      </w:pPr>
      <w:r>
        <w:rPr>
          <w:b/>
          <w:bCs/>
        </w:rPr>
        <w:t>Chips (nature et épicé) :</w:t>
      </w:r>
      <w:r>
        <w:rPr/>
        <w:t xml:space="preserve"> tranchage fin → friture → salage ou épicage → emballage en sachets de 100 g.</w:t>
      </w:r>
    </w:p>
    <w:p>
      <w:pPr>
        <w:pStyle w:val="Normal"/>
        <w:numPr>
          <w:ilvl w:val="1"/>
          <w:numId w:val="3"/>
        </w:numPr>
        <w:rPr/>
      </w:pPr>
      <w:r>
        <w:rPr>
          <w:b/>
          <w:bCs/>
        </w:rPr>
        <w:t>Poudre :</w:t>
      </w:r>
      <w:r>
        <w:rPr/>
        <w:t xml:space="preserve"> cuisson → séchage (séchoir solaire) → broyage → tamisage → conditionnement en sachets de 500 g.</w:t>
      </w:r>
    </w:p>
    <w:p>
      <w:pPr>
        <w:pStyle w:val="Normal"/>
        <w:numPr>
          <w:ilvl w:val="1"/>
          <w:numId w:val="3"/>
        </w:numPr>
        <w:rPr/>
      </w:pPr>
      <w:r>
        <w:rPr>
          <w:b/>
          <w:bCs/>
        </w:rPr>
        <w:t>Crêpes :</w:t>
      </w:r>
      <w:r>
        <w:rPr/>
        <w:t xml:space="preserve"> cuisson → écrasage → mélange → cuisson finale → conditionnement en paquets de 6.</w:t>
      </w:r>
    </w:p>
    <w:p>
      <w:pPr>
        <w:pStyle w:val="Normal"/>
        <w:numPr>
          <w:ilvl w:val="1"/>
          <w:numId w:val="3"/>
        </w:numPr>
        <w:rPr/>
      </w:pPr>
      <w:r>
        <w:rPr>
          <w:b/>
          <w:bCs/>
        </w:rPr>
        <w:t>Jus :</w:t>
      </w:r>
      <w:r>
        <w:rPr/>
        <w:t xml:space="preserve"> pressage → mélange (pois sucré, lait de coco, autres fruits) → pasteurisation → conditionnement en bouteilles de 50 cl.</w:t>
      </w:r>
    </w:p>
    <w:p>
      <w:pPr>
        <w:pStyle w:val="Normal"/>
        <w:numPr>
          <w:ilvl w:val="1"/>
          <w:numId w:val="3"/>
        </w:numPr>
        <w:rPr/>
      </w:pPr>
      <w:r>
        <w:rPr>
          <w:b/>
          <w:bCs/>
        </w:rPr>
        <w:t>Bouillie infantile :</w:t>
      </w:r>
      <w:r>
        <w:rPr/>
        <w:t xml:space="preserve"> cuisson → séchage → broyage → mélange enrichi → conditionnement en sachets de 1 kg.</w:t>
      </w:r>
    </w:p>
    <w:p>
      <w:pPr>
        <w:pStyle w:val="Normal"/>
        <w:numPr>
          <w:ilvl w:val="0"/>
          <w:numId w:val="3"/>
        </w:numPr>
        <w:rPr/>
      </w:pPr>
      <w:r>
        <w:rPr>
          <w:b/>
          <w:bCs/>
        </w:rPr>
        <w:t>Contrôle qualité et conditionnement</w:t>
      </w:r>
      <w:r>
        <w:rPr/>
        <w:br/>
        <w:t xml:space="preserve">Chaque lot est contrôlé avant emballage : vérification de l'hygiène, du goût, de la texture et de la conformité du poids. L'emballage est moderne et porte la marque </w:t>
      </w:r>
      <w:r>
        <w:rPr>
          <w:b/>
          <w:bCs/>
        </w:rPr>
        <w:t>DIJA SAVEURS DE PATATE DOUCE</w:t>
      </w:r>
      <w:r>
        <w:rPr/>
        <w:t>.</w:t>
      </w:r>
    </w:p>
    <w:p>
      <w:pPr>
        <w:pStyle w:val="Normal"/>
        <w:numPr>
          <w:ilvl w:val="0"/>
          <w:numId w:val="3"/>
        </w:numPr>
        <w:rPr/>
      </w:pPr>
      <w:r>
        <w:rPr>
          <w:b/>
          <w:bCs/>
        </w:rPr>
        <w:t>Stockage et commercialisation</w:t>
      </w:r>
      <w:r>
        <w:rPr/>
        <w:br/>
        <w:t>Les produits finis sont stockés dans un local sec et aéré, à l'abri de l'humidité. La commercialisation se fait auprès des ménages, supermarchés, pharmacies, marchés locaux et écoles de Bamako et environs.</w:t>
      </w:r>
    </w:p>
    <w:p>
      <w:pPr>
        <w:pStyle w:val="Normal"/>
        <w:rPr/>
      </w:pPr>
      <w:r>
        <w:rPr/>
        <w:t xml:space="preserve">La capacité de production de </w:t>
      </w:r>
      <w:r>
        <w:rPr>
          <w:b/>
          <w:bCs/>
        </w:rPr>
        <w:t>DIJA SAVEURS DE PATATE DOUCE</w:t>
      </w:r>
      <w:r>
        <w:rPr/>
        <w:t xml:space="preserve"> est définie dans la projection de vente ci-dessous :</w:t>
      </w:r>
    </w:p>
    <w:tbl>
      <w:tblPr>
        <w:tblW w:w="9885" w:type="dxa"/>
        <w:jc w:val="left"/>
        <w:tblInd w:w="-5" w:type="dxa"/>
        <w:tblLayout w:type="fixed"/>
        <w:tblCellMar>
          <w:top w:w="150" w:type="dxa"/>
          <w:left w:w="5" w:type="dxa"/>
          <w:bottom w:w="150" w:type="dxa"/>
          <w:right w:w="235" w:type="dxa"/>
        </w:tblCellMar>
      </w:tblPr>
      <w:tblGrid>
        <w:gridCol w:w="1942"/>
        <w:gridCol w:w="1489"/>
        <w:gridCol w:w="1280"/>
        <w:gridCol w:w="1319"/>
        <w:gridCol w:w="1361"/>
        <w:gridCol w:w="1374"/>
        <w:gridCol w:w="1119"/>
      </w:tblGrid>
      <w:tr>
        <w:trPr>
          <w:tblHeader w:val="true"/>
        </w:trPr>
        <w:tc>
          <w:tcPr>
            <w:tcW w:w="1942" w:type="dxa"/>
            <w:tcBorders>
              <w:top w:val="single" w:sz="4" w:space="0" w:color="000000"/>
              <w:left w:val="single" w:sz="4" w:space="0" w:color="000000"/>
              <w:bottom w:val="single" w:sz="4" w:space="0" w:color="000000"/>
              <w:right w:val="single" w:sz="4" w:space="0" w:color="000000"/>
            </w:tcBorders>
            <w:vAlign w:val="center"/>
          </w:tcPr>
          <w:p>
            <w:pPr>
              <w:pStyle w:val="Normal"/>
              <w:rPr/>
            </w:pPr>
            <w:r>
              <w:rPr/>
              <w:t>Désignation</w:t>
            </w:r>
          </w:p>
        </w:tc>
        <w:tc>
          <w:tcPr>
            <w:tcW w:w="148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Unité</w:t>
            </w:r>
          </w:p>
        </w:tc>
        <w:tc>
          <w:tcPr>
            <w:tcW w:w="128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Qté/jour</w:t>
            </w:r>
          </w:p>
        </w:tc>
        <w:tc>
          <w:tcPr>
            <w:tcW w:w="131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Qté/Sem</w:t>
            </w:r>
          </w:p>
        </w:tc>
        <w:tc>
          <w:tcPr>
            <w:tcW w:w="1361"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Qté/mois</w:t>
            </w:r>
          </w:p>
        </w:tc>
        <w:tc>
          <w:tcPr>
            <w:tcW w:w="137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Qté/Trim</w:t>
            </w:r>
          </w:p>
        </w:tc>
        <w:tc>
          <w:tcPr>
            <w:tcW w:w="111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Qté/an</w:t>
            </w:r>
          </w:p>
        </w:tc>
      </w:tr>
      <w:tr>
        <w:trPr/>
        <w:tc>
          <w:tcPr>
            <w:tcW w:w="1942" w:type="dxa"/>
            <w:tcBorders>
              <w:top w:val="single" w:sz="4" w:space="0" w:color="000000"/>
              <w:left w:val="single" w:sz="4" w:space="0" w:color="000000"/>
              <w:bottom w:val="single" w:sz="4" w:space="0" w:color="000000"/>
              <w:right w:val="single" w:sz="4" w:space="0" w:color="000000"/>
            </w:tcBorders>
            <w:vAlign w:val="center"/>
          </w:tcPr>
          <w:p>
            <w:pPr>
              <w:pStyle w:val="Normal"/>
              <w:rPr/>
            </w:pPr>
            <w:r>
              <w:rPr/>
              <w:t>Vente Chips (nature/épicé)</w:t>
            </w:r>
          </w:p>
        </w:tc>
        <w:tc>
          <w:tcPr>
            <w:tcW w:w="148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Sachet 100 g</w:t>
            </w:r>
          </w:p>
        </w:tc>
        <w:tc>
          <w:tcPr>
            <w:tcW w:w="128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20</w:t>
            </w:r>
          </w:p>
        </w:tc>
        <w:tc>
          <w:tcPr>
            <w:tcW w:w="131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120</w:t>
            </w:r>
          </w:p>
        </w:tc>
        <w:tc>
          <w:tcPr>
            <w:tcW w:w="1361"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500</w:t>
            </w:r>
          </w:p>
        </w:tc>
        <w:tc>
          <w:tcPr>
            <w:tcW w:w="137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1 500</w:t>
            </w:r>
          </w:p>
        </w:tc>
        <w:tc>
          <w:tcPr>
            <w:tcW w:w="1119"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pPr>
            <w:r>
              <w:rPr/>
              <w:t>6 000</w:t>
            </w:r>
          </w:p>
        </w:tc>
      </w:tr>
      <w:tr>
        <w:trPr/>
        <w:tc>
          <w:tcPr>
            <w:tcW w:w="1942" w:type="dxa"/>
            <w:tcBorders>
              <w:top w:val="single" w:sz="4" w:space="0" w:color="000000"/>
              <w:left w:val="single" w:sz="4" w:space="0" w:color="000000"/>
              <w:bottom w:val="single" w:sz="4" w:space="0" w:color="000000"/>
              <w:right w:val="single" w:sz="4" w:space="0" w:color="000000"/>
            </w:tcBorders>
            <w:vAlign w:val="center"/>
          </w:tcPr>
          <w:p>
            <w:pPr>
              <w:pStyle w:val="Normal"/>
              <w:rPr/>
            </w:pPr>
            <w:r>
              <w:rPr/>
              <w:t>Vente Poudre de patate douce</w:t>
            </w:r>
          </w:p>
        </w:tc>
        <w:tc>
          <w:tcPr>
            <w:tcW w:w="148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Sachet 500 g</w:t>
            </w:r>
          </w:p>
        </w:tc>
        <w:tc>
          <w:tcPr>
            <w:tcW w:w="128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3</w:t>
            </w:r>
          </w:p>
        </w:tc>
        <w:tc>
          <w:tcPr>
            <w:tcW w:w="131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20</w:t>
            </w:r>
          </w:p>
        </w:tc>
        <w:tc>
          <w:tcPr>
            <w:tcW w:w="1361"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83</w:t>
            </w:r>
          </w:p>
        </w:tc>
        <w:tc>
          <w:tcPr>
            <w:tcW w:w="137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250</w:t>
            </w:r>
          </w:p>
        </w:tc>
        <w:tc>
          <w:tcPr>
            <w:tcW w:w="1119"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pPr>
            <w:r>
              <w:rPr/>
              <w:t>1 000</w:t>
            </w:r>
          </w:p>
        </w:tc>
      </w:tr>
      <w:tr>
        <w:trPr/>
        <w:tc>
          <w:tcPr>
            <w:tcW w:w="1942" w:type="dxa"/>
            <w:tcBorders>
              <w:top w:val="single" w:sz="4" w:space="0" w:color="000000"/>
              <w:left w:val="single" w:sz="4" w:space="0" w:color="000000"/>
              <w:bottom w:val="single" w:sz="4" w:space="0" w:color="000000"/>
              <w:right w:val="single" w:sz="4" w:space="0" w:color="000000"/>
            </w:tcBorders>
            <w:vAlign w:val="center"/>
          </w:tcPr>
          <w:p>
            <w:pPr>
              <w:pStyle w:val="Normal"/>
              <w:rPr/>
            </w:pPr>
            <w:r>
              <w:rPr/>
              <w:t>Vente Crêpes de patate douce</w:t>
            </w:r>
          </w:p>
        </w:tc>
        <w:tc>
          <w:tcPr>
            <w:tcW w:w="148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Paquet de 6</w:t>
            </w:r>
          </w:p>
        </w:tc>
        <w:tc>
          <w:tcPr>
            <w:tcW w:w="128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5</w:t>
            </w:r>
          </w:p>
        </w:tc>
        <w:tc>
          <w:tcPr>
            <w:tcW w:w="131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30</w:t>
            </w:r>
          </w:p>
        </w:tc>
        <w:tc>
          <w:tcPr>
            <w:tcW w:w="1361"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125</w:t>
            </w:r>
          </w:p>
        </w:tc>
        <w:tc>
          <w:tcPr>
            <w:tcW w:w="137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375</w:t>
            </w:r>
          </w:p>
        </w:tc>
        <w:tc>
          <w:tcPr>
            <w:tcW w:w="1119"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pPr>
            <w:r>
              <w:rPr/>
              <w:t>1 500</w:t>
            </w:r>
          </w:p>
        </w:tc>
      </w:tr>
      <w:tr>
        <w:trPr/>
        <w:tc>
          <w:tcPr>
            <w:tcW w:w="1942" w:type="dxa"/>
            <w:tcBorders>
              <w:top w:val="single" w:sz="4" w:space="0" w:color="000000"/>
              <w:left w:val="single" w:sz="4" w:space="0" w:color="000000"/>
              <w:bottom w:val="single" w:sz="4" w:space="0" w:color="000000"/>
              <w:right w:val="single" w:sz="4" w:space="0" w:color="000000"/>
            </w:tcBorders>
            <w:vAlign w:val="center"/>
          </w:tcPr>
          <w:p>
            <w:pPr>
              <w:pStyle w:val="Normal"/>
              <w:rPr/>
            </w:pPr>
            <w:r>
              <w:rPr/>
              <w:t>Vente Jus de patate douce</w:t>
            </w:r>
          </w:p>
        </w:tc>
        <w:tc>
          <w:tcPr>
            <w:tcW w:w="148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Bouteille 50 cl</w:t>
            </w:r>
          </w:p>
        </w:tc>
        <w:tc>
          <w:tcPr>
            <w:tcW w:w="128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10</w:t>
            </w:r>
          </w:p>
        </w:tc>
        <w:tc>
          <w:tcPr>
            <w:tcW w:w="131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60</w:t>
            </w:r>
          </w:p>
        </w:tc>
        <w:tc>
          <w:tcPr>
            <w:tcW w:w="1361"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250</w:t>
            </w:r>
          </w:p>
        </w:tc>
        <w:tc>
          <w:tcPr>
            <w:tcW w:w="137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750</w:t>
            </w:r>
          </w:p>
        </w:tc>
        <w:tc>
          <w:tcPr>
            <w:tcW w:w="1119"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pPr>
            <w:r>
              <w:rPr/>
              <w:t>3 000</w:t>
            </w:r>
          </w:p>
        </w:tc>
      </w:tr>
      <w:tr>
        <w:trPr/>
        <w:tc>
          <w:tcPr>
            <w:tcW w:w="1942" w:type="dxa"/>
            <w:tcBorders>
              <w:top w:val="single" w:sz="4" w:space="0" w:color="000000"/>
              <w:left w:val="single" w:sz="4" w:space="0" w:color="000000"/>
              <w:bottom w:val="single" w:sz="4" w:space="0" w:color="000000"/>
              <w:right w:val="single" w:sz="4" w:space="0" w:color="000000"/>
            </w:tcBorders>
            <w:vAlign w:val="center"/>
          </w:tcPr>
          <w:p>
            <w:pPr>
              <w:pStyle w:val="Normal"/>
              <w:rPr/>
            </w:pPr>
            <w:r>
              <w:rPr/>
              <w:t>Vente Bouillie infantile</w:t>
            </w:r>
          </w:p>
        </w:tc>
        <w:tc>
          <w:tcPr>
            <w:tcW w:w="148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Sachet 1 kg</w:t>
            </w:r>
          </w:p>
        </w:tc>
        <w:tc>
          <w:tcPr>
            <w:tcW w:w="128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2</w:t>
            </w:r>
          </w:p>
        </w:tc>
        <w:tc>
          <w:tcPr>
            <w:tcW w:w="131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10</w:t>
            </w:r>
          </w:p>
        </w:tc>
        <w:tc>
          <w:tcPr>
            <w:tcW w:w="1361"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42</w:t>
            </w:r>
          </w:p>
        </w:tc>
        <w:tc>
          <w:tcPr>
            <w:tcW w:w="137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pPr>
            <w:r>
              <w:rPr/>
              <w:t>125</w:t>
            </w:r>
          </w:p>
        </w:tc>
        <w:tc>
          <w:tcPr>
            <w:tcW w:w="1119"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pPr>
            <w:r>
              <w:rPr/>
              <w:t>500</w:t>
            </w:r>
          </w:p>
        </w:tc>
      </w:tr>
      <w:tr>
        <w:trPr/>
        <w:tc>
          <w:tcPr>
            <w:tcW w:w="1942"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t>TOTAL</w:t>
            </w:r>
          </w:p>
        </w:tc>
        <w:tc>
          <w:tcPr>
            <w:tcW w:w="148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snapToGrid w:val="false"/>
              <w:rPr/>
            </w:pPr>
            <w:r>
              <w:rPr/>
            </w:r>
          </w:p>
        </w:tc>
        <w:tc>
          <w:tcPr>
            <w:tcW w:w="1280"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40</w:t>
            </w:r>
          </w:p>
        </w:tc>
        <w:tc>
          <w:tcPr>
            <w:tcW w:w="1319"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240</w:t>
            </w:r>
          </w:p>
        </w:tc>
        <w:tc>
          <w:tcPr>
            <w:tcW w:w="1361"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1 000</w:t>
            </w:r>
          </w:p>
        </w:tc>
        <w:tc>
          <w:tcPr>
            <w:tcW w:w="1374" w:type="dxa"/>
            <w:tcBorders>
              <w:top w:val="single" w:sz="4" w:space="0" w:color="000000"/>
              <w:left w:val="single" w:sz="4" w:space="0" w:color="000000"/>
              <w:bottom w:val="single" w:sz="4" w:space="0" w:color="000000"/>
              <w:right w:val="single" w:sz="4" w:space="0" w:color="000000"/>
            </w:tcBorders>
            <w:tcMar>
              <w:left w:w="240" w:type="dxa"/>
            </w:tcMar>
            <w:vAlign w:val="center"/>
          </w:tcPr>
          <w:p>
            <w:pPr>
              <w:pStyle w:val="Normal"/>
              <w:rPr>
                <w:b/>
                <w:bCs/>
              </w:rPr>
            </w:pPr>
            <w:r>
              <w:rPr>
                <w:b/>
                <w:bCs/>
              </w:rPr>
              <w:t>3 000</w:t>
            </w:r>
          </w:p>
        </w:tc>
        <w:tc>
          <w:tcPr>
            <w:tcW w:w="1119" w:type="dxa"/>
            <w:tcBorders>
              <w:top w:val="single" w:sz="4" w:space="0" w:color="000000"/>
              <w:left w:val="single" w:sz="4" w:space="0" w:color="000000"/>
              <w:bottom w:val="single" w:sz="4" w:space="0" w:color="000000"/>
              <w:right w:val="single" w:sz="4" w:space="0" w:color="000000"/>
            </w:tcBorders>
            <w:tcMar>
              <w:left w:w="240" w:type="dxa"/>
              <w:right w:w="0" w:type="dxa"/>
            </w:tcMar>
            <w:vAlign w:val="center"/>
          </w:tcPr>
          <w:p>
            <w:pPr>
              <w:pStyle w:val="Normal"/>
              <w:rPr>
                <w:b/>
                <w:bCs/>
              </w:rPr>
            </w:pPr>
            <w:r>
              <w:rPr>
                <w:b/>
                <w:bCs/>
              </w:rPr>
              <w:t>12 000</w:t>
            </w:r>
          </w:p>
        </w:tc>
      </w:tr>
    </w:tbl>
    <w:p>
      <w:pPr>
        <w:pStyle w:val="Normal"/>
        <w:rPr/>
      </w:pPr>
      <w:r>
        <w:rPr/>
      </w:r>
    </w:p>
    <w:p>
      <w:pPr>
        <w:pStyle w:val="Heading2"/>
        <w:keepLines/>
        <w:numPr>
          <w:ilvl w:val="0"/>
          <w:numId w:val="16"/>
        </w:numPr>
        <w:spacing w:before="120" w:after="120"/>
        <w:ind w:hanging="360" w:left="720" w:right="0"/>
        <w:jc w:val="both"/>
        <w:rPr>
          <w:rFonts w:ascii="Times New Roman" w:hAnsi="Times New Roman" w:cs="Times New Roman"/>
          <w:sz w:val="24"/>
          <w:szCs w:val="24"/>
          <w:lang w:val="fr-CI"/>
        </w:rPr>
      </w:pPr>
      <w:bookmarkStart w:id="13" w:name="__RefHeading___Toc234831712"/>
      <w:bookmarkEnd w:id="13"/>
      <w:r>
        <w:rPr>
          <w:rFonts w:cs="Times New Roman" w:ascii="Times New Roman" w:hAnsi="Times New Roman"/>
          <w:i w:val="false"/>
          <w:iCs w:val="false"/>
          <w:sz w:val="24"/>
          <w:szCs w:val="24"/>
          <w:lang w:val="fr-CI"/>
        </w:rPr>
        <w:t xml:space="preserve">Le personnel : </w:t>
      </w:r>
      <w:r>
        <w:rPr>
          <w:rFonts w:cs="Times New Roman" w:ascii="Times New Roman" w:hAnsi="Times New Roman"/>
          <w:sz w:val="24"/>
          <w:szCs w:val="24"/>
          <w:lang w:val="fr-CI"/>
        </w:rPr>
        <w:t>(profil et compétences)</w:t>
      </w:r>
    </w:p>
    <w:p>
      <w:pPr>
        <w:pStyle w:val="Normal"/>
        <w:rPr>
          <w:sz w:val="22"/>
          <w:szCs w:val="22"/>
          <w:lang w:val="fr-CI"/>
        </w:rPr>
      </w:pPr>
      <w:r>
        <w:rPr>
          <w:sz w:val="22"/>
          <w:szCs w:val="22"/>
          <w:lang w:val="fr-CI"/>
        </w:rPr>
        <w:t xml:space="preserve">L’entreprise emploie cinq (5) femmes : deux (2) en permanence (la gérante et la responsable de production) et trois (3) ouvrières saisonnières. </w:t>
      </w:r>
    </w:p>
    <w:tbl>
      <w:tblPr>
        <w:tblW w:w="4750" w:type="pct"/>
        <w:jc w:val="center"/>
        <w:tblInd w:w="0" w:type="dxa"/>
        <w:tblLayout w:type="fixed"/>
        <w:tblCellMar>
          <w:top w:w="0" w:type="dxa"/>
          <w:left w:w="70" w:type="dxa"/>
          <w:bottom w:w="0" w:type="dxa"/>
          <w:right w:w="70" w:type="dxa"/>
        </w:tblCellMar>
      </w:tblPr>
      <w:tblGrid>
        <w:gridCol w:w="2549"/>
        <w:gridCol w:w="963"/>
        <w:gridCol w:w="1002"/>
        <w:gridCol w:w="2269"/>
        <w:gridCol w:w="1072"/>
        <w:gridCol w:w="1302"/>
      </w:tblGrid>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both"/>
              <w:rPr>
                <w:rFonts w:ascii="Cambria" w:hAnsi="Cambria" w:cs="Arial"/>
                <w:b/>
                <w:bCs/>
                <w:sz w:val="22"/>
                <w:szCs w:val="22"/>
                <w:lang w:val="fr-ML" w:eastAsia="fr-ML"/>
              </w:rPr>
            </w:pPr>
            <w:r>
              <w:rPr>
                <w:rFonts w:cs="Arial" w:ascii="Cambria" w:hAnsi="Cambria"/>
                <w:b/>
                <w:bCs/>
                <w:sz w:val="22"/>
                <w:szCs w:val="22"/>
              </w:rPr>
              <w:t>Noms et Prénoms</w:t>
            </w:r>
          </w:p>
        </w:tc>
        <w:tc>
          <w:tcPr>
            <w:tcW w:w="963"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Sexe</w:t>
            </w:r>
          </w:p>
        </w:tc>
        <w:tc>
          <w:tcPr>
            <w:tcW w:w="10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Nombre</w:t>
            </w:r>
          </w:p>
        </w:tc>
        <w:tc>
          <w:tcPr>
            <w:tcW w:w="226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Poste</w:t>
            </w:r>
          </w:p>
        </w:tc>
        <w:tc>
          <w:tcPr>
            <w:tcW w:w="107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Salaire mensuel</w:t>
            </w:r>
          </w:p>
        </w:tc>
        <w:tc>
          <w:tcPr>
            <w:tcW w:w="1302"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jc w:val="center"/>
              <w:rPr>
                <w:rFonts w:ascii="Cambria" w:hAnsi="Cambria" w:cs="Arial"/>
                <w:b/>
                <w:bCs/>
                <w:sz w:val="22"/>
                <w:szCs w:val="22"/>
              </w:rPr>
            </w:pPr>
            <w:r>
              <w:rPr>
                <w:rFonts w:cs="Arial" w:ascii="Cambria" w:hAnsi="Cambria"/>
                <w:b/>
                <w:bCs/>
                <w:sz w:val="22"/>
                <w:szCs w:val="22"/>
              </w:rPr>
              <w:t>Montant annuel</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tbl>
            <w:tblPr>
              <w:tblW w:w="2915" w:type="dxa"/>
              <w:jc w:val="left"/>
              <w:tblInd w:w="0" w:type="dxa"/>
              <w:tblLayout w:type="fixed"/>
              <w:tblCellMar>
                <w:top w:w="150" w:type="dxa"/>
                <w:left w:w="0" w:type="dxa"/>
                <w:bottom w:w="150" w:type="dxa"/>
                <w:right w:w="240" w:type="dxa"/>
              </w:tblCellMar>
            </w:tblPr>
            <w:tblGrid>
              <w:gridCol w:w="2415"/>
              <w:gridCol w:w="499"/>
            </w:tblGrid>
            <w:tr>
              <w:trPr/>
              <w:tc>
                <w:tcPr>
                  <w:tcW w:w="2415" w:type="dxa"/>
                  <w:tcBorders/>
                  <w:shd w:fill="FFFFFF" w:val="clear"/>
                  <w:vAlign w:val="center"/>
                </w:tcPr>
                <w:p>
                  <w:pPr>
                    <w:pStyle w:val="Normal"/>
                    <w:suppressAutoHyphens w:val="false"/>
                    <w:spacing w:lineRule="atLeast" w:line="375"/>
                    <w:rPr>
                      <w:color w:val="0F1115"/>
                      <w:sz w:val="23"/>
                      <w:szCs w:val="23"/>
                      <w:lang w:eastAsia="fr-FR"/>
                    </w:rPr>
                  </w:pPr>
                  <w:r>
                    <w:rPr>
                      <w:color w:val="0F1115"/>
                      <w:sz w:val="23"/>
                      <w:szCs w:val="23"/>
                      <w:lang w:eastAsia="fr-FR"/>
                    </w:rPr>
                    <w:t>Kadidia KARABENTA</w:t>
                  </w:r>
                </w:p>
              </w:tc>
              <w:tc>
                <w:tcPr>
                  <w:tcW w:w="499" w:type="dxa"/>
                  <w:tcBorders/>
                  <w:shd w:fill="FFFFFF" w:val="clear"/>
                  <w:tcMar>
                    <w:left w:w="240" w:type="dxa"/>
                  </w:tcMar>
                  <w:vAlign w:val="center"/>
                </w:tcPr>
                <w:p>
                  <w:pPr>
                    <w:pStyle w:val="Normal"/>
                    <w:suppressAutoHyphens w:val="false"/>
                    <w:snapToGrid w:val="false"/>
                    <w:spacing w:lineRule="atLeast" w:line="375"/>
                    <w:rPr>
                      <w:rFonts w:ascii="Segoe UI" w:hAnsi="Segoe UI" w:cs="Segoe UI"/>
                      <w:color w:val="0F1115"/>
                      <w:sz w:val="23"/>
                      <w:szCs w:val="23"/>
                      <w:lang w:eastAsia="fr-FR"/>
                    </w:rPr>
                  </w:pPr>
                  <w:r>
                    <w:rPr>
                      <w:rFonts w:cs="Segoe UI" w:ascii="Segoe UI" w:hAnsi="Segoe UI"/>
                      <w:color w:val="0F1115"/>
                      <w:sz w:val="23"/>
                      <w:szCs w:val="23"/>
                      <w:lang w:eastAsia="fr-FR"/>
                    </w:rPr>
                  </w:r>
                </w:p>
              </w:tc>
            </w:tr>
          </w:tbl>
          <w:p>
            <w:pPr>
              <w:pStyle w:val="Normal"/>
              <w:jc w:val="both"/>
              <w:rPr>
                <w:sz w:val="22"/>
                <w:szCs w:val="22"/>
                <w:lang w:eastAsia="fr-CA"/>
              </w:rPr>
            </w:pPr>
            <w:r>
              <w:rPr>
                <w:sz w:val="22"/>
                <w:szCs w:val="22"/>
                <w:lang w:eastAsia="fr-CA"/>
              </w:rPr>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F</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Gérante (promotrice)</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lang w:val="fr-CA" w:eastAsia="fr-CA"/>
              </w:rPr>
            </w:pPr>
            <w:r>
              <w:rPr>
                <w:lang w:eastAsia="fr-CA"/>
              </w:rPr>
              <w:t>50 000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lang w:val="fr-CA" w:eastAsia="fr-CA"/>
              </w:rPr>
            </w:pPr>
            <w:r>
              <w:rPr>
                <w:lang w:eastAsia="fr-CA"/>
              </w:rPr>
              <w:t>600 000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Responsable production</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F</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1</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Contractuelle</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lang w:eastAsia="fr-CA"/>
              </w:rPr>
              <w:t>50 000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lang w:eastAsia="fr-CA"/>
              </w:rPr>
              <w:t>600 000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vAlign w:val="bottom"/>
          </w:tcPr>
          <w:p>
            <w:pPr>
              <w:pStyle w:val="Normal"/>
              <w:jc w:val="both"/>
              <w:rPr>
                <w:sz w:val="22"/>
                <w:szCs w:val="22"/>
                <w:lang w:eastAsia="fr-CA"/>
              </w:rPr>
            </w:pPr>
            <w:r>
              <w:rPr>
                <w:sz w:val="22"/>
                <w:szCs w:val="22"/>
                <w:lang w:eastAsia="fr-CA"/>
              </w:rPr>
              <w:t>Ouvrières</w:t>
            </w:r>
          </w:p>
        </w:tc>
        <w:tc>
          <w:tcPr>
            <w:tcW w:w="963"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F</w:t>
            </w:r>
          </w:p>
        </w:tc>
        <w:tc>
          <w:tcPr>
            <w:tcW w:w="100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ria" w:hAnsi="Cambria" w:cs="Arial"/>
                <w:sz w:val="22"/>
                <w:szCs w:val="22"/>
              </w:rPr>
            </w:pPr>
            <w:r>
              <w:rPr>
                <w:rFonts w:cs="Arial" w:ascii="Cambria" w:hAnsi="Cambria"/>
                <w:sz w:val="22"/>
                <w:szCs w:val="22"/>
              </w:rPr>
              <w:t>3</w:t>
            </w:r>
          </w:p>
        </w:tc>
        <w:tc>
          <w:tcPr>
            <w:tcW w:w="2269" w:type="dxa"/>
            <w:tcBorders>
              <w:top w:val="single" w:sz="4" w:space="0" w:color="000000"/>
              <w:left w:val="single" w:sz="4" w:space="0" w:color="000000"/>
              <w:bottom w:val="single" w:sz="4" w:space="0" w:color="000000"/>
              <w:right w:val="single" w:sz="4" w:space="0" w:color="000000"/>
            </w:tcBorders>
          </w:tcPr>
          <w:p>
            <w:pPr>
              <w:pStyle w:val="Normal"/>
              <w:rPr>
                <w:rFonts w:ascii="Cambria" w:hAnsi="Cambria" w:cs="Arial"/>
                <w:sz w:val="22"/>
                <w:szCs w:val="22"/>
              </w:rPr>
            </w:pPr>
            <w:r>
              <w:rPr>
                <w:rFonts w:cs="Arial" w:ascii="Cambria" w:hAnsi="Cambria"/>
                <w:sz w:val="22"/>
                <w:szCs w:val="22"/>
              </w:rPr>
              <w:t>Saisonnières (6 mois)</w:t>
            </w:r>
          </w:p>
        </w:tc>
        <w:tc>
          <w:tcPr>
            <w:tcW w:w="10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lang w:eastAsia="fr-CA"/>
              </w:rPr>
            </w:pPr>
            <w:r>
              <w:rPr>
                <w:lang w:eastAsia="fr-CA"/>
              </w:rPr>
              <w:t>50 000</w:t>
            </w:r>
          </w:p>
        </w:tc>
        <w:tc>
          <w:tcPr>
            <w:tcW w:w="13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lang w:eastAsia="fr-CA"/>
              </w:rPr>
              <w:t>900 000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both"/>
              <w:rPr>
                <w:rFonts w:ascii="Cambria" w:hAnsi="Cambria" w:cs="Arial"/>
                <w:b/>
                <w:bCs/>
                <w:sz w:val="22"/>
                <w:szCs w:val="22"/>
              </w:rPr>
            </w:pPr>
            <w:r>
              <w:rPr>
                <w:rFonts w:cs="Arial" w:ascii="Cambria" w:hAnsi="Cambria"/>
                <w:b/>
                <w:bCs/>
                <w:sz w:val="22"/>
                <w:szCs w:val="22"/>
              </w:rPr>
              <w:t>Total</w:t>
            </w:r>
          </w:p>
        </w:tc>
        <w:tc>
          <w:tcPr>
            <w:tcW w:w="963"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
          </w:p>
        </w:tc>
        <w:tc>
          <w:tcPr>
            <w:tcW w:w="100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5</w:t>
            </w:r>
          </w:p>
        </w:tc>
        <w:tc>
          <w:tcPr>
            <w:tcW w:w="2269" w:type="dxa"/>
            <w:tcBorders>
              <w:top w:val="single" w:sz="4" w:space="0" w:color="000000"/>
              <w:left w:val="single" w:sz="4" w:space="0" w:color="000000"/>
              <w:bottom w:val="single" w:sz="4" w:space="0" w:color="000000"/>
              <w:right w:val="single" w:sz="4" w:space="0" w:color="000000"/>
            </w:tcBorders>
            <w:shd w:fill="C4BD97" w:val="clear"/>
          </w:tcPr>
          <w:p>
            <w:pPr>
              <w:pStyle w:val="Normal"/>
              <w:snapToGrid w:val="false"/>
              <w:jc w:val="center"/>
              <w:rPr>
                <w:rFonts w:ascii="Cambria" w:hAnsi="Cambria" w:cs="Arial"/>
                <w:b/>
                <w:bCs/>
                <w:sz w:val="22"/>
                <w:szCs w:val="22"/>
              </w:rPr>
            </w:pPr>
            <w:r>
              <w:rPr>
                <w:rFonts w:cs="Arial" w:ascii="Cambria" w:hAnsi="Cambria"/>
                <w:b/>
                <w:bCs/>
                <w:sz w:val="22"/>
                <w:szCs w:val="22"/>
              </w:rPr>
            </w:r>
          </w:p>
        </w:tc>
        <w:tc>
          <w:tcPr>
            <w:tcW w:w="107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150 000</w:t>
            </w:r>
          </w:p>
        </w:tc>
        <w:tc>
          <w:tcPr>
            <w:tcW w:w="1302" w:type="dxa"/>
            <w:tcBorders>
              <w:top w:val="single" w:sz="4" w:space="0" w:color="000000"/>
              <w:left w:val="single" w:sz="4" w:space="0" w:color="000000"/>
              <w:bottom w:val="single" w:sz="4" w:space="0" w:color="000000"/>
              <w:right w:val="single" w:sz="4" w:space="0" w:color="000000"/>
            </w:tcBorders>
            <w:shd w:fill="C4BD97" w:val="clear"/>
            <w:vAlign w:val="bottom"/>
          </w:tcPr>
          <w:p>
            <w:pPr>
              <w:pStyle w:val="Normal"/>
              <w:jc w:val="center"/>
              <w:rPr>
                <w:rFonts w:ascii="Cambria" w:hAnsi="Cambria" w:cs="Arial"/>
                <w:b/>
                <w:bCs/>
                <w:sz w:val="22"/>
                <w:szCs w:val="22"/>
              </w:rPr>
            </w:pPr>
            <w:r>
              <w:rPr>
                <w:rFonts w:cs="Arial" w:ascii="Cambria" w:hAnsi="Cambria"/>
                <w:b/>
                <w:bCs/>
                <w:sz w:val="22"/>
                <w:szCs w:val="22"/>
              </w:rPr>
              <w:t>2 100 000</w:t>
            </w:r>
          </w:p>
        </w:tc>
      </w:tr>
      <w:tr>
        <w:trPr>
          <w:trHeight w:val="300" w:hRule="atLeast"/>
        </w:trPr>
        <w:tc>
          <w:tcPr>
            <w:tcW w:w="2549"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both"/>
              <w:rPr>
                <w:rFonts w:ascii="Cambria" w:hAnsi="Cambria" w:cs="Arial"/>
                <w:b/>
                <w:bCs/>
                <w:i/>
                <w:i/>
                <w:iCs/>
                <w:sz w:val="22"/>
                <w:szCs w:val="22"/>
              </w:rPr>
            </w:pPr>
            <w:r>
              <w:rPr>
                <w:rFonts w:cs="Arial" w:ascii="Cambria" w:hAnsi="Cambria"/>
                <w:b/>
                <w:bCs/>
                <w:i/>
                <w:iCs/>
                <w:sz w:val="22"/>
                <w:szCs w:val="22"/>
              </w:rPr>
              <w:t>Frais du personnel</w:t>
            </w:r>
          </w:p>
        </w:tc>
        <w:tc>
          <w:tcPr>
            <w:tcW w:w="963"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100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2269" w:type="dxa"/>
            <w:tcBorders>
              <w:top w:val="single" w:sz="4" w:space="0" w:color="000000"/>
              <w:left w:val="single" w:sz="4" w:space="0" w:color="000000"/>
              <w:bottom w:val="single" w:sz="4" w:space="0" w:color="000000"/>
              <w:right w:val="single" w:sz="4" w:space="0" w:color="000000"/>
            </w:tcBorders>
            <w:shd w:fill="8DB4E2" w:val="clear"/>
          </w:tcPr>
          <w:p>
            <w:pPr>
              <w:pStyle w:val="Normal"/>
              <w:snapToGrid w:val="false"/>
              <w:jc w:val="center"/>
              <w:rPr>
                <w:rFonts w:ascii="Cambria" w:hAnsi="Cambria" w:cs="Arial"/>
                <w:b/>
                <w:bCs/>
                <w:i/>
                <w:i/>
                <w:iCs/>
                <w:sz w:val="22"/>
                <w:szCs w:val="22"/>
              </w:rPr>
            </w:pPr>
            <w:r>
              <w:rPr>
                <w:rFonts w:cs="Arial" w:ascii="Cambria" w:hAnsi="Cambria"/>
                <w:b/>
                <w:bCs/>
                <w:i/>
                <w:iCs/>
                <w:sz w:val="22"/>
                <w:szCs w:val="22"/>
              </w:rPr>
            </w:r>
          </w:p>
        </w:tc>
        <w:tc>
          <w:tcPr>
            <w:tcW w:w="107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center"/>
              <w:rPr>
                <w:rFonts w:ascii="Cambria" w:hAnsi="Cambria" w:cs="Arial"/>
                <w:b/>
                <w:bCs/>
                <w:i/>
                <w:i/>
                <w:iCs/>
                <w:sz w:val="22"/>
                <w:szCs w:val="22"/>
              </w:rPr>
            </w:pPr>
            <w:r>
              <w:rPr>
                <w:rFonts w:cs="Arial" w:ascii="Cambria" w:hAnsi="Cambria"/>
                <w:b/>
                <w:bCs/>
                <w:i/>
                <w:iCs/>
                <w:sz w:val="22"/>
                <w:szCs w:val="22"/>
              </w:rPr>
              <w:t>150 000</w:t>
            </w:r>
          </w:p>
        </w:tc>
        <w:tc>
          <w:tcPr>
            <w:tcW w:w="1302" w:type="dxa"/>
            <w:tcBorders>
              <w:top w:val="single" w:sz="4" w:space="0" w:color="000000"/>
              <w:left w:val="single" w:sz="4" w:space="0" w:color="000000"/>
              <w:bottom w:val="single" w:sz="4" w:space="0" w:color="000000"/>
              <w:right w:val="single" w:sz="4" w:space="0" w:color="000000"/>
            </w:tcBorders>
            <w:shd w:fill="8DB4E2" w:val="clear"/>
            <w:vAlign w:val="bottom"/>
          </w:tcPr>
          <w:p>
            <w:pPr>
              <w:pStyle w:val="Normal"/>
              <w:jc w:val="center"/>
              <w:rPr>
                <w:rFonts w:ascii="Cambria" w:hAnsi="Cambria" w:cs="Arial"/>
                <w:b/>
                <w:bCs/>
                <w:i/>
                <w:i/>
                <w:iCs/>
                <w:sz w:val="22"/>
                <w:szCs w:val="22"/>
              </w:rPr>
            </w:pPr>
            <w:r>
              <w:rPr>
                <w:rFonts w:cs="Arial" w:ascii="Cambria" w:hAnsi="Cambria"/>
                <w:b/>
                <w:bCs/>
                <w:i/>
                <w:iCs/>
                <w:sz w:val="22"/>
                <w:szCs w:val="22"/>
              </w:rPr>
              <w:t>2 100 000</w:t>
            </w:r>
          </w:p>
        </w:tc>
      </w:tr>
    </w:tbl>
    <w:p>
      <w:pPr>
        <w:pStyle w:val="Heading1"/>
        <w:keepLines/>
        <w:numPr>
          <w:ilvl w:val="0"/>
          <w:numId w:val="4"/>
        </w:numPr>
        <w:spacing w:before="240" w:after="120"/>
        <w:ind w:hanging="431" w:left="431" w:right="0"/>
        <w:jc w:val="both"/>
        <w:rPr>
          <w:rFonts w:ascii="Times New Roman" w:hAnsi="Times New Roman" w:cs="Times New Roman"/>
          <w:caps/>
          <w:color w:val="166B7F"/>
          <w:kern w:val="0"/>
          <w:lang w:eastAsia="en-US"/>
        </w:rPr>
      </w:pPr>
      <w:bookmarkStart w:id="14" w:name="__RefHeading___Toc234831713"/>
      <w:bookmarkEnd w:id="14"/>
      <w:r>
        <w:rPr>
          <w:rFonts w:cs="Times New Roman" w:ascii="Times New Roman" w:hAnsi="Times New Roman"/>
          <w:caps/>
          <w:color w:val="166B7F"/>
          <w:kern w:val="0"/>
          <w:lang w:eastAsia="en-US"/>
        </w:rPr>
        <w:t>ÉTUDE ÉCONOMIQUE ET FINANCIÈRE</w:t>
      </w:r>
    </w:p>
    <w:p>
      <w:pPr>
        <w:pStyle w:val="Heading2"/>
        <w:keepLines/>
        <w:numPr>
          <w:ilvl w:val="1"/>
          <w:numId w:val="4"/>
        </w:numPr>
        <w:spacing w:before="120" w:after="120"/>
        <w:ind w:hanging="491" w:left="851" w:right="0"/>
        <w:jc w:val="both"/>
        <w:rPr>
          <w:rFonts w:ascii="Times New Roman" w:hAnsi="Times New Roman" w:cs="Times New Roman"/>
          <w:i w:val="false"/>
          <w:i w:val="false"/>
          <w:iCs w:val="false"/>
          <w:lang w:val="fr-CI"/>
        </w:rPr>
      </w:pPr>
      <w:bookmarkStart w:id="15" w:name="__RefHeading___Toc234831714"/>
      <w:bookmarkEnd w:id="15"/>
      <w:r>
        <w:rPr>
          <w:rFonts w:cs="Times New Roman" w:ascii="Times New Roman" w:hAnsi="Times New Roman"/>
          <w:i w:val="false"/>
          <w:iCs w:val="false"/>
          <w:lang w:val="fr-CI"/>
        </w:rPr>
        <w:t xml:space="preserve">Hypothèses de base </w:t>
      </w:r>
    </w:p>
    <w:p>
      <w:pPr>
        <w:pStyle w:val="Heading3"/>
        <w:numPr>
          <w:ilvl w:val="2"/>
          <w:numId w:val="4"/>
        </w:numPr>
        <w:ind w:hanging="720" w:left="502" w:right="0"/>
        <w:rPr>
          <w:rFonts w:ascii="Times New Roman" w:hAnsi="Times New Roman" w:cs="Times New Roman"/>
          <w:sz w:val="24"/>
          <w:szCs w:val="24"/>
        </w:rPr>
      </w:pPr>
      <w:bookmarkStart w:id="16" w:name="__RefHeading___Toc234831715"/>
      <w:bookmarkEnd w:id="16"/>
      <w:r>
        <w:rPr>
          <w:rFonts w:cs="Times New Roman" w:ascii="Times New Roman" w:hAnsi="Times New Roman"/>
          <w:sz w:val="24"/>
          <w:szCs w:val="24"/>
        </w:rPr>
        <w:t>Recettes prévisionnelles annuelles</w:t>
      </w:r>
    </w:p>
    <w:p>
      <w:pPr>
        <w:pStyle w:val="Normal"/>
        <w:rPr/>
      </w:pPr>
      <w:r>
        <w:rPr>
          <w:sz w:val="22"/>
          <w:szCs w:val="22"/>
        </w:rPr>
        <w:t>Les recettes prévisionnelles annuelles sont croissantes sur les cinq années. Elles sont décrites</w:t>
      </w:r>
      <w:r>
        <w:rPr/>
        <w:t xml:space="preserve"> dans le tableau ci-dessous :</w:t>
      </w:r>
    </w:p>
    <w:p>
      <w:pPr>
        <w:pStyle w:val="Normal"/>
        <w:rPr/>
      </w:pPr>
      <w:r>
        <w:rPr/>
      </w:r>
    </w:p>
    <w:tbl>
      <w:tblPr>
        <w:tblW w:w="9791" w:type="dxa"/>
        <w:jc w:val="left"/>
        <w:tblInd w:w="60" w:type="dxa"/>
        <w:tblLayout w:type="fixed"/>
        <w:tblCellMar>
          <w:top w:w="0" w:type="dxa"/>
          <w:left w:w="70" w:type="dxa"/>
          <w:bottom w:w="0" w:type="dxa"/>
          <w:right w:w="70" w:type="dxa"/>
        </w:tblCellMar>
      </w:tblPr>
      <w:tblGrid>
        <w:gridCol w:w="3271"/>
        <w:gridCol w:w="1274"/>
        <w:gridCol w:w="1276"/>
        <w:gridCol w:w="1277"/>
        <w:gridCol w:w="1276"/>
        <w:gridCol w:w="1416"/>
      </w:tblGrid>
      <w:tr>
        <w:trPr>
          <w:trHeight w:val="360" w:hRule="atLeast"/>
        </w:trPr>
        <w:tc>
          <w:tcPr>
            <w:tcW w:w="3271"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8"/>
                <w:szCs w:val="28"/>
              </w:rPr>
            </w:pPr>
            <w:r>
              <w:rPr>
                <w:rFonts w:cs="Calibri" w:ascii="Cambria" w:hAnsi="Cambria"/>
                <w:b/>
                <w:bCs/>
                <w:i/>
                <w:iCs/>
                <w:color w:val="FFFFFF"/>
                <w:sz w:val="28"/>
                <w:szCs w:val="28"/>
              </w:rPr>
              <w:t>Recettes prévisionnelles</w:t>
            </w:r>
          </w:p>
        </w:tc>
        <w:tc>
          <w:tcPr>
            <w:tcW w:w="1274"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7"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27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c>
          <w:tcPr>
            <w:tcW w:w="1416"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sz w:val="28"/>
                <w:szCs w:val="28"/>
              </w:rPr>
            </w:pPr>
            <w:r>
              <w:rPr/>
            </w:r>
          </w:p>
        </w:tc>
      </w:tr>
      <w:tr>
        <w:trPr>
          <w:trHeight w:val="285" w:hRule="atLeast"/>
        </w:trPr>
        <w:tc>
          <w:tcPr>
            <w:tcW w:w="3271" w:type="dxa"/>
            <w:tcBorders/>
            <w:vAlign w:val="bottom"/>
          </w:tcPr>
          <w:p>
            <w:pPr>
              <w:pStyle w:val="Normal"/>
              <w:rPr>
                <w:rFonts w:ascii="Cambria" w:hAnsi="Cambria" w:cs="Calibri"/>
                <w:b/>
                <w:bCs/>
                <w:i/>
                <w:i/>
                <w:iCs/>
                <w:sz w:val="20"/>
                <w:szCs w:val="20"/>
              </w:rPr>
            </w:pPr>
            <w:r>
              <w:rPr>
                <w:rFonts w:cs="Calibri" w:ascii="Cambria" w:hAnsi="Cambria"/>
                <w:b/>
                <w:bCs/>
                <w:i/>
                <w:iCs/>
                <w:sz w:val="20"/>
                <w:szCs w:val="20"/>
              </w:rPr>
              <w:t>Taux de croissance</w:t>
            </w:r>
          </w:p>
        </w:tc>
        <w:tc>
          <w:tcPr>
            <w:tcW w:w="1274"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0%</w:t>
            </w:r>
          </w:p>
        </w:tc>
        <w:tc>
          <w:tcPr>
            <w:tcW w:w="127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277"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27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c>
          <w:tcPr>
            <w:tcW w:w="1416" w:type="dxa"/>
            <w:tcBorders/>
            <w:vAlign w:val="bottom"/>
          </w:tcPr>
          <w:p>
            <w:pPr>
              <w:pStyle w:val="Normal"/>
              <w:jc w:val="center"/>
              <w:rPr>
                <w:rFonts w:ascii="Cambria" w:hAnsi="Cambria" w:cs="Calibri"/>
                <w:b/>
                <w:bCs/>
                <w:i/>
                <w:i/>
                <w:iCs/>
                <w:sz w:val="20"/>
                <w:szCs w:val="20"/>
              </w:rPr>
            </w:pPr>
            <w:r>
              <w:rPr>
                <w:rFonts w:cs="Calibri" w:ascii="Cambria" w:hAnsi="Cambria"/>
                <w:b/>
                <w:bCs/>
                <w:i/>
                <w:iCs/>
                <w:sz w:val="20"/>
                <w:szCs w:val="20"/>
              </w:rPr>
              <w:t>2%</w:t>
            </w:r>
          </w:p>
        </w:tc>
      </w:tr>
      <w:tr>
        <w:trPr>
          <w:trHeight w:val="315" w:hRule="atLeast"/>
        </w:trPr>
        <w:tc>
          <w:tcPr>
            <w:tcW w:w="3271"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rPr>
            </w:pPr>
            <w:r>
              <w:rPr>
                <w:rFonts w:cs="Calibri" w:ascii="Cambria" w:hAnsi="Cambria"/>
                <w:b/>
                <w:bCs/>
                <w:i/>
                <w:iCs/>
              </w:rPr>
              <w:t>Désignations/Années</w:t>
            </w:r>
          </w:p>
        </w:tc>
        <w:tc>
          <w:tcPr>
            <w:tcW w:w="1274"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AN1</w:t>
            </w:r>
          </w:p>
        </w:tc>
        <w:tc>
          <w:tcPr>
            <w:tcW w:w="127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AN2</w:t>
            </w:r>
          </w:p>
        </w:tc>
        <w:tc>
          <w:tcPr>
            <w:tcW w:w="1277"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AN3</w:t>
            </w:r>
          </w:p>
        </w:tc>
        <w:tc>
          <w:tcPr>
            <w:tcW w:w="127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AN4</w:t>
            </w:r>
          </w:p>
        </w:tc>
        <w:tc>
          <w:tcPr>
            <w:tcW w:w="1416" w:type="dxa"/>
            <w:tcBorders>
              <w:top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rPr>
            </w:pPr>
            <w:r>
              <w:rPr>
                <w:rFonts w:cs="Calibri" w:ascii="Cambria" w:hAnsi="Cambria"/>
                <w:b/>
                <w:bCs/>
                <w:i/>
                <w:iCs/>
              </w:rPr>
              <w:t>AN5</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Chips de patate douce (nature/épicé)</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3 000 000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3 060 000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3 121 200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3 183 624</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3 247 296</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Poudre de patate douce</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2 000 000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2 040 000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2 080 800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2 122 416</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2 164 864</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Crêpes de patate douce</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2 250 000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2 295 000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2 340 900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2 387 718</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2 435 472</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Jus de patate douce</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3 000 000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3 060 000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3 121 200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3 183 624</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3 247 296</w:t>
            </w:r>
          </w:p>
        </w:tc>
      </w:tr>
      <w:tr>
        <w:trPr>
          <w:trHeight w:val="285" w:hRule="atLeast"/>
        </w:trPr>
        <w:tc>
          <w:tcPr>
            <w:tcW w:w="3271" w:type="dxa"/>
            <w:tcBorders>
              <w:left w:val="single" w:sz="4" w:space="0" w:color="000000"/>
              <w:bottom w:val="single" w:sz="4" w:space="0" w:color="000000"/>
              <w:right w:val="single" w:sz="4" w:space="0" w:color="000000"/>
            </w:tcBorders>
            <w:vAlign w:val="bottom"/>
          </w:tcPr>
          <w:p>
            <w:pPr>
              <w:pStyle w:val="Normal"/>
              <w:rPr>
                <w:rFonts w:ascii="Cambria" w:hAnsi="Cambria" w:cs="Calibri"/>
                <w:sz w:val="22"/>
                <w:szCs w:val="22"/>
              </w:rPr>
            </w:pPr>
            <w:r>
              <w:rPr>
                <w:rFonts w:cs="Calibri" w:ascii="Cambria" w:hAnsi="Cambria"/>
                <w:sz w:val="22"/>
                <w:szCs w:val="22"/>
              </w:rPr>
              <w:t>Bouillie infantile</w:t>
            </w:r>
          </w:p>
        </w:tc>
        <w:tc>
          <w:tcPr>
            <w:tcW w:w="1274"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1 500 000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1 530 000</w:t>
            </w:r>
          </w:p>
        </w:tc>
        <w:tc>
          <w:tcPr>
            <w:tcW w:w="1277"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1 560 600</w:t>
            </w:r>
          </w:p>
        </w:tc>
        <w:tc>
          <w:tcPr>
            <w:tcW w:w="127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1 591 812</w:t>
            </w:r>
          </w:p>
        </w:tc>
        <w:tc>
          <w:tcPr>
            <w:tcW w:w="1416" w:type="dxa"/>
            <w:tcBorders>
              <w:bottom w:val="single" w:sz="4" w:space="0" w:color="000000"/>
              <w:right w:val="single" w:sz="4" w:space="0" w:color="000000"/>
            </w:tcBorders>
            <w:vAlign w:val="bottom"/>
          </w:tcPr>
          <w:p>
            <w:pPr>
              <w:pStyle w:val="Normal"/>
              <w:jc w:val="center"/>
              <w:rPr>
                <w:rFonts w:ascii="Cambria" w:hAnsi="Cambria" w:cs="Calibri"/>
                <w:sz w:val="22"/>
                <w:szCs w:val="22"/>
              </w:rPr>
            </w:pPr>
            <w:r>
              <w:rPr>
                <w:rFonts w:cs="Cambria" w:ascii="Cambria" w:hAnsi="Cambria"/>
                <w:sz w:val="22"/>
              </w:rPr>
              <w:t>1 623 648</w:t>
            </w:r>
          </w:p>
        </w:tc>
      </w:tr>
      <w:tr>
        <w:trPr>
          <w:trHeight w:val="285" w:hRule="atLeast"/>
        </w:trPr>
        <w:tc>
          <w:tcPr>
            <w:tcW w:w="3271" w:type="dxa"/>
            <w:tcBorders>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 recettes</w:t>
            </w:r>
          </w:p>
        </w:tc>
        <w:tc>
          <w:tcPr>
            <w:tcW w:w="1274"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11 750 000</w:t>
            </w:r>
          </w:p>
        </w:tc>
        <w:tc>
          <w:tcPr>
            <w:tcW w:w="127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11 985 000</w:t>
            </w:r>
          </w:p>
        </w:tc>
        <w:tc>
          <w:tcPr>
            <w:tcW w:w="1277"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12 224 700</w:t>
            </w:r>
          </w:p>
        </w:tc>
        <w:tc>
          <w:tcPr>
            <w:tcW w:w="127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12 469 194</w:t>
            </w:r>
          </w:p>
        </w:tc>
        <w:tc>
          <w:tcPr>
            <w:tcW w:w="1416" w:type="dxa"/>
            <w:tcBorders>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12 718 578</w:t>
            </w:r>
          </w:p>
        </w:tc>
      </w:tr>
    </w:tbl>
    <w:p>
      <w:pPr>
        <w:pStyle w:val="Heading3"/>
        <w:numPr>
          <w:ilvl w:val="2"/>
          <w:numId w:val="4"/>
        </w:numPr>
        <w:spacing w:before="0" w:after="60"/>
        <w:ind w:hanging="720" w:left="502" w:right="0"/>
        <w:rPr>
          <w:rFonts w:ascii="Times New Roman" w:hAnsi="Times New Roman" w:cs="Times New Roman"/>
          <w:sz w:val="24"/>
          <w:szCs w:val="24"/>
        </w:rPr>
      </w:pPr>
      <w:bookmarkStart w:id="17" w:name="__RefHeading___Toc234831716"/>
      <w:bookmarkEnd w:id="17"/>
      <w:r>
        <w:rPr>
          <w:rFonts w:cs="Times New Roman" w:ascii="Times New Roman" w:hAnsi="Times New Roman"/>
          <w:sz w:val="24"/>
          <w:szCs w:val="24"/>
        </w:rPr>
        <w:t xml:space="preserve">Données prévisionnelles sur les achats </w:t>
      </w:r>
    </w:p>
    <w:p>
      <w:pPr>
        <w:pStyle w:val="Heading3"/>
        <w:tabs>
          <w:tab w:val="clear" w:pos="0"/>
        </w:tabs>
        <w:spacing w:before="0" w:after="60"/>
        <w:ind w:hanging="720" w:left="720" w:right="0"/>
        <w:rPr>
          <w:rFonts w:ascii="Times New Roman" w:hAnsi="Times New Roman" w:cs="Times New Roman"/>
          <w:sz w:val="24"/>
          <w:szCs w:val="24"/>
        </w:rPr>
      </w:pPr>
      <w:bookmarkStart w:id="18" w:name="__RefHeading___Toc234831717"/>
      <w:bookmarkEnd w:id="18"/>
      <w:r>
        <w:rPr>
          <w:rFonts w:cs="Times New Roman" w:ascii="Times New Roman" w:hAnsi="Times New Roman"/>
          <w:sz w:val="24"/>
          <w:szCs w:val="24"/>
        </w:rPr>
        <w:t>Achats de matières premières</w:t>
      </w:r>
    </w:p>
    <w:p>
      <w:pPr>
        <w:pStyle w:val="Normal"/>
        <w:jc w:val="both"/>
        <w:rPr>
          <w:iCs/>
          <w:sz w:val="22"/>
          <w:szCs w:val="22"/>
        </w:rPr>
      </w:pPr>
      <w:r>
        <w:rPr>
          <w:iCs/>
          <w:sz w:val="22"/>
          <w:szCs w:val="22"/>
        </w:rPr>
        <w:t>Les achats de matières premières ont été évalués en tenant compte des quantités qui seront utilisées par an. Les projections d’achat sont les suivantes :</w:t>
      </w:r>
    </w:p>
    <w:p>
      <w:pPr>
        <w:pStyle w:val="Normal"/>
        <w:jc w:val="both"/>
        <w:rPr>
          <w:b/>
          <w:bCs/>
          <w:iCs/>
          <w:sz w:val="22"/>
          <w:szCs w:val="22"/>
          <w:lang w:eastAsia="fr-CA"/>
        </w:rPr>
      </w:pPr>
      <w:r>
        <w:rPr>
          <w:b/>
          <w:bCs/>
          <w:iCs/>
          <w:sz w:val="22"/>
          <w:szCs w:val="22"/>
          <w:lang w:eastAsia="fr-CA"/>
        </w:rPr>
        <w:t>ACHAT DE MATIERES PREMIERES :</w:t>
      </w:r>
    </w:p>
    <w:tbl>
      <w:tblPr>
        <w:tblW w:w="9928" w:type="dxa"/>
        <w:jc w:val="left"/>
        <w:tblInd w:w="65" w:type="dxa"/>
        <w:tblLayout w:type="fixed"/>
        <w:tblCellMar>
          <w:top w:w="0" w:type="dxa"/>
          <w:left w:w="70" w:type="dxa"/>
          <w:bottom w:w="0" w:type="dxa"/>
          <w:right w:w="70" w:type="dxa"/>
        </w:tblCellMar>
      </w:tblPr>
      <w:tblGrid>
        <w:gridCol w:w="2415"/>
        <w:gridCol w:w="709"/>
        <w:gridCol w:w="992"/>
        <w:gridCol w:w="947"/>
        <w:gridCol w:w="1037"/>
        <w:gridCol w:w="1022"/>
        <w:gridCol w:w="821"/>
        <w:gridCol w:w="851"/>
        <w:gridCol w:w="1133"/>
      </w:tblGrid>
      <w:tr>
        <w:trPr>
          <w:trHeight w:val="255" w:hRule="atLeast"/>
        </w:trPr>
        <w:tc>
          <w:tcPr>
            <w:tcW w:w="2415" w:type="dxa"/>
            <w:tcBorders>
              <w:top w:val="single" w:sz="4" w:space="0" w:color="000000"/>
              <w:left w:val="single" w:sz="4" w:space="0" w:color="000000"/>
              <w:bottom w:val="single" w:sz="4" w:space="0" w:color="000000"/>
              <w:right w:val="single" w:sz="4" w:space="0" w:color="000000"/>
            </w:tcBorders>
            <w:shd w:fill="C55A11" w:val="clear"/>
            <w:vAlign w:val="center"/>
          </w:tcPr>
          <w:p>
            <w:pPr>
              <w:pStyle w:val="Normal"/>
              <w:jc w:val="center"/>
              <w:rPr>
                <w:rFonts w:ascii="Cambria" w:hAnsi="Cambria" w:cs="Calibri"/>
                <w:b/>
                <w:bCs/>
                <w:color w:val="FFFFFF"/>
                <w:sz w:val="20"/>
                <w:szCs w:val="20"/>
              </w:rPr>
            </w:pPr>
            <w:r>
              <w:rPr>
                <w:rFonts w:cs="Calibri" w:ascii="Cambria" w:hAnsi="Cambria"/>
                <w:b/>
                <w:bCs/>
                <w:color w:val="FFFFFF"/>
                <w:sz w:val="20"/>
                <w:szCs w:val="20"/>
              </w:rPr>
              <w:t>Désignation</w:t>
            </w:r>
          </w:p>
        </w:tc>
        <w:tc>
          <w:tcPr>
            <w:tcW w:w="709"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Unité</w:t>
            </w:r>
          </w:p>
        </w:tc>
        <w:tc>
          <w:tcPr>
            <w:tcW w:w="99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Qté/jour</w:t>
            </w:r>
          </w:p>
        </w:tc>
        <w:tc>
          <w:tcPr>
            <w:tcW w:w="94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Qté/Sme</w:t>
            </w:r>
          </w:p>
        </w:tc>
        <w:tc>
          <w:tcPr>
            <w:tcW w:w="103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Qté/mois</w:t>
            </w:r>
          </w:p>
        </w:tc>
        <w:tc>
          <w:tcPr>
            <w:tcW w:w="102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Qté/Trim</w:t>
            </w:r>
          </w:p>
        </w:tc>
        <w:tc>
          <w:tcPr>
            <w:tcW w:w="82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Qté/an</w:t>
            </w:r>
          </w:p>
        </w:tc>
        <w:tc>
          <w:tcPr>
            <w:tcW w:w="85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PU</w:t>
            </w:r>
          </w:p>
        </w:tc>
        <w:tc>
          <w:tcPr>
            <w:tcW w:w="1133"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Montant</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Patate douce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Tonne</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20</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75 000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1 500 000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Sucre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Sac</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20</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22 000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440 000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Huile de friture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Bidon</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40</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15 000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600 000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Additifs naturels (arômes, épices)</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Lot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160 000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160 000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Emballages (sachets, étiquettes, bouteilles)</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Lot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300 000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300 000</w:t>
            </w:r>
          </w:p>
        </w:tc>
      </w:tr>
      <w:tr>
        <w:trPr>
          <w:trHeight w:val="255" w:hRule="atLeast"/>
        </w:trPr>
        <w:tc>
          <w:tcPr>
            <w:tcW w:w="2415" w:type="dxa"/>
            <w:tcBorders>
              <w:left w:val="single" w:sz="4" w:space="0" w:color="000000"/>
              <w:bottom w:val="single" w:sz="4" w:space="0" w:color="000000"/>
              <w:right w:val="single" w:sz="4" w:space="0" w:color="000000"/>
            </w:tcBorders>
            <w:shd w:fill="ACB9CA" w:val="clear"/>
            <w:vAlign w:val="bottom"/>
          </w:tcPr>
          <w:p>
            <w:pPr>
              <w:pStyle w:val="Normal"/>
              <w:rPr>
                <w:rFonts w:ascii="Cambria" w:hAnsi="Cambria" w:cs="Calibri"/>
                <w:b/>
                <w:bCs/>
                <w:sz w:val="20"/>
                <w:szCs w:val="20"/>
              </w:rPr>
            </w:pPr>
            <w:r>
              <w:rPr>
                <w:rFonts w:cs="Calibri" w:ascii="Cambria" w:hAnsi="Cambria"/>
                <w:b/>
                <w:bCs/>
                <w:sz w:val="20"/>
                <w:szCs w:val="20"/>
              </w:rPr>
              <w:t>TOTAL</w:t>
            </w:r>
          </w:p>
        </w:tc>
        <w:tc>
          <w:tcPr>
            <w:tcW w:w="709" w:type="dxa"/>
            <w:tcBorders>
              <w:bottom w:val="single" w:sz="4" w:space="0" w:color="000000"/>
              <w:right w:val="single" w:sz="4" w:space="0" w:color="000000"/>
            </w:tcBorders>
            <w:shd w:fill="ACB9CA" w:val="clear"/>
            <w:vAlign w:val="center"/>
          </w:tcPr>
          <w:p>
            <w:pPr>
              <w:pStyle w:val="Normal"/>
              <w:rPr>
                <w:rFonts w:ascii="Cambria" w:hAnsi="Cambria" w:cs="Calibri"/>
                <w:b/>
                <w:bCs/>
                <w:sz w:val="20"/>
                <w:szCs w:val="20"/>
              </w:rPr>
            </w:pPr>
            <w:r>
              <w:rPr/>
            </w:r>
          </w:p>
        </w:tc>
        <w:tc>
          <w:tcPr>
            <w:tcW w:w="99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94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3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2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2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5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133"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3 000 000</w:t>
            </w:r>
          </w:p>
        </w:tc>
      </w:tr>
    </w:tbl>
    <w:p>
      <w:pPr>
        <w:pStyle w:val="Normal"/>
        <w:jc w:val="both"/>
        <w:rPr>
          <w:b/>
          <w:bCs/>
          <w:iCs/>
          <w:sz w:val="22"/>
          <w:szCs w:val="22"/>
          <w:lang w:eastAsia="fr-CA"/>
        </w:rPr>
      </w:pPr>
      <w:r>
        <w:rPr>
          <w:b/>
          <w:bCs/>
          <w:iCs/>
          <w:sz w:val="22"/>
          <w:szCs w:val="22"/>
          <w:lang w:eastAsia="fr-CA"/>
        </w:rPr>
        <w:t>AUTRES ACHATS :</w:t>
      </w:r>
    </w:p>
    <w:tbl>
      <w:tblPr>
        <w:tblW w:w="9928" w:type="dxa"/>
        <w:jc w:val="left"/>
        <w:tblInd w:w="65" w:type="dxa"/>
        <w:tblLayout w:type="fixed"/>
        <w:tblCellMar>
          <w:top w:w="0" w:type="dxa"/>
          <w:left w:w="70" w:type="dxa"/>
          <w:bottom w:w="0" w:type="dxa"/>
          <w:right w:w="70" w:type="dxa"/>
        </w:tblCellMar>
      </w:tblPr>
      <w:tblGrid>
        <w:gridCol w:w="2415"/>
        <w:gridCol w:w="709"/>
        <w:gridCol w:w="992"/>
        <w:gridCol w:w="947"/>
        <w:gridCol w:w="1037"/>
        <w:gridCol w:w="1022"/>
        <w:gridCol w:w="821"/>
        <w:gridCol w:w="851"/>
        <w:gridCol w:w="1133"/>
      </w:tblGrid>
      <w:tr>
        <w:trPr>
          <w:trHeight w:val="255" w:hRule="atLeast"/>
        </w:trPr>
        <w:tc>
          <w:tcPr>
            <w:tcW w:w="2415" w:type="dxa"/>
            <w:tcBorders>
              <w:top w:val="single" w:sz="4" w:space="0" w:color="000000"/>
              <w:left w:val="single" w:sz="4" w:space="0" w:color="000000"/>
              <w:bottom w:val="single" w:sz="4" w:space="0" w:color="000000"/>
              <w:right w:val="single" w:sz="4" w:space="0" w:color="000000"/>
            </w:tcBorders>
            <w:shd w:fill="C55A11" w:val="clear"/>
            <w:vAlign w:val="center"/>
          </w:tcPr>
          <w:p>
            <w:pPr>
              <w:pStyle w:val="Normal"/>
              <w:jc w:val="center"/>
              <w:rPr>
                <w:rFonts w:ascii="Cambria" w:hAnsi="Cambria" w:cs="Calibri"/>
                <w:b/>
                <w:bCs/>
                <w:color w:val="FFFFFF"/>
                <w:sz w:val="20"/>
                <w:szCs w:val="20"/>
              </w:rPr>
            </w:pPr>
            <w:r>
              <w:rPr>
                <w:rFonts w:cs="Calibri" w:ascii="Cambria" w:hAnsi="Cambria"/>
                <w:b/>
                <w:bCs/>
                <w:color w:val="FFFFFF"/>
                <w:sz w:val="20"/>
                <w:szCs w:val="20"/>
              </w:rPr>
              <w:t>Désignation</w:t>
            </w:r>
          </w:p>
        </w:tc>
        <w:tc>
          <w:tcPr>
            <w:tcW w:w="709"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Unité</w:t>
            </w:r>
          </w:p>
        </w:tc>
        <w:tc>
          <w:tcPr>
            <w:tcW w:w="99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Qté/jour</w:t>
            </w:r>
          </w:p>
        </w:tc>
        <w:tc>
          <w:tcPr>
            <w:tcW w:w="94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Qté/Sme</w:t>
            </w:r>
          </w:p>
        </w:tc>
        <w:tc>
          <w:tcPr>
            <w:tcW w:w="1037"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Qté/mois</w:t>
            </w:r>
          </w:p>
        </w:tc>
        <w:tc>
          <w:tcPr>
            <w:tcW w:w="1022" w:type="dxa"/>
            <w:tcBorders>
              <w:top w:val="single" w:sz="4" w:space="0" w:color="000000"/>
              <w:bottom w:val="single" w:sz="4" w:space="0" w:color="000000"/>
              <w:right w:val="single" w:sz="4" w:space="0" w:color="000000"/>
            </w:tcBorders>
            <w:vAlign w:val="bottom"/>
          </w:tcPr>
          <w:p>
            <w:pPr>
              <w:pStyle w:val="Normal"/>
              <w:rPr>
                <w:rFonts w:ascii="Cambria" w:hAnsi="Cambria" w:cs="Calibri"/>
                <w:b/>
                <w:bCs/>
                <w:color w:val="000000"/>
                <w:sz w:val="20"/>
                <w:szCs w:val="20"/>
              </w:rPr>
            </w:pPr>
            <w:r>
              <w:rPr>
                <w:rFonts w:cs="Calibri" w:ascii="Cambria" w:hAnsi="Cambria"/>
                <w:b/>
                <w:bCs/>
                <w:color w:val="000000"/>
                <w:sz w:val="20"/>
                <w:szCs w:val="20"/>
              </w:rPr>
              <w:t>Qté/Trim</w:t>
            </w:r>
          </w:p>
        </w:tc>
        <w:tc>
          <w:tcPr>
            <w:tcW w:w="82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Qté/an</w:t>
            </w:r>
          </w:p>
        </w:tc>
        <w:tc>
          <w:tcPr>
            <w:tcW w:w="851"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PU</w:t>
            </w:r>
          </w:p>
        </w:tc>
        <w:tc>
          <w:tcPr>
            <w:tcW w:w="1133" w:type="dxa"/>
            <w:tcBorders>
              <w:top w:val="single" w:sz="4" w:space="0" w:color="000000"/>
              <w:bottom w:val="single" w:sz="4" w:space="0" w:color="000000"/>
              <w:right w:val="single" w:sz="4" w:space="0" w:color="000000"/>
            </w:tcBorders>
            <w:vAlign w:val="center"/>
          </w:tcPr>
          <w:p>
            <w:pPr>
              <w:pStyle w:val="Normal"/>
              <w:jc w:val="center"/>
              <w:rPr>
                <w:rFonts w:ascii="Cambria" w:hAnsi="Cambria" w:cs="Calibri"/>
                <w:b/>
                <w:bCs/>
                <w:color w:val="000000"/>
                <w:sz w:val="20"/>
                <w:szCs w:val="20"/>
              </w:rPr>
            </w:pPr>
            <w:r>
              <w:rPr>
                <w:rFonts w:cs="Calibri" w:ascii="Cambria" w:hAnsi="Cambria"/>
                <w:b/>
                <w:bCs/>
                <w:color w:val="000000"/>
                <w:sz w:val="20"/>
                <w:szCs w:val="20"/>
              </w:rPr>
              <w:t>Montant</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Carburant / énergie</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360 000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360 000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Communication / publicité</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0</w:t>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240 000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240 000</w:t>
            </w:r>
          </w:p>
        </w:tc>
      </w:tr>
      <w:tr>
        <w:trPr>
          <w:trHeight w:val="255" w:hRule="atLeast"/>
        </w:trPr>
        <w:tc>
          <w:tcPr>
            <w:tcW w:w="2415" w:type="dxa"/>
            <w:tcBorders>
              <w:left w:val="single" w:sz="4" w:space="0" w:color="000000"/>
              <w:bottom w:val="single" w:sz="4" w:space="0" w:color="000000"/>
              <w:right w:val="single" w:sz="4" w:space="0" w:color="000000"/>
            </w:tcBorders>
            <w:vAlign w:val="center"/>
          </w:tcPr>
          <w:p>
            <w:pPr>
              <w:pStyle w:val="Normal"/>
              <w:rPr>
                <w:rFonts w:ascii="Cambria" w:hAnsi="Cambria" w:cs="Calibri"/>
                <w:sz w:val="20"/>
                <w:szCs w:val="20"/>
              </w:rPr>
            </w:pPr>
            <w:r>
              <w:rPr>
                <w:rFonts w:cs="Calibri" w:ascii="Cambria" w:hAnsi="Cambria"/>
                <w:sz w:val="20"/>
                <w:szCs w:val="20"/>
              </w:rPr>
              <w:t>Eau de transformation</w:t>
            </w:r>
          </w:p>
        </w:tc>
        <w:tc>
          <w:tcPr>
            <w:tcW w:w="709"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t>Forfait</w:t>
            </w:r>
          </w:p>
        </w:tc>
        <w:tc>
          <w:tcPr>
            <w:tcW w:w="99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94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37"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1022" w:type="dxa"/>
            <w:tcBorders>
              <w:bottom w:val="single" w:sz="4" w:space="0" w:color="000000"/>
              <w:right w:val="single" w:sz="4" w:space="0" w:color="000000"/>
            </w:tcBorders>
            <w:vAlign w:val="center"/>
          </w:tcPr>
          <w:p>
            <w:pPr>
              <w:pStyle w:val="Normal"/>
              <w:jc w:val="center"/>
              <w:rPr>
                <w:rFonts w:ascii="Cambria" w:hAnsi="Cambria" w:cs="Calibri"/>
                <w:color w:val="000000"/>
                <w:sz w:val="20"/>
                <w:szCs w:val="20"/>
              </w:rPr>
            </w:pPr>
            <w:r>
              <w:rPr>
                <w:rFonts w:cs="Calibri" w:ascii="Cambria" w:hAnsi="Cambria"/>
                <w:color w:val="000000"/>
                <w:sz w:val="20"/>
                <w:szCs w:val="20"/>
              </w:rPr>
            </w:r>
          </w:p>
        </w:tc>
        <w:tc>
          <w:tcPr>
            <w:tcW w:w="821" w:type="dxa"/>
            <w:tcBorders>
              <w:bottom w:val="single" w:sz="4" w:space="0" w:color="000000"/>
              <w:right w:val="single" w:sz="4" w:space="0" w:color="000000"/>
            </w:tcBorders>
            <w:shd w:fill="FBE4D5" w:val="clear"/>
            <w:vAlign w:val="center"/>
          </w:tcPr>
          <w:p>
            <w:pPr>
              <w:pStyle w:val="Normal"/>
              <w:jc w:val="center"/>
              <w:rPr>
                <w:rFonts w:ascii="Cambria" w:hAnsi="Cambria" w:cs="Calibri"/>
                <w:color w:val="000000"/>
                <w:sz w:val="20"/>
                <w:szCs w:val="20"/>
              </w:rPr>
            </w:pPr>
            <w:r>
              <w:rPr>
                <w:rFonts w:cs="Calibri" w:ascii="Cambria" w:hAnsi="Cambria"/>
                <w:color w:val="000000"/>
                <w:sz w:val="20"/>
                <w:szCs w:val="20"/>
              </w:rPr>
              <w:t>1</w:t>
            </w:r>
          </w:p>
        </w:tc>
        <w:tc>
          <w:tcPr>
            <w:tcW w:w="851" w:type="dxa"/>
            <w:tcBorders>
              <w:bottom w:val="single" w:sz="4" w:space="0" w:color="000000"/>
              <w:right w:val="single" w:sz="4" w:space="0" w:color="000000"/>
            </w:tcBorders>
            <w:vAlign w:val="center"/>
          </w:tcPr>
          <w:p>
            <w:pPr>
              <w:pStyle w:val="Normal"/>
              <w:jc w:val="center"/>
              <w:rPr>
                <w:rFonts w:ascii="Cambria" w:hAnsi="Cambria" w:cs="Calibri"/>
                <w:sz w:val="20"/>
                <w:szCs w:val="20"/>
              </w:rPr>
            </w:pPr>
            <w:r>
              <w:rPr>
                <w:rFonts w:cs="Calibri" w:ascii="Cambria" w:hAnsi="Cambria"/>
                <w:sz w:val="20"/>
                <w:szCs w:val="20"/>
              </w:rPr>
              <w:t>100 000</w:t>
            </w:r>
          </w:p>
        </w:tc>
        <w:tc>
          <w:tcPr>
            <w:tcW w:w="1133" w:type="dxa"/>
            <w:tcBorders>
              <w:bottom w:val="single" w:sz="4" w:space="0" w:color="000000"/>
              <w:right w:val="single" w:sz="4" w:space="0" w:color="000000"/>
            </w:tcBorders>
            <w:shd w:fill="C5E0B2" w:val="clear"/>
            <w:vAlign w:val="center"/>
          </w:tcPr>
          <w:p>
            <w:pPr>
              <w:pStyle w:val="Normal"/>
              <w:jc w:val="center"/>
              <w:rPr>
                <w:rFonts w:ascii="Cambria" w:hAnsi="Cambria" w:cs="Calibri"/>
                <w:sz w:val="20"/>
                <w:szCs w:val="20"/>
              </w:rPr>
            </w:pPr>
            <w:r>
              <w:rPr>
                <w:rFonts w:cs="Calibri" w:ascii="Cambria" w:hAnsi="Cambria"/>
                <w:sz w:val="20"/>
                <w:szCs w:val="20"/>
              </w:rPr>
              <w:t>100 000</w:t>
            </w:r>
          </w:p>
        </w:tc>
      </w:tr>
      <w:tr>
        <w:trPr>
          <w:trHeight w:val="255" w:hRule="atLeast"/>
        </w:trPr>
        <w:tc>
          <w:tcPr>
            <w:tcW w:w="2415" w:type="dxa"/>
            <w:tcBorders>
              <w:left w:val="single" w:sz="4" w:space="0" w:color="000000"/>
              <w:bottom w:val="single" w:sz="4" w:space="0" w:color="000000"/>
              <w:right w:val="single" w:sz="4" w:space="0" w:color="000000"/>
            </w:tcBorders>
            <w:shd w:fill="ACB9CA" w:val="clear"/>
            <w:vAlign w:val="bottom"/>
          </w:tcPr>
          <w:p>
            <w:pPr>
              <w:pStyle w:val="Normal"/>
              <w:rPr>
                <w:rFonts w:ascii="Cambria" w:hAnsi="Cambria" w:cs="Calibri"/>
                <w:b/>
                <w:bCs/>
                <w:sz w:val="20"/>
                <w:szCs w:val="20"/>
              </w:rPr>
            </w:pPr>
            <w:r>
              <w:rPr>
                <w:rFonts w:cs="Calibri" w:ascii="Cambria" w:hAnsi="Cambria"/>
                <w:b/>
                <w:bCs/>
                <w:sz w:val="20"/>
                <w:szCs w:val="20"/>
              </w:rPr>
              <w:t>TOTAL</w:t>
            </w:r>
          </w:p>
        </w:tc>
        <w:tc>
          <w:tcPr>
            <w:tcW w:w="709" w:type="dxa"/>
            <w:tcBorders>
              <w:bottom w:val="single" w:sz="4" w:space="0" w:color="000000"/>
              <w:right w:val="single" w:sz="4" w:space="0" w:color="000000"/>
            </w:tcBorders>
            <w:shd w:fill="ACB9CA" w:val="clear"/>
            <w:vAlign w:val="center"/>
          </w:tcPr>
          <w:p>
            <w:pPr>
              <w:pStyle w:val="Normal"/>
              <w:rPr>
                <w:rFonts w:ascii="Cambria" w:hAnsi="Cambria" w:cs="Calibri"/>
                <w:b/>
                <w:bCs/>
                <w:sz w:val="20"/>
                <w:szCs w:val="20"/>
              </w:rPr>
            </w:pPr>
            <w:r>
              <w:rPr/>
            </w:r>
          </w:p>
        </w:tc>
        <w:tc>
          <w:tcPr>
            <w:tcW w:w="99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94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37"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1022"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2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0</w:t>
            </w:r>
          </w:p>
        </w:tc>
        <w:tc>
          <w:tcPr>
            <w:tcW w:w="851"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
          </w:p>
        </w:tc>
        <w:tc>
          <w:tcPr>
            <w:tcW w:w="1133" w:type="dxa"/>
            <w:tcBorders>
              <w:bottom w:val="single" w:sz="4" w:space="0" w:color="000000"/>
              <w:right w:val="single" w:sz="4" w:space="0" w:color="000000"/>
            </w:tcBorders>
            <w:shd w:fill="ACB9CA" w:val="clear"/>
            <w:vAlign w:val="center"/>
          </w:tcPr>
          <w:p>
            <w:pPr>
              <w:pStyle w:val="Normal"/>
              <w:jc w:val="center"/>
              <w:rPr>
                <w:rFonts w:ascii="Cambria" w:hAnsi="Cambria" w:cs="Calibri"/>
                <w:b/>
                <w:bCs/>
                <w:sz w:val="20"/>
                <w:szCs w:val="20"/>
              </w:rPr>
            </w:pPr>
            <w:r>
              <w:rPr>
                <w:rFonts w:cs="Calibri" w:ascii="Cambria" w:hAnsi="Cambria"/>
                <w:b/>
                <w:bCs/>
                <w:sz w:val="20"/>
                <w:szCs w:val="20"/>
              </w:rPr>
              <w:t>700 000</w:t>
            </w:r>
          </w:p>
        </w:tc>
      </w:tr>
    </w:tbl>
    <w:p>
      <w:pPr>
        <w:pStyle w:val="Heading3"/>
        <w:numPr>
          <w:ilvl w:val="2"/>
          <w:numId w:val="4"/>
        </w:numPr>
        <w:ind w:hanging="720" w:left="502" w:right="0"/>
        <w:rPr>
          <w:rFonts w:ascii="Times New Roman" w:hAnsi="Times New Roman" w:cs="Times New Roman"/>
          <w:sz w:val="24"/>
          <w:szCs w:val="24"/>
        </w:rPr>
      </w:pPr>
      <w:bookmarkStart w:id="19" w:name="__RefHeading___Toc234831718"/>
      <w:bookmarkEnd w:id="19"/>
      <w:r>
        <w:rPr>
          <w:rFonts w:cs="Times New Roman" w:ascii="Times New Roman" w:hAnsi="Times New Roman"/>
          <w:sz w:val="24"/>
          <w:szCs w:val="24"/>
        </w:rPr>
        <w:t>Frais Généraux</w:t>
      </w:r>
    </w:p>
    <w:p>
      <w:pPr>
        <w:pStyle w:val="Normal"/>
        <w:rPr>
          <w:sz w:val="22"/>
          <w:szCs w:val="22"/>
        </w:rPr>
      </w:pPr>
      <w:r>
        <w:rPr>
          <w:sz w:val="22"/>
          <w:szCs w:val="22"/>
        </w:rPr>
        <w:t>Les frais généraux de l’entreprise portent sur les éléments qui sont : transports/déplacements et publicité/communication. Le montant est évalué à 720 000 F durant toute l’année.</w:t>
      </w:r>
    </w:p>
    <w:p>
      <w:pPr>
        <w:pStyle w:val="Normal"/>
        <w:rPr>
          <w:b/>
          <w:bCs/>
          <w:sz w:val="22"/>
          <w:szCs w:val="22"/>
          <w:lang w:eastAsia="fr-CA"/>
        </w:rPr>
      </w:pPr>
      <w:r>
        <w:rPr>
          <w:b/>
          <w:bCs/>
          <w:sz w:val="22"/>
          <w:szCs w:val="22"/>
          <w:lang w:eastAsia="fr-CA"/>
        </w:rPr>
        <w:t>Frais généraux :</w:t>
      </w:r>
    </w:p>
    <w:tbl>
      <w:tblPr>
        <w:tblW w:w="9828" w:type="dxa"/>
        <w:jc w:val="center"/>
        <w:tblInd w:w="0" w:type="dxa"/>
        <w:tblLayout w:type="fixed"/>
        <w:tblCellMar>
          <w:top w:w="0" w:type="dxa"/>
          <w:left w:w="70" w:type="dxa"/>
          <w:bottom w:w="0" w:type="dxa"/>
          <w:right w:w="70" w:type="dxa"/>
        </w:tblCellMar>
      </w:tblPr>
      <w:tblGrid>
        <w:gridCol w:w="3546"/>
        <w:gridCol w:w="920"/>
        <w:gridCol w:w="1545"/>
        <w:gridCol w:w="1392"/>
        <w:gridCol w:w="1069"/>
        <w:gridCol w:w="1355"/>
      </w:tblGrid>
      <w:tr>
        <w:trPr>
          <w:trHeight w:val="573" w:hRule="atLeast"/>
        </w:trPr>
        <w:tc>
          <w:tcPr>
            <w:tcW w:w="3546" w:type="dxa"/>
            <w:tcBorders>
              <w:top w:val="single" w:sz="8" w:space="0" w:color="000000"/>
              <w:left w:val="single" w:sz="8" w:space="0" w:color="000000"/>
              <w:bottom w:val="single" w:sz="8" w:space="0" w:color="000000"/>
              <w:right w:val="single" w:sz="4" w:space="0" w:color="000000"/>
            </w:tcBorders>
            <w:shd w:fill="C65911" w:val="clear"/>
            <w:vAlign w:val="center"/>
          </w:tcPr>
          <w:p>
            <w:pPr>
              <w:pStyle w:val="Normal"/>
              <w:rPr>
                <w:b/>
                <w:bCs/>
                <w:color w:val="FFFFFF"/>
                <w:sz w:val="22"/>
                <w:szCs w:val="22"/>
                <w:lang w:eastAsia="fr-CA"/>
              </w:rPr>
            </w:pPr>
            <w:r>
              <w:rPr>
                <w:b/>
                <w:bCs/>
                <w:color w:val="FFFFFF"/>
                <w:sz w:val="22"/>
                <w:szCs w:val="22"/>
                <w:lang w:eastAsia="fr-CA"/>
              </w:rPr>
              <w:t>Désignation</w:t>
            </w:r>
          </w:p>
        </w:tc>
        <w:tc>
          <w:tcPr>
            <w:tcW w:w="920"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Unité</w:t>
            </w:r>
          </w:p>
        </w:tc>
        <w:tc>
          <w:tcPr>
            <w:tcW w:w="1545"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Qté/nbre/mois</w:t>
            </w:r>
          </w:p>
        </w:tc>
        <w:tc>
          <w:tcPr>
            <w:tcW w:w="1392"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Qté/nbre/an</w:t>
            </w:r>
          </w:p>
        </w:tc>
        <w:tc>
          <w:tcPr>
            <w:tcW w:w="1069" w:type="dxa"/>
            <w:tcBorders>
              <w:top w:val="single" w:sz="8" w:space="0" w:color="000000"/>
              <w:right w:val="single" w:sz="4"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Prix unitaire</w:t>
            </w:r>
          </w:p>
        </w:tc>
        <w:tc>
          <w:tcPr>
            <w:tcW w:w="1355" w:type="dxa"/>
            <w:tcBorders>
              <w:top w:val="single" w:sz="8" w:space="0" w:color="000000"/>
              <w:right w:val="single" w:sz="8" w:space="0" w:color="000000"/>
            </w:tcBorders>
            <w:shd w:fill="C65911" w:val="clear"/>
            <w:vAlign w:val="center"/>
          </w:tcPr>
          <w:p>
            <w:pPr>
              <w:pStyle w:val="Normal"/>
              <w:jc w:val="center"/>
              <w:rPr>
                <w:b/>
                <w:bCs/>
                <w:color w:val="FFFFFF"/>
                <w:sz w:val="22"/>
                <w:szCs w:val="22"/>
                <w:lang w:eastAsia="fr-CA"/>
              </w:rPr>
            </w:pPr>
            <w:r>
              <w:rPr>
                <w:b/>
                <w:bCs/>
                <w:color w:val="FFFFFF"/>
                <w:sz w:val="22"/>
                <w:szCs w:val="22"/>
                <w:lang w:eastAsia="fr-CA"/>
              </w:rPr>
              <w:t>Montant</w:t>
              <w:br/>
              <w:t xml:space="preserve"> (F.CFA)</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sz w:val="22"/>
                <w:szCs w:val="22"/>
                <w:lang w:eastAsia="fr-CA"/>
              </w:rPr>
            </w:pPr>
            <w:r>
              <w:rPr>
                <w:sz w:val="22"/>
                <w:szCs w:val="22"/>
                <w:lang w:eastAsia="fr-CA"/>
              </w:rPr>
              <w:t>Transports / déplacements</w:t>
            </w:r>
          </w:p>
        </w:tc>
        <w:tc>
          <w:tcPr>
            <w:tcW w:w="920"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sz w:val="22"/>
                <w:szCs w:val="22"/>
                <w:lang w:eastAsia="fr-CA"/>
              </w:rPr>
            </w:pPr>
            <w:r>
              <w:rPr>
                <w:color w:val="000000"/>
                <w:sz w:val="22"/>
                <w:szCs w:val="22"/>
                <w:lang w:eastAsia="fr-CA"/>
              </w:rPr>
              <w:t>12</w:t>
            </w:r>
          </w:p>
        </w:tc>
        <w:tc>
          <w:tcPr>
            <w:tcW w:w="1069"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40 000</w:t>
            </w:r>
          </w:p>
        </w:tc>
        <w:tc>
          <w:tcPr>
            <w:tcW w:w="135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480 000</w:t>
            </w:r>
          </w:p>
        </w:tc>
      </w:tr>
      <w:tr>
        <w:trPr>
          <w:trHeight w:val="278" w:hRule="atLeast"/>
        </w:trPr>
        <w:tc>
          <w:tcPr>
            <w:tcW w:w="3546" w:type="dxa"/>
            <w:tcBorders>
              <w:top w:val="single" w:sz="4" w:space="0" w:color="000000"/>
              <w:left w:val="single" w:sz="4" w:space="0" w:color="000000"/>
              <w:right w:val="single" w:sz="4" w:space="0" w:color="000000"/>
            </w:tcBorders>
            <w:vAlign w:val="center"/>
          </w:tcPr>
          <w:p>
            <w:pPr>
              <w:pStyle w:val="Normal"/>
              <w:rPr>
                <w:sz w:val="22"/>
                <w:szCs w:val="22"/>
                <w:lang w:eastAsia="fr-CA"/>
              </w:rPr>
            </w:pPr>
            <w:r>
              <w:rPr>
                <w:sz w:val="22"/>
                <w:szCs w:val="22"/>
                <w:lang w:eastAsia="fr-CA"/>
              </w:rPr>
              <w:t>Publicité / communication</w:t>
            </w:r>
          </w:p>
        </w:tc>
        <w:tc>
          <w:tcPr>
            <w:tcW w:w="920"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Unité</w:t>
            </w:r>
          </w:p>
        </w:tc>
        <w:tc>
          <w:tcPr>
            <w:tcW w:w="154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1</w:t>
            </w:r>
          </w:p>
        </w:tc>
        <w:tc>
          <w:tcPr>
            <w:tcW w:w="1392" w:type="dxa"/>
            <w:tcBorders>
              <w:top w:val="single" w:sz="4" w:space="0" w:color="000000"/>
              <w:bottom w:val="single" w:sz="4" w:space="0" w:color="000000"/>
              <w:right w:val="single" w:sz="4" w:space="0" w:color="000000"/>
            </w:tcBorders>
            <w:vAlign w:val="bottom"/>
          </w:tcPr>
          <w:p>
            <w:pPr>
              <w:pStyle w:val="Normal"/>
              <w:jc w:val="center"/>
              <w:rPr>
                <w:color w:val="000000"/>
                <w:sz w:val="22"/>
                <w:szCs w:val="22"/>
                <w:lang w:eastAsia="fr-CA"/>
              </w:rPr>
            </w:pPr>
            <w:r>
              <w:rPr>
                <w:color w:val="000000"/>
                <w:sz w:val="22"/>
                <w:szCs w:val="22"/>
                <w:lang w:eastAsia="fr-CA"/>
              </w:rPr>
              <w:t>12</w:t>
            </w:r>
          </w:p>
        </w:tc>
        <w:tc>
          <w:tcPr>
            <w:tcW w:w="1069"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20 000</w:t>
            </w:r>
          </w:p>
        </w:tc>
        <w:tc>
          <w:tcPr>
            <w:tcW w:w="1355" w:type="dxa"/>
            <w:tcBorders>
              <w:top w:val="single" w:sz="4" w:space="0" w:color="000000"/>
              <w:bottom w:val="single" w:sz="4" w:space="0" w:color="000000"/>
              <w:right w:val="single" w:sz="4" w:space="0" w:color="000000"/>
            </w:tcBorders>
            <w:vAlign w:val="center"/>
          </w:tcPr>
          <w:p>
            <w:pPr>
              <w:pStyle w:val="Normal"/>
              <w:jc w:val="center"/>
              <w:rPr>
                <w:sz w:val="22"/>
                <w:szCs w:val="22"/>
                <w:lang w:eastAsia="fr-CA"/>
              </w:rPr>
            </w:pPr>
            <w:r>
              <w:rPr>
                <w:sz w:val="22"/>
                <w:szCs w:val="22"/>
                <w:lang w:eastAsia="fr-CA"/>
              </w:rPr>
              <w:t>240 000</w:t>
            </w:r>
          </w:p>
        </w:tc>
      </w:tr>
      <w:tr>
        <w:trPr>
          <w:trHeight w:val="295" w:hRule="atLeast"/>
        </w:trPr>
        <w:tc>
          <w:tcPr>
            <w:tcW w:w="3546" w:type="dxa"/>
            <w:tcBorders>
              <w:top w:val="single" w:sz="4" w:space="0" w:color="000000"/>
              <w:left w:val="single" w:sz="4" w:space="0" w:color="000000"/>
              <w:bottom w:val="single" w:sz="8" w:space="0" w:color="000000"/>
              <w:right w:val="single" w:sz="4" w:space="0" w:color="000000"/>
            </w:tcBorders>
            <w:shd w:fill="ACB9CA" w:val="clear"/>
            <w:vAlign w:val="center"/>
          </w:tcPr>
          <w:p>
            <w:pPr>
              <w:pStyle w:val="Normal"/>
              <w:jc w:val="center"/>
              <w:rPr>
                <w:b/>
                <w:bCs/>
                <w:sz w:val="22"/>
                <w:szCs w:val="22"/>
                <w:lang w:eastAsia="fr-CA"/>
              </w:rPr>
            </w:pPr>
            <w:r>
              <w:rPr>
                <w:b/>
                <w:bCs/>
                <w:sz w:val="22"/>
                <w:szCs w:val="22"/>
                <w:lang w:eastAsia="fr-CA"/>
              </w:rPr>
              <w:t>TOTAL</w:t>
            </w:r>
          </w:p>
        </w:tc>
        <w:tc>
          <w:tcPr>
            <w:tcW w:w="920"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545"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392"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069" w:type="dxa"/>
            <w:tcBorders>
              <w:bottom w:val="single" w:sz="8" w:space="0" w:color="000000"/>
              <w:right w:val="single" w:sz="4" w:space="0" w:color="000000"/>
            </w:tcBorders>
            <w:shd w:fill="ACB9CA" w:val="clear"/>
            <w:vAlign w:val="center"/>
          </w:tcPr>
          <w:p>
            <w:pPr>
              <w:pStyle w:val="Normal"/>
              <w:jc w:val="center"/>
              <w:rPr>
                <w:b/>
                <w:bCs/>
                <w:sz w:val="22"/>
                <w:szCs w:val="22"/>
                <w:lang w:eastAsia="fr-CA"/>
              </w:rPr>
            </w:pPr>
            <w:r>
              <w:rPr/>
            </w:r>
          </w:p>
        </w:tc>
        <w:tc>
          <w:tcPr>
            <w:tcW w:w="1355" w:type="dxa"/>
            <w:tcBorders>
              <w:bottom w:val="single" w:sz="8" w:space="0" w:color="000000"/>
              <w:right w:val="single" w:sz="4" w:space="0" w:color="000000"/>
            </w:tcBorders>
            <w:shd w:fill="ACB9CA" w:val="clear"/>
            <w:vAlign w:val="center"/>
          </w:tcPr>
          <w:p>
            <w:pPr>
              <w:pStyle w:val="Normal"/>
              <w:jc w:val="center"/>
              <w:rPr>
                <w:sz w:val="22"/>
                <w:szCs w:val="22"/>
                <w:lang w:eastAsia="fr-CA"/>
              </w:rPr>
            </w:pPr>
            <w:r>
              <w:rPr>
                <w:sz w:val="22"/>
                <w:szCs w:val="22"/>
                <w:lang w:eastAsia="fr-CA"/>
              </w:rPr>
              <w:t>720 000</w:t>
            </w:r>
          </w:p>
        </w:tc>
      </w:tr>
    </w:tbl>
    <w:p>
      <w:pPr>
        <w:pStyle w:val="Heading3"/>
        <w:numPr>
          <w:ilvl w:val="2"/>
          <w:numId w:val="4"/>
        </w:numPr>
        <w:ind w:hanging="720" w:left="502" w:right="0"/>
        <w:rPr>
          <w:rFonts w:ascii="Times New Roman" w:hAnsi="Times New Roman" w:cs="Times New Roman"/>
          <w:sz w:val="24"/>
          <w:szCs w:val="24"/>
        </w:rPr>
      </w:pPr>
      <w:bookmarkStart w:id="20" w:name="__RefHeading___Toc234831719"/>
      <w:bookmarkEnd w:id="20"/>
      <w:r>
        <w:rPr>
          <w:rFonts w:cs="Times New Roman" w:ascii="Times New Roman" w:hAnsi="Times New Roman"/>
          <w:sz w:val="24"/>
          <w:szCs w:val="24"/>
        </w:rPr>
        <w:t>Dotations aux amortissements</w:t>
      </w:r>
    </w:p>
    <w:p>
      <w:pPr>
        <w:pStyle w:val="Normal"/>
        <w:spacing w:before="120" w:after="0"/>
        <w:jc w:val="both"/>
        <w:rPr>
          <w:iCs/>
          <w:sz w:val="22"/>
          <w:szCs w:val="22"/>
        </w:rPr>
      </w:pPr>
      <w:r>
        <w:rPr>
          <w:iCs/>
          <w:sz w:val="22"/>
          <w:szCs w:val="22"/>
        </w:rPr>
        <w:t>Les dotations aux amortissements sont calculées dans le tableau ci-dessous sur les cinq prochaines années.</w:t>
      </w:r>
    </w:p>
    <w:tbl>
      <w:tblPr>
        <w:tblW w:w="9644" w:type="dxa"/>
        <w:jc w:val="left"/>
        <w:tblInd w:w="65" w:type="dxa"/>
        <w:tblLayout w:type="fixed"/>
        <w:tblCellMar>
          <w:top w:w="0" w:type="dxa"/>
          <w:left w:w="70" w:type="dxa"/>
          <w:bottom w:w="0" w:type="dxa"/>
          <w:right w:w="70" w:type="dxa"/>
        </w:tblCellMar>
      </w:tblPr>
      <w:tblGrid>
        <w:gridCol w:w="2511"/>
        <w:gridCol w:w="1005"/>
        <w:gridCol w:w="1105"/>
        <w:gridCol w:w="1004"/>
        <w:gridCol w:w="1005"/>
        <w:gridCol w:w="1005"/>
        <w:gridCol w:w="1004"/>
        <w:gridCol w:w="1003"/>
      </w:tblGrid>
      <w:tr>
        <w:trPr>
          <w:trHeight w:val="315" w:hRule="atLeast"/>
        </w:trPr>
        <w:tc>
          <w:tcPr>
            <w:tcW w:w="2511"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Dotation aux amortissements</w:t>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color w:val="FFFFFF"/>
                <w:sz w:val="22"/>
                <w:szCs w:val="22"/>
              </w:rPr>
            </w:pPr>
            <w:r>
              <w:rPr>
                <w:b/>
                <w:bCs/>
                <w:color w:val="FFFFFF"/>
                <w:sz w:val="22"/>
                <w:szCs w:val="22"/>
              </w:rPr>
            </w:r>
          </w:p>
        </w:tc>
        <w:tc>
          <w:tcPr>
            <w:tcW w:w="11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color w:val="FFFFFF"/>
                <w:sz w:val="22"/>
                <w:szCs w:val="22"/>
              </w:rPr>
            </w:pPr>
            <w:r>
              <w:rPr>
                <w:b/>
                <w:bCs/>
                <w:color w:val="FFFFFF"/>
                <w:sz w:val="22"/>
                <w:szCs w:val="22"/>
              </w:rPr>
            </w:r>
          </w:p>
        </w:tc>
        <w:tc>
          <w:tcPr>
            <w:tcW w:w="1004"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5"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4"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1003"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r>
      <w:tr>
        <w:trPr>
          <w:trHeight w:val="315" w:hRule="atLeast"/>
        </w:trPr>
        <w:tc>
          <w:tcPr>
            <w:tcW w:w="2511"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Désignations/Années</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Montant</w:t>
            </w:r>
          </w:p>
        </w:tc>
        <w:tc>
          <w:tcPr>
            <w:tcW w:w="11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Taux</w:t>
            </w:r>
          </w:p>
        </w:tc>
        <w:tc>
          <w:tcPr>
            <w:tcW w:w="1004"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AN1</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AN2</w:t>
            </w:r>
          </w:p>
        </w:tc>
        <w:tc>
          <w:tcPr>
            <w:tcW w:w="1005"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AN3</w:t>
            </w:r>
          </w:p>
        </w:tc>
        <w:tc>
          <w:tcPr>
            <w:tcW w:w="1004"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AN4</w:t>
            </w:r>
          </w:p>
        </w:tc>
        <w:tc>
          <w:tcPr>
            <w:tcW w:w="1003" w:type="dxa"/>
            <w:tcBorders>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AN5</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Frais d'établissement</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100,00%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50 000</w:t>
            </w:r>
          </w:p>
        </w:tc>
        <w:tc>
          <w:tcPr>
            <w:tcW w:w="1005"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t>-</w:t>
            </w:r>
          </w:p>
        </w:tc>
        <w:tc>
          <w:tcPr>
            <w:tcW w:w="1003" w:type="dxa"/>
            <w:tcBorders>
              <w:bottom w:val="single" w:sz="4" w:space="0" w:color="000000"/>
              <w:right w:val="single" w:sz="4" w:space="0" w:color="000000"/>
            </w:tcBorders>
            <w:vAlign w:val="bottom"/>
          </w:tcPr>
          <w:p>
            <w:pPr>
              <w:pStyle w:val="Normal"/>
              <w:snapToGrid w:val="false"/>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2.1 Constructions</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3"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2.2 Agencement-Aménagement-Installations</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Aménagement local de transformation</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1 200 000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300 000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300 000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Installation électrique et plomberie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75 000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Peinture et carrelage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200 000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25%</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50 000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50 000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2.3 Mobiliers et matériels</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Balance de précision</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33%</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16 667</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16 667</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16 667</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Tables de travail inox</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150 000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33%</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50 000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Étagères de stockage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33%</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33 333</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33 333</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33 333</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shd w:fill="CCFFFF" w:val="clear"/>
            <w:vAlign w:val="bottom"/>
          </w:tcPr>
          <w:p>
            <w:pPr>
              <w:pStyle w:val="Normal"/>
              <w:jc w:val="center"/>
              <w:rPr>
                <w:sz w:val="22"/>
                <w:szCs w:val="22"/>
              </w:rPr>
            </w:pPr>
            <w:r>
              <w:rPr>
                <w:sz w:val="22"/>
                <w:szCs w:val="22"/>
              </w:rPr>
              <w:t>2.4 Equipements de production</w:t>
            </w:r>
          </w:p>
        </w:tc>
        <w:tc>
          <w:tcPr>
            <w:tcW w:w="10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105" w:type="dxa"/>
            <w:tcBorders>
              <w:bottom w:val="single" w:sz="4" w:space="0" w:color="000000"/>
              <w:right w:val="single" w:sz="4" w:space="0" w:color="000000"/>
            </w:tcBorders>
            <w:shd w:fill="CCFFFF" w:val="clear"/>
            <w:vAlign w:val="bottom"/>
          </w:tcPr>
          <w:p>
            <w:pPr>
              <w:pStyle w:val="Normal"/>
              <w:snapToGrid w:val="false"/>
              <w:jc w:val="center"/>
              <w:rPr>
                <w:sz w:val="22"/>
                <w:szCs w:val="22"/>
              </w:rPr>
            </w:pPr>
            <w:r>
              <w:rPr>
                <w:sz w:val="22"/>
                <w:szCs w:val="22"/>
              </w:rPr>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5"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4"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c>
          <w:tcPr>
            <w:tcW w:w="1003" w:type="dxa"/>
            <w:tcBorders>
              <w:bottom w:val="single" w:sz="4" w:space="0" w:color="000000"/>
              <w:right w:val="single" w:sz="4" w:space="0" w:color="000000"/>
            </w:tcBorders>
            <w:shd w:fill="CCFFFF" w:val="clear"/>
            <w:vAlign w:val="bottom"/>
          </w:tcPr>
          <w:p>
            <w:pPr>
              <w:pStyle w:val="Normal"/>
              <w:jc w:val="center"/>
              <w:rPr>
                <w:sz w:val="22"/>
                <w:szCs w:val="22"/>
              </w:rPr>
            </w:pPr>
            <w:r>
              <w:rPr>
                <w:sz w:val="22"/>
                <w:szCs w:val="22"/>
              </w:rPr>
              <w:t>-</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Éplucheuse électrique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400 000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80 000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80 000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80 000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80 000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80 000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Trancheuse / râpe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300 000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60 000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Friteuse professionnelle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500 000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100 000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100 000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100 000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100 000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100 000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Séchoir solaire</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600 000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120 000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120 000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120 000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120 000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120 000</w:t>
            </w:r>
          </w:p>
        </w:tc>
      </w:tr>
      <w:tr>
        <w:trPr>
          <w:trHeight w:val="285" w:hRule="atLeast"/>
        </w:trPr>
        <w:tc>
          <w:tcPr>
            <w:tcW w:w="2511"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Broyeur, mixeur et petit matériel</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700 000</w:t>
            </w:r>
          </w:p>
        </w:tc>
        <w:tc>
          <w:tcPr>
            <w:tcW w:w="1105" w:type="dxa"/>
            <w:tcBorders>
              <w:bottom w:val="single" w:sz="4" w:space="0" w:color="000000"/>
              <w:right w:val="single" w:sz="4" w:space="0" w:color="000000"/>
            </w:tcBorders>
            <w:vAlign w:val="bottom"/>
          </w:tcPr>
          <w:p>
            <w:pPr>
              <w:pStyle w:val="Normal"/>
              <w:jc w:val="center"/>
              <w:rPr>
                <w:sz w:val="22"/>
                <w:szCs w:val="22"/>
              </w:rPr>
            </w:pPr>
            <w:r>
              <w:rPr>
                <w:sz w:val="22"/>
                <w:szCs w:val="22"/>
              </w:rPr>
              <w:t>20%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140 000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140 000</w:t>
            </w:r>
          </w:p>
        </w:tc>
        <w:tc>
          <w:tcPr>
            <w:tcW w:w="1005" w:type="dxa"/>
            <w:tcBorders>
              <w:bottom w:val="single" w:sz="4" w:space="0" w:color="000000"/>
              <w:right w:val="single" w:sz="4" w:space="0" w:color="000000"/>
            </w:tcBorders>
            <w:vAlign w:val="bottom"/>
          </w:tcPr>
          <w:p>
            <w:pPr>
              <w:pStyle w:val="Normal"/>
              <w:jc w:val="center"/>
              <w:rPr>
                <w:sz w:val="22"/>
                <w:szCs w:val="22"/>
              </w:rPr>
            </w:pPr>
            <w:r>
              <w:rPr>
                <w:sz w:val="22"/>
                <w:szCs w:val="22"/>
              </w:rPr>
              <w:t>140 000</w:t>
            </w:r>
          </w:p>
        </w:tc>
        <w:tc>
          <w:tcPr>
            <w:tcW w:w="1004" w:type="dxa"/>
            <w:tcBorders>
              <w:bottom w:val="single" w:sz="4" w:space="0" w:color="000000"/>
              <w:right w:val="single" w:sz="4" w:space="0" w:color="000000"/>
            </w:tcBorders>
            <w:vAlign w:val="bottom"/>
          </w:tcPr>
          <w:p>
            <w:pPr>
              <w:pStyle w:val="Normal"/>
              <w:jc w:val="center"/>
              <w:rPr>
                <w:sz w:val="22"/>
                <w:szCs w:val="22"/>
              </w:rPr>
            </w:pPr>
            <w:r>
              <w:rPr>
                <w:sz w:val="22"/>
                <w:szCs w:val="22"/>
              </w:rPr>
              <w:t>140 000</w:t>
            </w:r>
          </w:p>
        </w:tc>
        <w:tc>
          <w:tcPr>
            <w:tcW w:w="1003" w:type="dxa"/>
            <w:tcBorders>
              <w:bottom w:val="single" w:sz="4" w:space="0" w:color="000000"/>
              <w:right w:val="single" w:sz="4" w:space="0" w:color="000000"/>
            </w:tcBorders>
            <w:vAlign w:val="bottom"/>
          </w:tcPr>
          <w:p>
            <w:pPr>
              <w:pStyle w:val="Normal"/>
              <w:jc w:val="center"/>
              <w:rPr>
                <w:sz w:val="22"/>
                <w:szCs w:val="22"/>
              </w:rPr>
            </w:pPr>
            <w:r>
              <w:rPr>
                <w:sz w:val="22"/>
                <w:szCs w:val="22"/>
              </w:rPr>
              <w:t>140 000</w:t>
            </w:r>
          </w:p>
        </w:tc>
      </w:tr>
      <w:tr>
        <w:trPr>
          <w:trHeight w:val="285" w:hRule="atLeast"/>
        </w:trPr>
        <w:tc>
          <w:tcPr>
            <w:tcW w:w="2511"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4 550 000</w:t>
            </w:r>
          </w:p>
        </w:tc>
        <w:tc>
          <w:tcPr>
            <w:tcW w:w="1105" w:type="dxa"/>
            <w:tcBorders>
              <w:bottom w:val="single" w:sz="4" w:space="0" w:color="000000"/>
              <w:right w:val="single" w:sz="4" w:space="0" w:color="000000"/>
            </w:tcBorders>
            <w:shd w:fill="F4C9C8" w:val="clear"/>
            <w:vAlign w:val="bottom"/>
          </w:tcPr>
          <w:p>
            <w:pPr>
              <w:pStyle w:val="Normal"/>
              <w:snapToGrid w:val="false"/>
              <w:jc w:val="center"/>
              <w:rPr>
                <w:b/>
                <w:bCs/>
                <w:i/>
                <w:i/>
                <w:iCs/>
                <w:sz w:val="22"/>
                <w:szCs w:val="22"/>
              </w:rPr>
            </w:pPr>
            <w:r>
              <w:rPr>
                <w:b/>
                <w:bCs/>
                <w:i/>
                <w:iCs/>
                <w:sz w:val="22"/>
                <w:szCs w:val="22"/>
              </w:rPr>
            </w:r>
          </w:p>
        </w:tc>
        <w:tc>
          <w:tcPr>
            <w:tcW w:w="1004"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1 075 000</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1 025 000</w:t>
            </w:r>
          </w:p>
        </w:tc>
        <w:tc>
          <w:tcPr>
            <w:tcW w:w="1005"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1 025 000</w:t>
            </w:r>
          </w:p>
        </w:tc>
        <w:tc>
          <w:tcPr>
            <w:tcW w:w="1004"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925 000</w:t>
            </w:r>
          </w:p>
        </w:tc>
        <w:tc>
          <w:tcPr>
            <w:tcW w:w="1003" w:type="dxa"/>
            <w:tcBorders>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500 000</w:t>
            </w:r>
          </w:p>
        </w:tc>
      </w:tr>
      <w:tr>
        <w:trPr>
          <w:trHeight w:val="285" w:hRule="atLeast"/>
        </w:trPr>
        <w:tc>
          <w:tcPr>
            <w:tcW w:w="2511" w:type="dxa"/>
            <w:tcBorders/>
            <w:vAlign w:val="bottom"/>
          </w:tcPr>
          <w:p>
            <w:pPr>
              <w:pStyle w:val="Normal"/>
              <w:snapToGrid w:val="false"/>
              <w:jc w:val="right"/>
              <w:rPr>
                <w:b/>
                <w:bCs/>
                <w:i/>
                <w:i/>
                <w:iCs/>
                <w:sz w:val="22"/>
                <w:szCs w:val="22"/>
              </w:rPr>
            </w:pPr>
            <w:r>
              <w:rPr>
                <w:b/>
                <w:bCs/>
                <w:i/>
                <w:iCs/>
                <w:sz w:val="22"/>
                <w:szCs w:val="22"/>
              </w:rPr>
            </w:r>
          </w:p>
        </w:tc>
        <w:tc>
          <w:tcPr>
            <w:tcW w:w="1005" w:type="dxa"/>
            <w:tcBorders/>
            <w:vAlign w:val="bottom"/>
          </w:tcPr>
          <w:p>
            <w:pPr>
              <w:pStyle w:val="Normal"/>
              <w:snapToGrid w:val="false"/>
              <w:jc w:val="right"/>
              <w:rPr>
                <w:b/>
                <w:bCs/>
                <w:i/>
                <w:i/>
                <w:iCs/>
                <w:sz w:val="22"/>
                <w:szCs w:val="22"/>
              </w:rPr>
            </w:pPr>
            <w:r>
              <w:rPr>
                <w:b/>
                <w:bCs/>
                <w:i/>
                <w:iCs/>
                <w:sz w:val="22"/>
                <w:szCs w:val="22"/>
              </w:rPr>
            </w:r>
          </w:p>
        </w:tc>
        <w:tc>
          <w:tcPr>
            <w:tcW w:w="1105" w:type="dxa"/>
            <w:tcBorders/>
            <w:vAlign w:val="bottom"/>
          </w:tcPr>
          <w:p>
            <w:pPr>
              <w:pStyle w:val="Normal"/>
              <w:snapToGrid w:val="false"/>
              <w:jc w:val="right"/>
              <w:rPr>
                <w:sz w:val="22"/>
                <w:szCs w:val="22"/>
              </w:rPr>
            </w:pPr>
            <w:r>
              <w:rPr>
                <w:sz w:val="22"/>
                <w:szCs w:val="22"/>
              </w:rPr>
            </w:r>
          </w:p>
        </w:tc>
        <w:tc>
          <w:tcPr>
            <w:tcW w:w="1004" w:type="dxa"/>
            <w:tcBorders/>
            <w:vAlign w:val="bottom"/>
          </w:tcPr>
          <w:p>
            <w:pPr>
              <w:pStyle w:val="Normal"/>
              <w:snapToGrid w:val="false"/>
              <w:jc w:val="right"/>
              <w:rPr>
                <w:sz w:val="22"/>
                <w:szCs w:val="22"/>
              </w:rPr>
            </w:pPr>
            <w:r>
              <w:rPr>
                <w:sz w:val="22"/>
                <w:szCs w:val="22"/>
              </w:rPr>
            </w:r>
          </w:p>
        </w:tc>
        <w:tc>
          <w:tcPr>
            <w:tcW w:w="1005" w:type="dxa"/>
            <w:tcBorders/>
            <w:vAlign w:val="bottom"/>
          </w:tcPr>
          <w:p>
            <w:pPr>
              <w:pStyle w:val="Normal"/>
              <w:snapToGrid w:val="false"/>
              <w:jc w:val="right"/>
              <w:rPr>
                <w:sz w:val="22"/>
                <w:szCs w:val="22"/>
              </w:rPr>
            </w:pPr>
            <w:r>
              <w:rPr>
                <w:sz w:val="22"/>
                <w:szCs w:val="22"/>
              </w:rPr>
            </w:r>
          </w:p>
        </w:tc>
        <w:tc>
          <w:tcPr>
            <w:tcW w:w="1005" w:type="dxa"/>
            <w:tcBorders/>
            <w:vAlign w:val="bottom"/>
          </w:tcPr>
          <w:p>
            <w:pPr>
              <w:pStyle w:val="Normal"/>
              <w:snapToGrid w:val="false"/>
              <w:jc w:val="right"/>
              <w:rPr>
                <w:sz w:val="22"/>
                <w:szCs w:val="22"/>
              </w:rPr>
            </w:pPr>
            <w:r>
              <w:rPr>
                <w:sz w:val="22"/>
                <w:szCs w:val="22"/>
              </w:rPr>
            </w:r>
          </w:p>
        </w:tc>
        <w:tc>
          <w:tcPr>
            <w:tcW w:w="1004" w:type="dxa"/>
            <w:tcBorders/>
            <w:vAlign w:val="bottom"/>
          </w:tcPr>
          <w:p>
            <w:pPr>
              <w:pStyle w:val="Normal"/>
              <w:snapToGrid w:val="false"/>
              <w:jc w:val="right"/>
              <w:rPr>
                <w:sz w:val="22"/>
                <w:szCs w:val="22"/>
              </w:rPr>
            </w:pPr>
            <w:r>
              <w:rPr>
                <w:sz w:val="22"/>
                <w:szCs w:val="22"/>
              </w:rPr>
            </w:r>
          </w:p>
        </w:tc>
        <w:tc>
          <w:tcPr>
            <w:tcW w:w="1003" w:type="dxa"/>
            <w:tcBorders/>
            <w:vAlign w:val="bottom"/>
          </w:tcPr>
          <w:p>
            <w:pPr>
              <w:pStyle w:val="Normal"/>
              <w:snapToGrid w:val="false"/>
              <w:jc w:val="right"/>
              <w:rPr>
                <w:sz w:val="22"/>
                <w:szCs w:val="22"/>
              </w:rPr>
            </w:pPr>
            <w:r>
              <w:rPr>
                <w:sz w:val="22"/>
                <w:szCs w:val="22"/>
              </w:rPr>
            </w:r>
          </w:p>
        </w:tc>
      </w:tr>
    </w:tbl>
    <w:p>
      <w:pPr>
        <w:pStyle w:val="Heading3"/>
        <w:numPr>
          <w:ilvl w:val="2"/>
          <w:numId w:val="4"/>
        </w:numPr>
        <w:spacing w:before="120" w:after="120"/>
        <w:ind w:hanging="720" w:left="502" w:right="0"/>
        <w:jc w:val="both"/>
        <w:rPr>
          <w:rFonts w:ascii="Times New Roman" w:hAnsi="Times New Roman" w:cs="Times New Roman"/>
          <w:iCs/>
          <w:sz w:val="22"/>
          <w:szCs w:val="22"/>
        </w:rPr>
      </w:pPr>
      <w:bookmarkStart w:id="21" w:name="__RefHeading___Toc234831720"/>
      <w:bookmarkEnd w:id="21"/>
      <w:r>
        <w:rPr>
          <w:rFonts w:cs="Times New Roman" w:ascii="Times New Roman" w:hAnsi="Times New Roman"/>
          <w:sz w:val="24"/>
          <w:szCs w:val="24"/>
        </w:rPr>
        <w:t>Echéancier de remboursement</w:t>
      </w:r>
    </w:p>
    <w:p>
      <w:pPr>
        <w:pStyle w:val="Normal"/>
        <w:spacing w:before="120" w:after="120"/>
        <w:jc w:val="both"/>
        <w:rPr>
          <w:iCs/>
          <w:sz w:val="22"/>
          <w:szCs w:val="22"/>
        </w:rPr>
      </w:pPr>
      <w:r>
        <w:rPr>
          <w:iCs/>
          <w:sz w:val="22"/>
          <w:szCs w:val="22"/>
        </w:rPr>
        <w:t>L’échéancier de remboursement porte sur 36 mois, dont un différé de 3 mois pendant lequel seuls les intérêts sont payés, soit 33 échéances mensuelles.</w:t>
      </w:r>
    </w:p>
    <w:tbl>
      <w:tblPr>
        <w:tblW w:w="10070" w:type="dxa"/>
        <w:jc w:val="left"/>
        <w:tblInd w:w="65" w:type="dxa"/>
        <w:tblLayout w:type="fixed"/>
        <w:tblCellMar>
          <w:top w:w="0" w:type="dxa"/>
          <w:left w:w="70" w:type="dxa"/>
          <w:bottom w:w="0" w:type="dxa"/>
          <w:right w:w="70" w:type="dxa"/>
        </w:tblCellMar>
      </w:tblPr>
      <w:tblGrid>
        <w:gridCol w:w="997"/>
        <w:gridCol w:w="1417"/>
        <w:gridCol w:w="1134"/>
        <w:gridCol w:w="1134"/>
        <w:gridCol w:w="1135"/>
        <w:gridCol w:w="1701"/>
        <w:gridCol w:w="1276"/>
        <w:gridCol w:w="1274"/>
      </w:tblGrid>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Montant du Prêt :</w:t>
            </w:r>
          </w:p>
        </w:tc>
        <w:tc>
          <w:tcPr>
            <w:tcW w:w="1134" w:type="dxa"/>
            <w:tcBorders>
              <w:top w:val="single" w:sz="4" w:space="0" w:color="000000"/>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5 400 000</w:t>
            </w:r>
          </w:p>
        </w:tc>
        <w:tc>
          <w:tcPr>
            <w:tcW w:w="1134" w:type="dxa"/>
            <w:tcBorders>
              <w:top w:val="single" w:sz="4" w:space="0" w:color="000000"/>
              <w:bottom w:val="single" w:sz="4" w:space="0" w:color="000000"/>
              <w:right w:val="single" w:sz="4" w:space="0" w:color="000000"/>
            </w:tcBorders>
            <w:shd w:fill="F2F2F2" w:val="clear"/>
            <w:vAlign w:val="bottom"/>
          </w:tcPr>
          <w:p>
            <w:pPr>
              <w:pStyle w:val="Normal"/>
              <w:jc w:val="center"/>
              <w:rPr>
                <w:b/>
                <w:bCs/>
                <w:color w:val="800000"/>
                <w:sz w:val="22"/>
                <w:szCs w:val="22"/>
              </w:rPr>
            </w:pPr>
            <w:r>
              <w:rPr>
                <w:b/>
                <w:bCs/>
                <w:color w:val="800000"/>
                <w:sz w:val="22"/>
                <w:szCs w:val="22"/>
              </w:rPr>
              <w:t>FCFA</w:t>
            </w:r>
          </w:p>
        </w:tc>
        <w:tc>
          <w:tcPr>
            <w:tcW w:w="1135"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top w:val="single" w:sz="4" w:space="0" w:color="000000"/>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Taux d'intérêt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8%</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 soit</w:t>
            </w:r>
          </w:p>
        </w:tc>
        <w:tc>
          <w:tcPr>
            <w:tcW w:w="1135" w:type="dxa"/>
            <w:tcBorders>
              <w:bottom w:val="single" w:sz="4" w:space="0" w:color="000000"/>
              <w:right w:val="single" w:sz="4" w:space="0" w:color="000000"/>
            </w:tcBorders>
            <w:shd w:fill="F2F2F2" w:val="clear"/>
            <w:vAlign w:val="bottom"/>
          </w:tcPr>
          <w:p>
            <w:pPr>
              <w:pStyle w:val="Normal"/>
              <w:jc w:val="center"/>
              <w:rPr>
                <w:b/>
                <w:bCs/>
                <w:color w:val="800000"/>
                <w:sz w:val="22"/>
                <w:szCs w:val="22"/>
              </w:rPr>
            </w:pPr>
            <w:r>
              <w:rPr>
                <w:b/>
                <w:bCs/>
                <w:color w:val="800000"/>
                <w:sz w:val="22"/>
                <w:szCs w:val="22"/>
              </w:rPr>
              <w:t>0,67%</w:t>
            </w:r>
          </w:p>
        </w:tc>
        <w:tc>
          <w:tcPr>
            <w:tcW w:w="1701"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mois</w:t>
            </w:r>
          </w:p>
        </w:tc>
        <w:tc>
          <w:tcPr>
            <w:tcW w:w="1276" w:type="dxa"/>
            <w:tcBorders>
              <w:bottom w:val="single" w:sz="4" w:space="0" w:color="000000"/>
              <w:right w:val="single" w:sz="4" w:space="0" w:color="000000"/>
            </w:tcBorders>
            <w:shd w:fill="F2F2F2" w:val="clear"/>
            <w:vAlign w:val="bottom"/>
          </w:tcPr>
          <w:p>
            <w:pPr>
              <w:pStyle w:val="Normal"/>
              <w:snapToGrid w:val="false"/>
              <w:jc w:val="center"/>
              <w:rPr>
                <w:sz w:val="22"/>
                <w:szCs w:val="22"/>
              </w:rPr>
            </w:pPr>
            <w:r>
              <w:rPr>
                <w:sz w:val="22"/>
                <w:szCs w:val="22"/>
              </w:rPr>
            </w:r>
          </w:p>
        </w:tc>
        <w:tc>
          <w:tcPr>
            <w:tcW w:w="1274" w:type="dxa"/>
            <w:tcBorders/>
            <w:shd w:fill="F2F2F2" w:val="clear"/>
            <w:vAlign w:val="bottom"/>
          </w:tcPr>
          <w:p>
            <w:pPr>
              <w:pStyle w:val="Normal"/>
              <w:snapToGrid w:val="false"/>
              <w:jc w:val="center"/>
              <w:rPr>
                <w:sz w:val="22"/>
                <w:szCs w:val="22"/>
              </w:rPr>
            </w:pPr>
            <w:r>
              <w:rPr>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TAF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17%</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Taux d'intérêt appliqué TTC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9,36%</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par an</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sz w:val="22"/>
                <w:szCs w:val="22"/>
              </w:rPr>
            </w:pPr>
            <w:r>
              <w:rPr>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Période de remboursement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sz w:val="22"/>
                <w:szCs w:val="22"/>
              </w:rPr>
            </w:pPr>
            <w:r>
              <w:rPr>
                <w:sz w:val="22"/>
                <w:szCs w:val="22"/>
              </w:rPr>
              <w:t>par mois</w:t>
            </w:r>
          </w:p>
        </w:tc>
        <w:tc>
          <w:tcPr>
            <w:tcW w:w="1134" w:type="dxa"/>
            <w:tcBorders>
              <w:bottom w:val="single" w:sz="4" w:space="0" w:color="000000"/>
              <w:right w:val="single" w:sz="4" w:space="0" w:color="000000"/>
            </w:tcBorders>
            <w:shd w:fill="F2F2F2" w:val="clear"/>
            <w:vAlign w:val="bottom"/>
          </w:tcPr>
          <w:p>
            <w:pPr>
              <w:pStyle w:val="Normal"/>
              <w:snapToGrid w:val="false"/>
              <w:jc w:val="center"/>
              <w:rPr>
                <w:sz w:val="22"/>
                <w:szCs w:val="22"/>
              </w:rPr>
            </w:pPr>
            <w:r>
              <w:rPr>
                <w:sz w:val="22"/>
                <w:szCs w:val="22"/>
              </w:rPr>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Période de différé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3</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mois</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Durée du prêt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36</w:t>
            </w:r>
          </w:p>
        </w:tc>
        <w:tc>
          <w:tcPr>
            <w:tcW w:w="1134" w:type="dxa"/>
            <w:tcBorders>
              <w:bottom w:val="single" w:sz="4" w:space="0" w:color="000000"/>
              <w:right w:val="single" w:sz="4" w:space="0" w:color="000000"/>
            </w:tcBorders>
            <w:shd w:fill="F2F2F2" w:val="clear"/>
            <w:vAlign w:val="bottom"/>
          </w:tcPr>
          <w:p>
            <w:pPr>
              <w:pStyle w:val="Normal"/>
              <w:jc w:val="center"/>
              <w:rPr>
                <w:sz w:val="22"/>
                <w:szCs w:val="22"/>
              </w:rPr>
            </w:pPr>
            <w:r>
              <w:rPr>
                <w:sz w:val="22"/>
                <w:szCs w:val="22"/>
              </w:rPr>
              <w:t>mois</w:t>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15" w:hRule="atLeast"/>
        </w:trPr>
        <w:tc>
          <w:tcPr>
            <w:tcW w:w="2414" w:type="dxa"/>
            <w:gridSpan w:val="2"/>
            <w:tcBorders>
              <w:top w:val="single" w:sz="4" w:space="0" w:color="000000"/>
              <w:left w:val="single" w:sz="4" w:space="0" w:color="000000"/>
              <w:bottom w:val="single" w:sz="4" w:space="0" w:color="000000"/>
              <w:right w:val="single" w:sz="4" w:space="0" w:color="000000"/>
            </w:tcBorders>
            <w:shd w:fill="F2F2F2" w:val="clear"/>
            <w:vAlign w:val="bottom"/>
          </w:tcPr>
          <w:p>
            <w:pPr>
              <w:pStyle w:val="Normal"/>
              <w:jc w:val="center"/>
              <w:rPr>
                <w:b/>
                <w:bCs/>
                <w:sz w:val="22"/>
                <w:szCs w:val="22"/>
              </w:rPr>
            </w:pPr>
            <w:r>
              <w:rPr>
                <w:b/>
                <w:bCs/>
                <w:sz w:val="22"/>
                <w:szCs w:val="22"/>
              </w:rPr>
              <w:t>Nombre d'échéance :</w:t>
            </w:r>
          </w:p>
        </w:tc>
        <w:tc>
          <w:tcPr>
            <w:tcW w:w="1134" w:type="dxa"/>
            <w:tcBorders>
              <w:left w:val="single" w:sz="4" w:space="0" w:color="000000"/>
              <w:bottom w:val="single" w:sz="4" w:space="0" w:color="000000"/>
              <w:right w:val="single" w:sz="4" w:space="0" w:color="000000"/>
            </w:tcBorders>
            <w:shd w:fill="C5E0B2" w:val="clear"/>
            <w:vAlign w:val="bottom"/>
          </w:tcPr>
          <w:p>
            <w:pPr>
              <w:pStyle w:val="Normal"/>
              <w:jc w:val="center"/>
              <w:rPr>
                <w:b/>
                <w:bCs/>
                <w:color w:val="800000"/>
                <w:sz w:val="22"/>
                <w:szCs w:val="22"/>
              </w:rPr>
            </w:pPr>
            <w:r>
              <w:rPr>
                <w:b/>
                <w:bCs/>
                <w:color w:val="800000"/>
                <w:sz w:val="22"/>
                <w:szCs w:val="22"/>
              </w:rPr>
              <w:t>33</w:t>
            </w:r>
          </w:p>
        </w:tc>
        <w:tc>
          <w:tcPr>
            <w:tcW w:w="1134"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135" w:type="dxa"/>
            <w:tcBorders>
              <w:bottom w:val="single" w:sz="4" w:space="0" w:color="000000"/>
              <w:right w:val="single" w:sz="4" w:space="0" w:color="000000"/>
            </w:tcBorders>
            <w:shd w:fill="F2F2F2" w:val="clear"/>
            <w:vAlign w:val="bottom"/>
          </w:tcPr>
          <w:p>
            <w:pPr>
              <w:pStyle w:val="Normal"/>
              <w:snapToGrid w:val="false"/>
              <w:jc w:val="center"/>
              <w:rPr>
                <w:b/>
                <w:bCs/>
                <w:color w:val="800000"/>
                <w:sz w:val="22"/>
                <w:szCs w:val="22"/>
              </w:rPr>
            </w:pPr>
            <w:r>
              <w:rPr>
                <w:b/>
                <w:bCs/>
                <w:color w:val="800000"/>
                <w:sz w:val="22"/>
                <w:szCs w:val="22"/>
              </w:rPr>
            </w:r>
          </w:p>
        </w:tc>
        <w:tc>
          <w:tcPr>
            <w:tcW w:w="1701" w:type="dxa"/>
            <w:tcBorders>
              <w:bottom w:val="single" w:sz="4" w:space="0" w:color="000000"/>
              <w:right w:val="single" w:sz="4" w:space="0" w:color="000000"/>
            </w:tcBorders>
            <w:shd w:fill="F2F2F2" w:val="clear"/>
            <w:vAlign w:val="bottom"/>
          </w:tcPr>
          <w:p>
            <w:pPr>
              <w:pStyle w:val="Normal"/>
              <w:snapToGrid w:val="false"/>
              <w:jc w:val="center"/>
              <w:rPr>
                <w:color w:val="800000"/>
                <w:sz w:val="22"/>
                <w:szCs w:val="22"/>
              </w:rPr>
            </w:pPr>
            <w:r>
              <w:rPr>
                <w:color w:val="800000"/>
                <w:sz w:val="22"/>
                <w:szCs w:val="22"/>
              </w:rPr>
            </w:r>
          </w:p>
        </w:tc>
        <w:tc>
          <w:tcPr>
            <w:tcW w:w="1276" w:type="dxa"/>
            <w:tcBorders>
              <w:bottom w:val="single" w:sz="4" w:space="0" w:color="000000"/>
              <w:right w:val="single" w:sz="4" w:space="0" w:color="000000"/>
            </w:tcBorders>
            <w:shd w:fill="F2F2F2" w:val="clear"/>
            <w:vAlign w:val="bottom"/>
          </w:tcPr>
          <w:p>
            <w:pPr>
              <w:pStyle w:val="Normal"/>
              <w:snapToGrid w:val="false"/>
              <w:jc w:val="center"/>
              <w:rPr>
                <w:color w:val="800000"/>
                <w:sz w:val="22"/>
                <w:szCs w:val="22"/>
              </w:rPr>
            </w:pPr>
            <w:r>
              <w:rPr>
                <w:color w:val="800000"/>
                <w:sz w:val="22"/>
                <w:szCs w:val="22"/>
              </w:rPr>
            </w:r>
          </w:p>
        </w:tc>
        <w:tc>
          <w:tcPr>
            <w:tcW w:w="1274" w:type="dxa"/>
            <w:tcBorders/>
            <w:shd w:fill="F2F2F2" w:val="clear"/>
            <w:vAlign w:val="bottom"/>
          </w:tcPr>
          <w:p>
            <w:pPr>
              <w:pStyle w:val="Normal"/>
              <w:snapToGrid w:val="false"/>
              <w:jc w:val="center"/>
              <w:rPr>
                <w:color w:val="800000"/>
                <w:sz w:val="22"/>
                <w:szCs w:val="22"/>
              </w:rPr>
            </w:pPr>
            <w:r>
              <w:rPr>
                <w:color w:val="800000"/>
                <w:sz w:val="22"/>
                <w:szCs w:val="22"/>
              </w:rPr>
            </w:r>
          </w:p>
        </w:tc>
      </w:tr>
      <w:tr>
        <w:trPr>
          <w:trHeight w:val="300" w:hRule="atLeast"/>
        </w:trPr>
        <w:tc>
          <w:tcPr>
            <w:tcW w:w="997" w:type="dxa"/>
            <w:tcBorders/>
            <w:shd w:fill="FFFFFF" w:val="clear"/>
            <w:vAlign w:val="bottom"/>
          </w:tcPr>
          <w:p>
            <w:pPr>
              <w:pStyle w:val="Normal"/>
              <w:snapToGrid w:val="false"/>
              <w:jc w:val="center"/>
              <w:rPr>
                <w:color w:val="800000"/>
                <w:sz w:val="22"/>
                <w:szCs w:val="22"/>
              </w:rPr>
            </w:pPr>
            <w:r>
              <w:rPr>
                <w:color w:val="800000"/>
                <w:sz w:val="22"/>
                <w:szCs w:val="22"/>
              </w:rPr>
            </w:r>
          </w:p>
        </w:tc>
        <w:tc>
          <w:tcPr>
            <w:tcW w:w="1417" w:type="dxa"/>
            <w:tcBorders/>
            <w:shd w:fill="FFFFFF" w:val="clear"/>
            <w:vAlign w:val="bottom"/>
          </w:tcPr>
          <w:p>
            <w:pPr>
              <w:pStyle w:val="Normal"/>
              <w:snapToGrid w:val="false"/>
              <w:jc w:val="center"/>
              <w:rPr>
                <w:color w:val="800000"/>
                <w:sz w:val="22"/>
                <w:szCs w:val="22"/>
              </w:rPr>
            </w:pPr>
            <w:r>
              <w:rPr>
                <w:color w:val="800000"/>
                <w:sz w:val="22"/>
                <w:szCs w:val="22"/>
              </w:rPr>
            </w:r>
          </w:p>
        </w:tc>
        <w:tc>
          <w:tcPr>
            <w:tcW w:w="1134" w:type="dxa"/>
            <w:tcBorders/>
            <w:shd w:fill="FFFFFF" w:val="clear"/>
            <w:vAlign w:val="bottom"/>
          </w:tcPr>
          <w:p>
            <w:pPr>
              <w:pStyle w:val="Normal"/>
              <w:snapToGrid w:val="false"/>
              <w:jc w:val="center"/>
              <w:rPr>
                <w:sz w:val="22"/>
                <w:szCs w:val="22"/>
              </w:rPr>
            </w:pPr>
            <w:r>
              <w:rPr>
                <w:sz w:val="22"/>
                <w:szCs w:val="22"/>
              </w:rPr>
            </w:r>
          </w:p>
        </w:tc>
        <w:tc>
          <w:tcPr>
            <w:tcW w:w="1134" w:type="dxa"/>
            <w:tcBorders/>
            <w:shd w:fill="FFFFFF" w:val="clear"/>
            <w:vAlign w:val="bottom"/>
          </w:tcPr>
          <w:p>
            <w:pPr>
              <w:pStyle w:val="Normal"/>
              <w:snapToGrid w:val="false"/>
              <w:jc w:val="center"/>
              <w:rPr>
                <w:sz w:val="22"/>
                <w:szCs w:val="22"/>
              </w:rPr>
            </w:pPr>
            <w:r>
              <w:rPr>
                <w:sz w:val="22"/>
                <w:szCs w:val="22"/>
              </w:rPr>
            </w:r>
          </w:p>
        </w:tc>
        <w:tc>
          <w:tcPr>
            <w:tcW w:w="1135" w:type="dxa"/>
            <w:tcBorders/>
            <w:shd w:fill="FFFFFF" w:val="clear"/>
            <w:vAlign w:val="bottom"/>
          </w:tcPr>
          <w:p>
            <w:pPr>
              <w:pStyle w:val="Normal"/>
              <w:snapToGrid w:val="false"/>
              <w:jc w:val="center"/>
              <w:rPr>
                <w:sz w:val="22"/>
                <w:szCs w:val="22"/>
              </w:rPr>
            </w:pPr>
            <w:r>
              <w:rPr>
                <w:sz w:val="22"/>
                <w:szCs w:val="22"/>
              </w:rPr>
            </w:r>
          </w:p>
        </w:tc>
        <w:tc>
          <w:tcPr>
            <w:tcW w:w="1701" w:type="dxa"/>
            <w:tcBorders/>
            <w:shd w:fill="FFFFFF" w:val="clear"/>
            <w:vAlign w:val="bottom"/>
          </w:tcPr>
          <w:p>
            <w:pPr>
              <w:pStyle w:val="Normal"/>
              <w:snapToGrid w:val="false"/>
              <w:jc w:val="center"/>
              <w:rPr>
                <w:sz w:val="22"/>
                <w:szCs w:val="22"/>
              </w:rPr>
            </w:pPr>
            <w:r>
              <w:rPr>
                <w:sz w:val="22"/>
                <w:szCs w:val="22"/>
              </w:rPr>
            </w:r>
          </w:p>
        </w:tc>
        <w:tc>
          <w:tcPr>
            <w:tcW w:w="1276" w:type="dxa"/>
            <w:tcBorders/>
            <w:shd w:fill="FFFFFF" w:val="clear"/>
            <w:vAlign w:val="bottom"/>
          </w:tcPr>
          <w:p>
            <w:pPr>
              <w:pStyle w:val="Normal"/>
              <w:snapToGrid w:val="false"/>
              <w:jc w:val="center"/>
              <w:rPr>
                <w:sz w:val="22"/>
                <w:szCs w:val="22"/>
              </w:rPr>
            </w:pPr>
            <w:r>
              <w:rPr>
                <w:sz w:val="22"/>
                <w:szCs w:val="22"/>
              </w:rPr>
            </w:r>
          </w:p>
        </w:tc>
        <w:tc>
          <w:tcPr>
            <w:tcW w:w="1274" w:type="dxa"/>
            <w:tcBorders/>
            <w:shd w:fill="FFFFFF" w:val="clear"/>
            <w:vAlign w:val="bottom"/>
          </w:tcPr>
          <w:p>
            <w:pPr>
              <w:pStyle w:val="Normal"/>
              <w:snapToGrid w:val="false"/>
              <w:jc w:val="center"/>
              <w:rPr>
                <w:sz w:val="22"/>
                <w:szCs w:val="22"/>
              </w:rPr>
            </w:pPr>
            <w:r>
              <w:rPr>
                <w:sz w:val="22"/>
                <w:szCs w:val="22"/>
              </w:rPr>
            </w:r>
          </w:p>
        </w:tc>
      </w:tr>
      <w:tr>
        <w:trPr>
          <w:trHeight w:val="315" w:hRule="atLeast"/>
        </w:trPr>
        <w:tc>
          <w:tcPr>
            <w:tcW w:w="997"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Période</w:t>
            </w:r>
          </w:p>
        </w:tc>
        <w:tc>
          <w:tcPr>
            <w:tcW w:w="1417"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Montant</w:t>
            </w:r>
          </w:p>
        </w:tc>
        <w:tc>
          <w:tcPr>
            <w:tcW w:w="1134"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Intérêts</w:t>
            </w:r>
          </w:p>
        </w:tc>
        <w:tc>
          <w:tcPr>
            <w:tcW w:w="1134"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TAF</w:t>
            </w:r>
          </w:p>
        </w:tc>
        <w:tc>
          <w:tcPr>
            <w:tcW w:w="1135" w:type="dxa"/>
            <w:vMerge w:val="restart"/>
            <w:tcBorders>
              <w:top w:val="single" w:sz="4" w:space="0" w:color="000000"/>
              <w:left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Frais Financier</w:t>
            </w:r>
          </w:p>
        </w:tc>
        <w:tc>
          <w:tcPr>
            <w:tcW w:w="1701" w:type="dxa"/>
            <w:tcBorders>
              <w:top w:val="single" w:sz="4" w:space="0" w:color="000000"/>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Remboursement</w:t>
            </w:r>
          </w:p>
        </w:tc>
        <w:tc>
          <w:tcPr>
            <w:tcW w:w="1276" w:type="dxa"/>
            <w:tcBorders>
              <w:top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274" w:type="dxa"/>
            <w:tcBorders>
              <w:top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r>
      <w:tr>
        <w:trPr>
          <w:trHeight w:val="630" w:hRule="atLeast"/>
        </w:trPr>
        <w:tc>
          <w:tcPr>
            <w:tcW w:w="997"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417"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4"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4"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135" w:type="dxa"/>
            <w:vMerge w:val="continue"/>
            <w:tcBorders>
              <w:top w:val="single" w:sz="4" w:space="0" w:color="000000"/>
              <w:left w:val="single" w:sz="4" w:space="0" w:color="000000"/>
              <w:bottom w:val="single" w:sz="4" w:space="0" w:color="000000"/>
              <w:right w:val="single" w:sz="4" w:space="0" w:color="000000"/>
            </w:tcBorders>
            <w:shd w:fill="ACB9CA" w:val="clear"/>
            <w:vAlign w:val="center"/>
          </w:tcPr>
          <w:p>
            <w:pPr>
              <w:pStyle w:val="Normal"/>
              <w:snapToGrid w:val="false"/>
              <w:jc w:val="center"/>
              <w:rPr>
                <w:b/>
                <w:bCs/>
                <w:sz w:val="22"/>
                <w:szCs w:val="22"/>
              </w:rPr>
            </w:pPr>
            <w:r>
              <w:rPr>
                <w:b/>
                <w:bCs/>
                <w:sz w:val="22"/>
                <w:szCs w:val="22"/>
              </w:rPr>
            </w:r>
          </w:p>
        </w:tc>
        <w:tc>
          <w:tcPr>
            <w:tcW w:w="1701"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Principal</w:t>
            </w:r>
          </w:p>
        </w:tc>
        <w:tc>
          <w:tcPr>
            <w:tcW w:w="1276"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Périodicité</w:t>
              <w:br/>
              <w:t>dégressive</w:t>
            </w:r>
          </w:p>
        </w:tc>
        <w:tc>
          <w:tcPr>
            <w:tcW w:w="1274" w:type="dxa"/>
            <w:tcBorders>
              <w:bottom w:val="single" w:sz="4" w:space="0" w:color="000000"/>
              <w:right w:val="single" w:sz="4" w:space="0" w:color="000000"/>
            </w:tcBorders>
            <w:shd w:fill="ACB9CA" w:val="clear"/>
            <w:vAlign w:val="center"/>
          </w:tcPr>
          <w:p>
            <w:pPr>
              <w:pStyle w:val="Normal"/>
              <w:jc w:val="center"/>
              <w:rPr>
                <w:b/>
                <w:bCs/>
                <w:sz w:val="22"/>
                <w:szCs w:val="22"/>
              </w:rPr>
            </w:pPr>
            <w:r>
              <w:rPr>
                <w:b/>
                <w:bCs/>
                <w:sz w:val="22"/>
                <w:szCs w:val="22"/>
              </w:rPr>
              <w:t>Périodicité</w:t>
              <w:br/>
              <w:t>linéaire</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b/>
                <w:bCs/>
                <w:sz w:val="22"/>
                <w:szCs w:val="22"/>
              </w:rPr>
            </w:pPr>
            <w:r>
              <w:rPr>
                <w:b/>
                <w:bCs/>
                <w:sz w:val="22"/>
                <w:szCs w:val="22"/>
              </w:rPr>
              <w:t>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5 400 000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36 000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6 120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42 120</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42 120</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5 400 000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36 000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6 120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42 120</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42 120</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5 400 000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36 000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6 120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42 120</w:t>
            </w:r>
          </w:p>
        </w:tc>
        <w:tc>
          <w:tcPr>
            <w:tcW w:w="1701"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42 120</w:t>
            </w:r>
          </w:p>
        </w:tc>
        <w:tc>
          <w:tcPr>
            <w:tcW w:w="1274" w:type="dxa"/>
            <w:tcBorders>
              <w:top w:val="single" w:sz="4" w:space="0" w:color="000000"/>
              <w:left w:val="single" w:sz="4" w:space="0" w:color="000000"/>
              <w:bottom w:val="single" w:sz="4" w:space="0" w:color="000000"/>
              <w:right w:val="single" w:sz="4" w:space="0" w:color="000000"/>
            </w:tcBorders>
            <w:shd w:fill="B3C6E7" w:val="clear"/>
            <w:vAlign w:val="center"/>
          </w:tcPr>
          <w:p>
            <w:pPr>
              <w:pStyle w:val="Normal"/>
              <w:jc w:val="center"/>
              <w:rPr>
                <w:sz w:val="22"/>
                <w:szCs w:val="22"/>
              </w:rPr>
            </w:pPr>
            <w:r>
              <w:rPr>
                <w:sz w:val="22"/>
                <w:szCs w:val="22"/>
              </w:rPr>
              <w:t>-</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5 400 000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36 000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6 120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42 120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205 756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5 236 364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34 909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5 935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40 844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204 480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5 072 727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33 818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5 749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39 567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203 204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4 909 091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32 727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5 564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38 291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201 927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4 745 455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31 636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5 378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37 015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200 651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4 581 818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30 545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5 193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35 738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199 375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4 418 182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29 455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5 007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34 462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198 098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4 254 545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28 364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4 822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33 185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196 822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12</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4 090 909</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27 273</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4 636</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31 909</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163 636</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195 545</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3 927 273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4 451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30 633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194 269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3 763 636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25 091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4 265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29 356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192 993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3 600 000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4 080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28 080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191 716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3 436 364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22 909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3 895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26 804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190 440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3 272 727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3 709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25 527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3 109 091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20 727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3 524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24 251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187 887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19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2 945 455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3 338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22 975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186 611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2 781 818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3 153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21 698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185 335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2 618 182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2 967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20 422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184 058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2 454 545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2 782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19 145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182 782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2 290 909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2 596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17 869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181 505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24</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2 127 273</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14 182</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2 411</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16 593</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163 636</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180 229</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1 963 636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13 091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2 225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15 316</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178 953</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26</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1 800 000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12 000</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2 040</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14 040</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177 676</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27</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1 636 364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1 855</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12 764</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176 400</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28</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1 472 727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1 669</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11 487</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175 124</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29</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1 309 091</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8 727</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1 484</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10 211</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173 847</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30</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1 145 455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7 636</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1 298</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8 935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172 571</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31</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981 818</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1 113</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7 658</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171 295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32</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818 182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5 455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927</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6 382</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170 018</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33</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654 545</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4 364</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742</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5 105</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168 742</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34</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490 909</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556</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3 829</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167 465</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sz w:val="22"/>
                <w:szCs w:val="22"/>
              </w:rPr>
            </w:pPr>
            <w:r>
              <w:rPr>
                <w:sz w:val="22"/>
                <w:szCs w:val="22"/>
              </w:rPr>
              <w:t>35</w:t>
            </w:r>
          </w:p>
        </w:tc>
        <w:tc>
          <w:tcPr>
            <w:tcW w:w="1417"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327 273</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2 182</w:t>
            </w:r>
          </w:p>
        </w:tc>
        <w:tc>
          <w:tcPr>
            <w:tcW w:w="113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371</w:t>
            </w:r>
          </w:p>
        </w:tc>
        <w:tc>
          <w:tcPr>
            <w:tcW w:w="1135"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2 553</w:t>
            </w:r>
          </w:p>
        </w:tc>
        <w:tc>
          <w:tcPr>
            <w:tcW w:w="1701"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163 636</w:t>
            </w:r>
          </w:p>
        </w:tc>
        <w:tc>
          <w:tcPr>
            <w:tcW w:w="1276"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166 189</w:t>
            </w:r>
          </w:p>
        </w:tc>
        <w:tc>
          <w:tcPr>
            <w:tcW w:w="1274" w:type="dxa"/>
            <w:tcBorders>
              <w:bottom w:val="single" w:sz="4" w:space="0" w:color="000000"/>
              <w:right w:val="single" w:sz="4" w:space="0" w:color="000000"/>
            </w:tcBorders>
            <w:shd w:fill="FFFFFF" w:val="clear"/>
            <w:vAlign w:val="center"/>
          </w:tcPr>
          <w:p>
            <w:pPr>
              <w:pStyle w:val="Normal"/>
              <w:jc w:val="center"/>
              <w:rPr>
                <w:sz w:val="22"/>
                <w:szCs w:val="22"/>
              </w:rPr>
            </w:pPr>
            <w:r>
              <w:rPr>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36</w:t>
            </w:r>
          </w:p>
        </w:tc>
        <w:tc>
          <w:tcPr>
            <w:tcW w:w="1417"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163 636</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1 091</w:t>
            </w:r>
          </w:p>
        </w:tc>
        <w:tc>
          <w:tcPr>
            <w:tcW w:w="113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185</w:t>
            </w:r>
          </w:p>
        </w:tc>
        <w:tc>
          <w:tcPr>
            <w:tcW w:w="1135"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1 276</w:t>
            </w:r>
          </w:p>
        </w:tc>
        <w:tc>
          <w:tcPr>
            <w:tcW w:w="1701"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163 636</w:t>
            </w:r>
          </w:p>
        </w:tc>
        <w:tc>
          <w:tcPr>
            <w:tcW w:w="1276"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164 913</w:t>
            </w:r>
          </w:p>
        </w:tc>
        <w:tc>
          <w:tcPr>
            <w:tcW w:w="1274" w:type="dxa"/>
            <w:tcBorders>
              <w:bottom w:val="single" w:sz="4" w:space="0" w:color="000000"/>
              <w:right w:val="single" w:sz="4" w:space="0" w:color="000000"/>
            </w:tcBorders>
            <w:shd w:fill="C9C9C9" w:val="clear"/>
            <w:vAlign w:val="center"/>
          </w:tcPr>
          <w:p>
            <w:pPr>
              <w:pStyle w:val="Normal"/>
              <w:jc w:val="center"/>
              <w:rPr>
                <w:b/>
                <w:bCs/>
                <w:sz w:val="22"/>
                <w:szCs w:val="22"/>
              </w:rPr>
            </w:pPr>
            <w:r>
              <w:rPr>
                <w:b/>
                <w:bCs/>
                <w:sz w:val="22"/>
                <w:szCs w:val="22"/>
              </w:rPr>
              <w:t>189 164</w:t>
            </w:r>
          </w:p>
        </w:tc>
      </w:tr>
      <w:tr>
        <w:trPr>
          <w:trHeight w:val="315" w:hRule="atLeast"/>
        </w:trPr>
        <w:tc>
          <w:tcPr>
            <w:tcW w:w="997" w:type="dxa"/>
            <w:tcBorders>
              <w:left w:val="single" w:sz="4" w:space="0" w:color="000000"/>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TOTAL</w:t>
            </w:r>
          </w:p>
        </w:tc>
        <w:tc>
          <w:tcPr>
            <w:tcW w:w="1417"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4"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4" w:type="dxa"/>
            <w:tcBorders>
              <w:bottom w:val="single" w:sz="4" w:space="0" w:color="000000"/>
              <w:right w:val="single" w:sz="4" w:space="0" w:color="000000"/>
            </w:tcBorders>
            <w:shd w:fill="FFFFFF" w:val="clear"/>
            <w:vAlign w:val="center"/>
          </w:tcPr>
          <w:p>
            <w:pPr>
              <w:pStyle w:val="Normal"/>
              <w:snapToGrid w:val="false"/>
              <w:jc w:val="center"/>
              <w:rPr>
                <w:b/>
                <w:bCs/>
                <w:color w:val="000080"/>
                <w:sz w:val="22"/>
                <w:szCs w:val="22"/>
              </w:rPr>
            </w:pPr>
            <w:r>
              <w:rPr>
                <w:b/>
                <w:bCs/>
                <w:color w:val="000080"/>
                <w:sz w:val="22"/>
                <w:szCs w:val="22"/>
              </w:rPr>
            </w:r>
          </w:p>
        </w:tc>
        <w:tc>
          <w:tcPr>
            <w:tcW w:w="1135"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842 400</w:t>
            </w:r>
          </w:p>
        </w:tc>
        <w:tc>
          <w:tcPr>
            <w:tcW w:w="1701"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5 400 000</w:t>
            </w:r>
          </w:p>
        </w:tc>
        <w:tc>
          <w:tcPr>
            <w:tcW w:w="1276"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6 242 400</w:t>
            </w:r>
          </w:p>
        </w:tc>
        <w:tc>
          <w:tcPr>
            <w:tcW w:w="1274" w:type="dxa"/>
            <w:tcBorders>
              <w:bottom w:val="single" w:sz="4" w:space="0" w:color="000000"/>
              <w:right w:val="single" w:sz="4" w:space="0" w:color="000000"/>
            </w:tcBorders>
            <w:shd w:fill="FFFFFF" w:val="clear"/>
            <w:vAlign w:val="center"/>
          </w:tcPr>
          <w:p>
            <w:pPr>
              <w:pStyle w:val="Normal"/>
              <w:jc w:val="center"/>
              <w:rPr>
                <w:b/>
                <w:bCs/>
                <w:color w:val="000080"/>
                <w:sz w:val="22"/>
                <w:szCs w:val="22"/>
              </w:rPr>
            </w:pPr>
            <w:r>
              <w:rPr>
                <w:b/>
                <w:bCs/>
                <w:color w:val="000080"/>
                <w:sz w:val="22"/>
                <w:szCs w:val="22"/>
              </w:rPr>
              <w:t>6 242 400</w:t>
            </w:r>
          </w:p>
        </w:tc>
      </w:tr>
    </w:tbl>
    <w:p>
      <w:pPr>
        <w:pStyle w:val="Heading2"/>
        <w:keepLines/>
        <w:numPr>
          <w:ilvl w:val="1"/>
          <w:numId w:val="4"/>
        </w:numPr>
        <w:spacing w:before="120" w:after="120"/>
        <w:ind w:hanging="491" w:left="851" w:right="0"/>
        <w:jc w:val="both"/>
        <w:rPr>
          <w:rFonts w:ascii="Times New Roman" w:hAnsi="Times New Roman" w:cs="Times New Roman"/>
          <w:i w:val="false"/>
          <w:i w:val="false"/>
          <w:iCs w:val="false"/>
          <w:lang w:val="fr-CI"/>
        </w:rPr>
      </w:pPr>
      <w:bookmarkStart w:id="22" w:name="__RefHeading___Toc234831721"/>
      <w:bookmarkEnd w:id="22"/>
      <w:r>
        <w:rPr>
          <w:rFonts w:cs="Times New Roman" w:ascii="Times New Roman" w:hAnsi="Times New Roman"/>
          <w:i w:val="false"/>
          <w:iCs w:val="false"/>
          <w:lang w:val="fr-CI"/>
        </w:rPr>
        <w:t>Coût total du projet</w:t>
      </w:r>
    </w:p>
    <w:p>
      <w:pPr>
        <w:pStyle w:val="Normal"/>
        <w:spacing w:before="120" w:after="120"/>
        <w:rPr>
          <w:iCs/>
          <w:sz w:val="22"/>
          <w:szCs w:val="22"/>
        </w:rPr>
      </w:pPr>
      <w:r>
        <w:rPr>
          <w:iCs/>
          <w:sz w:val="22"/>
          <w:szCs w:val="22"/>
        </w:rPr>
        <w:t xml:space="preserve">Le coût total du projet est évalué à </w:t>
      </w:r>
      <w:r>
        <w:rPr>
          <w:b/>
          <w:bCs/>
          <w:iCs/>
          <w:color w:val="000000"/>
          <w:sz w:val="22"/>
          <w:szCs w:val="22"/>
          <w:lang w:eastAsia="fr-CA"/>
        </w:rPr>
        <w:t xml:space="preserve">6 000 000 </w:t>
      </w:r>
      <w:r>
        <w:rPr>
          <w:iCs/>
          <w:sz w:val="22"/>
          <w:szCs w:val="22"/>
        </w:rPr>
        <w:t xml:space="preserve">FCFA. Ce montant est composé par : les frais d’investissement </w:t>
      </w:r>
      <w:r>
        <w:rPr>
          <w:b/>
          <w:bCs/>
          <w:iCs/>
          <w:sz w:val="22"/>
          <w:szCs w:val="22"/>
          <w:lang w:eastAsia="fr-CA"/>
        </w:rPr>
        <w:t xml:space="preserve">4 500 000 </w:t>
      </w:r>
      <w:r>
        <w:rPr>
          <w:iCs/>
          <w:sz w:val="22"/>
          <w:szCs w:val="22"/>
        </w:rPr>
        <w:t xml:space="preserve">FCFA (75,0%) , le besoin en fonds de roulement </w:t>
      </w:r>
      <w:r>
        <w:rPr>
          <w:b/>
          <w:bCs/>
          <w:iCs/>
          <w:sz w:val="22"/>
          <w:szCs w:val="22"/>
          <w:lang w:eastAsia="fr-CA"/>
        </w:rPr>
        <w:t xml:space="preserve">1 450 000 </w:t>
      </w:r>
      <w:r>
        <w:rPr>
          <w:iCs/>
          <w:sz w:val="22"/>
          <w:szCs w:val="22"/>
        </w:rPr>
        <w:t xml:space="preserve"> FCFA (24,2%) et les frais d’établissement 50 000 FCFA (0,8%).</w:t>
      </w:r>
    </w:p>
    <w:tbl>
      <w:tblPr>
        <w:tblW w:w="9600" w:type="dxa"/>
        <w:jc w:val="left"/>
        <w:tblInd w:w="65" w:type="dxa"/>
        <w:tblLayout w:type="fixed"/>
        <w:tblCellMar>
          <w:top w:w="0" w:type="dxa"/>
          <w:left w:w="70" w:type="dxa"/>
          <w:bottom w:w="0" w:type="dxa"/>
          <w:right w:w="70" w:type="dxa"/>
        </w:tblCellMar>
      </w:tblPr>
      <w:tblGrid>
        <w:gridCol w:w="5940"/>
        <w:gridCol w:w="1289"/>
        <w:gridCol w:w="1551"/>
        <w:gridCol w:w="819"/>
      </w:tblGrid>
      <w:tr>
        <w:trPr>
          <w:trHeight w:val="405" w:hRule="atLeast"/>
        </w:trPr>
        <w:tc>
          <w:tcPr>
            <w:tcW w:w="5940" w:type="dxa"/>
            <w:tcBorders>
              <w:top w:val="single" w:sz="4" w:space="0" w:color="000000"/>
              <w:left w:val="single" w:sz="4" w:space="0" w:color="000000"/>
              <w:bottom w:val="single" w:sz="4" w:space="0" w:color="000000"/>
            </w:tcBorders>
            <w:shd w:fill="166B7F" w:val="clear"/>
            <w:vAlign w:val="bottom"/>
          </w:tcPr>
          <w:p>
            <w:pPr>
              <w:pStyle w:val="Normal"/>
              <w:rPr>
                <w:b/>
                <w:bCs/>
                <w:color w:val="FFFFFF"/>
                <w:sz w:val="22"/>
                <w:szCs w:val="22"/>
              </w:rPr>
            </w:pPr>
            <w:r>
              <w:rPr>
                <w:b/>
                <w:bCs/>
                <w:color w:val="FFFFFF"/>
                <w:sz w:val="22"/>
                <w:szCs w:val="22"/>
              </w:rPr>
              <w:t>EVALUATION DU COÛT DE  PROJET (FCFA)</w:t>
            </w:r>
          </w:p>
        </w:tc>
        <w:tc>
          <w:tcPr>
            <w:tcW w:w="2840" w:type="dxa"/>
            <w:gridSpan w:val="2"/>
            <w:tcBorders>
              <w:top w:val="single" w:sz="4" w:space="0" w:color="000000"/>
              <w:left w:val="single" w:sz="4" w:space="0" w:color="000000"/>
              <w:bottom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Montant FCFA</w:t>
            </w:r>
          </w:p>
        </w:tc>
        <w:tc>
          <w:tcPr>
            <w:tcW w:w="819" w:type="dxa"/>
            <w:tcBorders>
              <w:top w:val="single" w:sz="4" w:space="0" w:color="000000"/>
              <w:right w:val="single" w:sz="4" w:space="0" w:color="000000"/>
            </w:tcBorders>
            <w:shd w:fill="166B7F" w:val="clear"/>
            <w:vAlign w:val="bottom"/>
          </w:tcPr>
          <w:p>
            <w:pPr>
              <w:pStyle w:val="Normal"/>
              <w:jc w:val="center"/>
              <w:rPr>
                <w:b/>
                <w:bCs/>
                <w:color w:val="FFFFFF"/>
                <w:sz w:val="22"/>
                <w:szCs w:val="22"/>
              </w:rPr>
            </w:pPr>
            <w:r>
              <w:rPr>
                <w:b/>
                <w:bCs/>
                <w:color w:val="FFFFFF"/>
                <w:sz w:val="22"/>
                <w:szCs w:val="22"/>
              </w:rPr>
              <w:t>%</w:t>
            </w:r>
          </w:p>
        </w:tc>
      </w:tr>
      <w:tr>
        <w:trPr>
          <w:trHeight w:val="300" w:hRule="atLeast"/>
        </w:trPr>
        <w:tc>
          <w:tcPr>
            <w:tcW w:w="5940" w:type="dxa"/>
            <w:tcBorders>
              <w:left w:val="single" w:sz="4" w:space="0" w:color="000000"/>
            </w:tcBorders>
            <w:vAlign w:val="bottom"/>
          </w:tcPr>
          <w:p>
            <w:pPr>
              <w:pStyle w:val="Normal"/>
              <w:rPr>
                <w:color w:val="000000"/>
                <w:sz w:val="22"/>
                <w:szCs w:val="22"/>
              </w:rPr>
            </w:pPr>
            <w:r>
              <w:rPr/>
            </w:r>
          </w:p>
        </w:tc>
        <w:tc>
          <w:tcPr>
            <w:tcW w:w="1289" w:type="dxa"/>
            <w:tcBorders/>
            <w:vAlign w:val="center"/>
          </w:tcPr>
          <w:p>
            <w:pPr>
              <w:pStyle w:val="Normal"/>
              <w:snapToGrid w:val="false"/>
              <w:jc w:val="center"/>
              <w:rPr>
                <w:color w:val="000000"/>
                <w:sz w:val="22"/>
                <w:szCs w:val="22"/>
              </w:rPr>
            </w:pPr>
            <w:r>
              <w:rPr>
                <w:color w:val="000000"/>
                <w:sz w:val="22"/>
                <w:szCs w:val="22"/>
              </w:rPr>
            </w:r>
          </w:p>
        </w:tc>
        <w:tc>
          <w:tcPr>
            <w:tcW w:w="1551" w:type="dxa"/>
            <w:tcBorders/>
            <w:vAlign w:val="center"/>
          </w:tcPr>
          <w:p>
            <w:pPr>
              <w:pStyle w:val="Normal"/>
              <w:snapToGrid w:val="false"/>
              <w:jc w:val="center"/>
              <w:rPr>
                <w:color w:val="000000"/>
                <w:sz w:val="22"/>
                <w:szCs w:val="22"/>
              </w:rPr>
            </w:pPr>
            <w:r>
              <w:rPr>
                <w:color w:val="000000"/>
                <w:sz w:val="22"/>
                <w:szCs w:val="22"/>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1. Frais d'établissement</w:t>
            </w:r>
          </w:p>
        </w:tc>
        <w:tc>
          <w:tcPr>
            <w:tcW w:w="128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50 000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0,8%</w:t>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de constitution</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50 000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2. Frais d'investissement</w:t>
            </w:r>
          </w:p>
        </w:tc>
        <w:tc>
          <w:tcPr>
            <w:tcW w:w="1289"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4 500 000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75,0%</w:t>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2.1 Constructions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2.2 Agencement-Aménagement-Installations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1 700 000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Aménagement local de transformation</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1 200 000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pPr>
            <w:r>
              <w:rPr>
                <w:color w:val="000000"/>
                <w:sz w:val="22"/>
                <w:szCs w:val="22"/>
              </w:rPr>
              <w:t>Installation électrique et plomberie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Peinture et carrelage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200 000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15"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2.3 Mobiliers et matériels</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300 000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Balance de précision</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50 000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Tables de travail inox</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150 000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Étagères de stockage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2.4 Equipements de production</w:t>
            </w:r>
          </w:p>
        </w:tc>
        <w:tc>
          <w:tcPr>
            <w:tcW w:w="1289"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b/>
                <w:bCs/>
                <w:i/>
                <w:iCs/>
                <w:color w:val="FFFFFF"/>
                <w:sz w:val="22"/>
                <w:szCs w:val="22"/>
              </w:rPr>
              <w:t>2 500 000</w:t>
            </w:r>
          </w:p>
        </w:tc>
        <w:tc>
          <w:tcPr>
            <w:tcW w:w="1551" w:type="dxa"/>
            <w:tcBorders>
              <w:bottom w:val="single" w:sz="4" w:space="0" w:color="000000"/>
              <w:right w:val="single" w:sz="4" w:space="0" w:color="000000"/>
            </w:tcBorders>
            <w:shd w:fill="21A6C9" w:val="clear"/>
            <w:vAlign w:val="center"/>
          </w:tcPr>
          <w:p>
            <w:pPr>
              <w:pStyle w:val="Normal"/>
              <w:jc w:val="center"/>
              <w:rPr>
                <w:b/>
                <w:bCs/>
                <w:i/>
                <w:i/>
                <w:iCs/>
                <w:color w:val="FFFFFF"/>
                <w:sz w:val="22"/>
                <w:szCs w:val="22"/>
              </w:rPr>
            </w:pPr>
            <w:r>
              <w:rPr/>
            </w:r>
          </w:p>
        </w:tc>
        <w:tc>
          <w:tcPr>
            <w:tcW w:w="819" w:type="dxa"/>
            <w:tcBorders>
              <w:right w:val="single" w:sz="4" w:space="0" w:color="000000"/>
            </w:tcBorders>
            <w:shd w:fill="21A6C9" w:val="clear"/>
            <w:vAlign w:val="center"/>
          </w:tcPr>
          <w:p>
            <w:pPr>
              <w:pStyle w:val="Normal"/>
              <w:jc w:val="center"/>
              <w:rPr>
                <w:b/>
                <w:bCs/>
                <w:i/>
                <w:i/>
                <w:iCs/>
                <w:color w:val="FFFFFF"/>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Éplucheuse électrique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400 000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Trancheuse / râpe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300 000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Friteuse professionnelle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500 000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Séchoir solaire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600 000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Broyeur, mixeur et petit matériel</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700 000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60" w:hRule="atLeast"/>
        </w:trPr>
        <w:tc>
          <w:tcPr>
            <w:tcW w:w="5940"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3. Besoin en fonds de roulement</w:t>
            </w:r>
          </w:p>
        </w:tc>
        <w:tc>
          <w:tcPr>
            <w:tcW w:w="1289"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r>
          </w:p>
        </w:tc>
        <w:tc>
          <w:tcPr>
            <w:tcW w:w="1551" w:type="dxa"/>
            <w:tcBorders>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1 450 000</w:t>
            </w:r>
          </w:p>
        </w:tc>
        <w:tc>
          <w:tcPr>
            <w:tcW w:w="819"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24,2%</w:t>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Achats de matières premières (3 mois)</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925 000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300" w:hRule="atLeast"/>
        </w:trPr>
        <w:tc>
          <w:tcPr>
            <w:tcW w:w="5940"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Sécurité de caisse</w:t>
            </w:r>
          </w:p>
        </w:tc>
        <w:tc>
          <w:tcPr>
            <w:tcW w:w="128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525 000</w:t>
            </w:r>
          </w:p>
        </w:tc>
        <w:tc>
          <w:tcPr>
            <w:tcW w:w="1551" w:type="dxa"/>
            <w:tcBorders>
              <w:bottom w:val="single" w:sz="4" w:space="0" w:color="000000"/>
              <w:right w:val="single" w:sz="4" w:space="0" w:color="000000"/>
            </w:tcBorders>
            <w:vAlign w:val="center"/>
          </w:tcPr>
          <w:p>
            <w:pPr>
              <w:pStyle w:val="Normal"/>
              <w:jc w:val="center"/>
              <w:rPr>
                <w:color w:val="000000"/>
                <w:sz w:val="22"/>
                <w:szCs w:val="22"/>
              </w:rPr>
            </w:pPr>
            <w:r>
              <w:rPr/>
            </w:r>
          </w:p>
        </w:tc>
        <w:tc>
          <w:tcPr>
            <w:tcW w:w="819" w:type="dxa"/>
            <w:tcBorders>
              <w:right w:val="single" w:sz="4" w:space="0" w:color="000000"/>
            </w:tcBorders>
            <w:vAlign w:val="center"/>
          </w:tcPr>
          <w:p>
            <w:pPr>
              <w:pStyle w:val="Normal"/>
              <w:jc w:val="center"/>
              <w:rPr>
                <w:color w:val="000000"/>
                <w:sz w:val="22"/>
                <w:szCs w:val="22"/>
              </w:rPr>
            </w:pPr>
            <w:r>
              <w:rPr/>
            </w:r>
          </w:p>
        </w:tc>
      </w:tr>
      <w:tr>
        <w:trPr>
          <w:trHeight w:val="447" w:hRule="atLeast"/>
        </w:trPr>
        <w:tc>
          <w:tcPr>
            <w:tcW w:w="7229" w:type="dxa"/>
            <w:gridSpan w:val="2"/>
            <w:tcBorders>
              <w:top w:val="single" w:sz="4" w:space="0" w:color="000000"/>
              <w:left w:val="single" w:sz="4" w:space="0" w:color="000000"/>
              <w:bottom w:val="single" w:sz="4" w:space="0" w:color="000000"/>
              <w:right w:val="single" w:sz="4" w:space="0" w:color="000000"/>
            </w:tcBorders>
            <w:shd w:fill="CCFFFF" w:val="clear"/>
            <w:vAlign w:val="center"/>
          </w:tcPr>
          <w:p>
            <w:pPr>
              <w:pStyle w:val="Normal"/>
              <w:jc w:val="center"/>
              <w:rPr>
                <w:b/>
                <w:bCs/>
                <w:color w:val="000000"/>
                <w:sz w:val="22"/>
                <w:szCs w:val="22"/>
              </w:rPr>
            </w:pPr>
            <w:r>
              <w:rPr>
                <w:b/>
                <w:bCs/>
                <w:color w:val="000000"/>
                <w:sz w:val="22"/>
                <w:szCs w:val="22"/>
              </w:rPr>
              <w:t>COÛT TOTAL DU PROJET</w:t>
            </w:r>
          </w:p>
        </w:tc>
        <w:tc>
          <w:tcPr>
            <w:tcW w:w="1551" w:type="dxa"/>
            <w:tcBorders>
              <w:bottom w:val="single" w:sz="4" w:space="0" w:color="000000"/>
              <w:right w:val="single" w:sz="4" w:space="0" w:color="000000"/>
            </w:tcBorders>
            <w:shd w:fill="CCFFFF" w:val="clear"/>
            <w:vAlign w:val="center"/>
          </w:tcPr>
          <w:p>
            <w:pPr>
              <w:pStyle w:val="Normal"/>
              <w:jc w:val="right"/>
              <w:rPr>
                <w:b/>
                <w:bCs/>
                <w:color w:val="000000"/>
                <w:sz w:val="22"/>
                <w:szCs w:val="22"/>
              </w:rPr>
            </w:pPr>
            <w:r>
              <w:rPr>
                <w:b/>
                <w:bCs/>
                <w:color w:val="000000"/>
                <w:sz w:val="22"/>
                <w:szCs w:val="22"/>
              </w:rPr>
              <w:t>6 000 000</w:t>
            </w:r>
          </w:p>
        </w:tc>
        <w:tc>
          <w:tcPr>
            <w:tcW w:w="819" w:type="dxa"/>
            <w:tcBorders>
              <w:bottom w:val="single" w:sz="4" w:space="0" w:color="000000"/>
              <w:right w:val="single" w:sz="4" w:space="0" w:color="000000"/>
            </w:tcBorders>
            <w:shd w:fill="CCFFFF" w:val="clear"/>
            <w:vAlign w:val="center"/>
          </w:tcPr>
          <w:p>
            <w:pPr>
              <w:pStyle w:val="Normal"/>
              <w:rPr>
                <w:b/>
                <w:bCs/>
                <w:color w:val="000000"/>
                <w:sz w:val="22"/>
                <w:szCs w:val="22"/>
              </w:rPr>
            </w:pPr>
            <w:r>
              <w:rPr/>
            </w:r>
          </w:p>
        </w:tc>
      </w:tr>
    </w:tbl>
    <w:p>
      <w:pPr>
        <w:pStyle w:val="Normal"/>
        <w:spacing w:before="120" w:after="120"/>
        <w:jc w:val="both"/>
        <w:rPr>
          <w:iCs/>
          <w:sz w:val="22"/>
          <w:szCs w:val="22"/>
        </w:rPr>
      </w:pPr>
      <w:r>
        <w:rPr>
          <w:iCs/>
          <w:sz w:val="22"/>
          <w:szCs w:val="22"/>
        </w:rPr>
      </w:r>
    </w:p>
    <w:p>
      <w:pPr>
        <w:pStyle w:val="Normal"/>
        <w:spacing w:before="120" w:after="120"/>
        <w:rPr>
          <w:iCs/>
          <w:sz w:val="22"/>
          <w:szCs w:val="22"/>
        </w:rPr>
      </w:pPr>
      <w:r>
        <w:rPr>
          <w:iCs/>
          <w:sz w:val="22"/>
          <w:szCs w:val="22"/>
        </w:rPr>
      </w:r>
    </w:p>
    <w:p>
      <w:pPr>
        <w:pStyle w:val="Normal"/>
        <w:spacing w:before="120" w:after="120"/>
        <w:rPr>
          <w:iCs/>
          <w:sz w:val="22"/>
          <w:szCs w:val="22"/>
        </w:rPr>
      </w:pPr>
      <w:r>
        <w:rPr>
          <w:iCs/>
          <w:sz w:val="22"/>
          <w:szCs w:val="22"/>
        </w:rPr>
      </w:r>
    </w:p>
    <w:p>
      <w:pPr>
        <w:pStyle w:val="Normal"/>
        <w:spacing w:before="120" w:after="120"/>
        <w:rPr>
          <w:iCs/>
          <w:sz w:val="22"/>
          <w:szCs w:val="22"/>
        </w:rPr>
      </w:pPr>
      <w:r>
        <w:rPr>
          <w:iCs/>
          <w:sz w:val="22"/>
          <w:szCs w:val="22"/>
        </w:rPr>
      </w:r>
    </w:p>
    <w:p>
      <w:pPr>
        <w:pStyle w:val="Heading2"/>
        <w:keepLines/>
        <w:numPr>
          <w:ilvl w:val="1"/>
          <w:numId w:val="4"/>
        </w:numPr>
        <w:spacing w:before="120" w:after="120"/>
        <w:ind w:hanging="491" w:left="851" w:right="0"/>
        <w:jc w:val="both"/>
        <w:rPr>
          <w:rFonts w:ascii="Times New Roman" w:hAnsi="Times New Roman" w:cs="Times New Roman"/>
          <w:i w:val="false"/>
          <w:i w:val="false"/>
          <w:iCs w:val="false"/>
          <w:lang w:val="fr-CI"/>
        </w:rPr>
      </w:pPr>
      <w:bookmarkStart w:id="23" w:name="__RefHeading___Toc234831722"/>
      <w:bookmarkEnd w:id="23"/>
      <w:r>
        <w:rPr>
          <w:rFonts w:cs="Times New Roman" w:ascii="Times New Roman" w:hAnsi="Times New Roman"/>
          <w:i w:val="false"/>
          <w:iCs w:val="false"/>
          <w:lang w:val="fr-CI"/>
        </w:rPr>
        <w:t>Plan de financement</w:t>
      </w:r>
    </w:p>
    <w:p>
      <w:pPr>
        <w:pStyle w:val="Normal"/>
        <w:spacing w:before="120" w:after="120"/>
        <w:jc w:val="both"/>
        <w:rPr>
          <w:iCs/>
          <w:sz w:val="22"/>
          <w:szCs w:val="22"/>
        </w:rPr>
      </w:pPr>
      <w:r>
        <w:rPr>
          <w:iCs/>
          <w:sz w:val="22"/>
          <w:szCs w:val="22"/>
        </w:rPr>
        <w:t xml:space="preserve">Le plan de financement montre que sur un coût total du projet de </w:t>
      </w:r>
      <w:r>
        <w:rPr>
          <w:b/>
          <w:bCs/>
          <w:iCs/>
          <w:color w:val="000000"/>
          <w:sz w:val="22"/>
          <w:szCs w:val="22"/>
          <w:lang w:eastAsia="fr-CA"/>
        </w:rPr>
        <w:t>6 000 000</w:t>
      </w:r>
      <w:r>
        <w:rPr>
          <w:iCs/>
          <w:sz w:val="22"/>
          <w:szCs w:val="22"/>
        </w:rPr>
        <w:t xml:space="preserve"> FCFA, le promoteur s’engage à contribuer à hauteur de 10% de ce montant, soit </w:t>
      </w:r>
      <w:r>
        <w:rPr>
          <w:rFonts w:cs="Calibri" w:ascii="Cambria" w:hAnsi="Cambria"/>
          <w:b/>
          <w:iCs/>
          <w:color w:val="000000"/>
          <w:sz w:val="22"/>
          <w:szCs w:val="22"/>
        </w:rPr>
        <w:t>600 000</w:t>
      </w:r>
      <w:r>
        <w:rPr>
          <w:rFonts w:cs="Calibri" w:ascii="Cambria" w:hAnsi="Cambria"/>
          <w:iCs/>
          <w:color w:val="000000"/>
          <w:sz w:val="22"/>
          <w:szCs w:val="22"/>
        </w:rPr>
        <w:t xml:space="preserve"> </w:t>
      </w:r>
      <w:r>
        <w:rPr>
          <w:iCs/>
          <w:sz w:val="22"/>
          <w:szCs w:val="22"/>
        </w:rPr>
        <w:t>FCFA, le crédit sollicité (90 %) s’élevant à 5 400 000 FCFA.</w:t>
      </w:r>
    </w:p>
    <w:tbl>
      <w:tblPr>
        <w:tblW w:w="8580" w:type="dxa"/>
        <w:jc w:val="left"/>
        <w:tblInd w:w="65" w:type="dxa"/>
        <w:tblLayout w:type="fixed"/>
        <w:tblCellMar>
          <w:top w:w="0" w:type="dxa"/>
          <w:left w:w="70" w:type="dxa"/>
          <w:bottom w:w="0" w:type="dxa"/>
          <w:right w:w="70" w:type="dxa"/>
        </w:tblCellMar>
      </w:tblPr>
      <w:tblGrid>
        <w:gridCol w:w="5860"/>
        <w:gridCol w:w="1199"/>
        <w:gridCol w:w="1521"/>
      </w:tblGrid>
      <w:tr>
        <w:trPr>
          <w:trHeight w:val="420" w:hRule="atLeast"/>
        </w:trPr>
        <w:tc>
          <w:tcPr>
            <w:tcW w:w="5860"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rPr>
                <w:b/>
                <w:bCs/>
                <w:color w:val="FFFFFF"/>
                <w:sz w:val="22"/>
                <w:szCs w:val="22"/>
              </w:rPr>
            </w:pPr>
            <w:r>
              <w:rPr>
                <w:b/>
                <w:bCs/>
                <w:color w:val="FFFFFF"/>
                <w:sz w:val="22"/>
                <w:szCs w:val="22"/>
              </w:rPr>
              <w:t>PLAN DE FINANCEMENT</w:t>
            </w:r>
          </w:p>
        </w:tc>
        <w:tc>
          <w:tcPr>
            <w:tcW w:w="1199" w:type="dxa"/>
            <w:tcBorders>
              <w:top w:val="single" w:sz="4" w:space="0" w:color="000000"/>
              <w:bottom w:val="single" w:sz="4" w:space="0" w:color="000000"/>
              <w:right w:val="single" w:sz="4" w:space="0" w:color="000000"/>
            </w:tcBorders>
            <w:shd w:fill="166B7F" w:val="clear"/>
            <w:vAlign w:val="bottom"/>
          </w:tcPr>
          <w:p>
            <w:pPr>
              <w:pStyle w:val="Normal"/>
              <w:rPr>
                <w:b/>
                <w:bCs/>
                <w:color w:val="FFFFFF"/>
                <w:sz w:val="22"/>
                <w:szCs w:val="22"/>
              </w:rPr>
            </w:pPr>
            <w:r>
              <w:rPr/>
            </w:r>
          </w:p>
        </w:tc>
        <w:tc>
          <w:tcPr>
            <w:tcW w:w="1521" w:type="dxa"/>
            <w:tcBorders>
              <w:top w:val="single" w:sz="4" w:space="0" w:color="000000"/>
              <w:bottom w:val="single" w:sz="4" w:space="0" w:color="000000"/>
              <w:right w:val="single" w:sz="4" w:space="0" w:color="000000"/>
            </w:tcBorders>
            <w:shd w:fill="166B7F" w:val="clear"/>
            <w:vAlign w:val="center"/>
          </w:tcPr>
          <w:p>
            <w:pPr>
              <w:pStyle w:val="Normal"/>
              <w:jc w:val="center"/>
              <w:rPr>
                <w:b/>
                <w:bCs/>
                <w:color w:val="FFFFFF"/>
                <w:sz w:val="22"/>
                <w:szCs w:val="22"/>
              </w:rPr>
            </w:pPr>
            <w:r>
              <w:rPr/>
            </w:r>
          </w:p>
        </w:tc>
      </w:tr>
      <w:tr>
        <w:trPr>
          <w:trHeight w:val="360" w:hRule="atLeast"/>
        </w:trPr>
        <w:tc>
          <w:tcPr>
            <w:tcW w:w="5860" w:type="dxa"/>
            <w:tcBorders>
              <w:top w:val="single" w:sz="8"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1. Le coût total de projet</w:t>
            </w:r>
          </w:p>
        </w:tc>
        <w:tc>
          <w:tcPr>
            <w:tcW w:w="1199" w:type="dxa"/>
            <w:tcBorders>
              <w:top w:val="single" w:sz="8"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100%</w:t>
            </w:r>
          </w:p>
        </w:tc>
        <w:tc>
          <w:tcPr>
            <w:tcW w:w="1521" w:type="dxa"/>
            <w:tcBorders>
              <w:top w:val="single" w:sz="8" w:space="0" w:color="000000"/>
              <w:bottom w:val="single" w:sz="4" w:space="0" w:color="000000"/>
              <w:right w:val="single" w:sz="8" w:space="0" w:color="000000"/>
            </w:tcBorders>
            <w:shd w:fill="7F1F1F" w:val="clear"/>
            <w:vAlign w:val="center"/>
          </w:tcPr>
          <w:p>
            <w:pPr>
              <w:pStyle w:val="Normal"/>
              <w:jc w:val="center"/>
              <w:rPr>
                <w:b/>
                <w:bCs/>
                <w:i/>
                <w:i/>
                <w:iCs/>
                <w:color w:val="FFFFFF"/>
                <w:sz w:val="22"/>
                <w:szCs w:val="22"/>
              </w:rPr>
            </w:pPr>
            <w:r>
              <w:rPr>
                <w:b/>
                <w:bCs/>
                <w:i/>
                <w:iCs/>
                <w:color w:val="FFFFFF"/>
                <w:sz w:val="22"/>
                <w:szCs w:val="22"/>
              </w:rPr>
              <w:t>6 000 000</w:t>
            </w:r>
          </w:p>
        </w:tc>
      </w:tr>
      <w:tr>
        <w:trPr>
          <w:trHeight w:val="360" w:hRule="atLeast"/>
        </w:trPr>
        <w:tc>
          <w:tcPr>
            <w:tcW w:w="5860" w:type="dxa"/>
            <w:tcBorders>
              <w:top w:val="single" w:sz="4" w:space="0" w:color="000000"/>
              <w:left w:val="single" w:sz="8"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2. Le financement de projet</w:t>
            </w:r>
          </w:p>
        </w:tc>
        <w:tc>
          <w:tcPr>
            <w:tcW w:w="1199" w:type="dxa"/>
            <w:tcBorders>
              <w:top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r>
          </w:p>
        </w:tc>
        <w:tc>
          <w:tcPr>
            <w:tcW w:w="1521" w:type="dxa"/>
            <w:tcBorders>
              <w:top w:val="single" w:sz="4" w:space="0" w:color="000000"/>
              <w:bottom w:val="single" w:sz="4" w:space="0" w:color="000000"/>
              <w:right w:val="single" w:sz="8" w:space="0" w:color="000000"/>
            </w:tcBorders>
            <w:shd w:fill="7F1F1F" w:val="clear"/>
            <w:vAlign w:val="center"/>
          </w:tcPr>
          <w:p>
            <w:pPr>
              <w:pStyle w:val="Normal"/>
              <w:jc w:val="center"/>
              <w:rPr>
                <w:b/>
                <w:bCs/>
                <w:i/>
                <w:i/>
                <w:iCs/>
                <w:color w:val="FFFFFF"/>
                <w:sz w:val="22"/>
                <w:szCs w:val="22"/>
              </w:rPr>
            </w:pPr>
            <w:r>
              <w:rPr/>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2.1 L'apport personnel</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10%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600 000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Apport en numéraire</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10%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600 000</w:t>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2.2 La contribution (Primes) du FACEJ</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 création emploi »</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 innovants»</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285" w:hRule="atLeast"/>
        </w:trPr>
        <w:tc>
          <w:tcPr>
            <w:tcW w:w="5860" w:type="dxa"/>
            <w:tcBorders>
              <w:left w:val="single" w:sz="8"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Subvention (Projets verts et Verdissement)</w:t>
            </w:r>
          </w:p>
        </w:tc>
        <w:tc>
          <w:tcPr>
            <w:tcW w:w="1199" w:type="dxa"/>
            <w:tcBorders>
              <w:bottom w:val="single" w:sz="4" w:space="0" w:color="000000"/>
              <w:right w:val="single" w:sz="4" w:space="0" w:color="000000"/>
            </w:tcBorders>
            <w:vAlign w:val="center"/>
          </w:tcPr>
          <w:p>
            <w:pPr>
              <w:pStyle w:val="Normal"/>
              <w:jc w:val="center"/>
              <w:rPr>
                <w:color w:val="000000"/>
                <w:sz w:val="22"/>
                <w:szCs w:val="22"/>
              </w:rPr>
            </w:pPr>
            <w:r>
              <w:rPr>
                <w:color w:val="000000"/>
                <w:sz w:val="22"/>
                <w:szCs w:val="22"/>
              </w:rPr>
              <w:t>0%</w:t>
            </w:r>
          </w:p>
        </w:tc>
        <w:tc>
          <w:tcPr>
            <w:tcW w:w="1521" w:type="dxa"/>
            <w:tcBorders>
              <w:bottom w:val="single" w:sz="4" w:space="0" w:color="000000"/>
              <w:right w:val="single" w:sz="8" w:space="0" w:color="000000"/>
            </w:tcBorders>
            <w:vAlign w:val="center"/>
          </w:tcPr>
          <w:p>
            <w:pPr>
              <w:pStyle w:val="Normal"/>
              <w:jc w:val="center"/>
              <w:rPr>
                <w:color w:val="000000"/>
                <w:sz w:val="22"/>
                <w:szCs w:val="22"/>
              </w:rPr>
            </w:pPr>
            <w:r>
              <w:rPr>
                <w:color w:val="000000"/>
                <w:sz w:val="22"/>
                <w:szCs w:val="22"/>
              </w:rPr>
              <w:t>0</w:t>
            </w:r>
          </w:p>
        </w:tc>
      </w:tr>
      <w:tr>
        <w:trPr>
          <w:trHeight w:val="315" w:hRule="atLeast"/>
        </w:trPr>
        <w:tc>
          <w:tcPr>
            <w:tcW w:w="5860" w:type="dxa"/>
            <w:tcBorders>
              <w:left w:val="single" w:sz="8"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2.3 Le crédit sollicité</w:t>
            </w:r>
          </w:p>
        </w:tc>
        <w:tc>
          <w:tcPr>
            <w:tcW w:w="1199" w:type="dxa"/>
            <w:tcBorders>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90%</w:t>
            </w:r>
          </w:p>
        </w:tc>
        <w:tc>
          <w:tcPr>
            <w:tcW w:w="1521" w:type="dxa"/>
            <w:tcBorders>
              <w:bottom w:val="single" w:sz="4" w:space="0" w:color="000000"/>
              <w:right w:val="single" w:sz="8" w:space="0" w:color="000000"/>
            </w:tcBorders>
            <w:shd w:fill="21A6C9" w:val="clear"/>
            <w:vAlign w:val="center"/>
          </w:tcPr>
          <w:p>
            <w:pPr>
              <w:pStyle w:val="Normal"/>
              <w:jc w:val="center"/>
              <w:rPr>
                <w:b/>
                <w:bCs/>
                <w:i/>
                <w:i/>
                <w:iCs/>
                <w:color w:val="FFFFFF"/>
                <w:sz w:val="22"/>
                <w:szCs w:val="22"/>
              </w:rPr>
            </w:pPr>
            <w:r>
              <w:rPr>
                <w:b/>
                <w:bCs/>
                <w:i/>
                <w:iCs/>
                <w:color w:val="FFFFFF"/>
                <w:sz w:val="22"/>
                <w:szCs w:val="22"/>
              </w:rPr>
              <w:t>5 400 000</w:t>
            </w:r>
          </w:p>
        </w:tc>
      </w:tr>
      <w:tr>
        <w:trPr>
          <w:trHeight w:val="300" w:hRule="atLeast"/>
        </w:trPr>
        <w:tc>
          <w:tcPr>
            <w:tcW w:w="5860" w:type="dxa"/>
            <w:tcBorders>
              <w:left w:val="single" w:sz="8" w:space="0" w:color="000000"/>
              <w:bottom w:val="single" w:sz="8" w:space="0" w:color="000000"/>
              <w:right w:val="single" w:sz="4" w:space="0" w:color="000000"/>
            </w:tcBorders>
            <w:vAlign w:val="bottom"/>
          </w:tcPr>
          <w:p>
            <w:pPr>
              <w:pStyle w:val="Normal"/>
              <w:rPr>
                <w:color w:val="000000"/>
                <w:sz w:val="22"/>
                <w:szCs w:val="22"/>
              </w:rPr>
            </w:pPr>
            <w:r>
              <w:rPr>
                <w:color w:val="000000"/>
                <w:sz w:val="22"/>
                <w:szCs w:val="22"/>
              </w:rPr>
              <w:t>Financement</w:t>
            </w:r>
          </w:p>
        </w:tc>
        <w:tc>
          <w:tcPr>
            <w:tcW w:w="1199" w:type="dxa"/>
            <w:tcBorders>
              <w:bottom w:val="single" w:sz="8" w:space="0" w:color="000000"/>
              <w:right w:val="single" w:sz="4" w:space="0" w:color="000000"/>
            </w:tcBorders>
            <w:vAlign w:val="center"/>
          </w:tcPr>
          <w:p>
            <w:pPr>
              <w:pStyle w:val="Normal"/>
              <w:jc w:val="center"/>
              <w:rPr>
                <w:color w:val="000000"/>
                <w:sz w:val="22"/>
                <w:szCs w:val="22"/>
              </w:rPr>
            </w:pPr>
            <w:r>
              <w:rPr>
                <w:color w:val="000000"/>
                <w:sz w:val="22"/>
                <w:szCs w:val="22"/>
              </w:rPr>
              <w:t>90%</w:t>
            </w:r>
          </w:p>
        </w:tc>
        <w:tc>
          <w:tcPr>
            <w:tcW w:w="1521" w:type="dxa"/>
            <w:tcBorders>
              <w:bottom w:val="single" w:sz="8" w:space="0" w:color="000000"/>
              <w:right w:val="single" w:sz="8" w:space="0" w:color="000000"/>
            </w:tcBorders>
            <w:shd w:fill="E2EFD9" w:val="clear"/>
            <w:vAlign w:val="center"/>
          </w:tcPr>
          <w:p>
            <w:pPr>
              <w:pStyle w:val="Normal"/>
              <w:jc w:val="center"/>
              <w:rPr>
                <w:b/>
                <w:bCs/>
                <w:color w:val="000000"/>
                <w:sz w:val="22"/>
                <w:szCs w:val="22"/>
              </w:rPr>
            </w:pPr>
            <w:r>
              <w:rPr>
                <w:b/>
                <w:bCs/>
                <w:color w:val="000000"/>
                <w:sz w:val="22"/>
                <w:szCs w:val="22"/>
              </w:rPr>
              <w:t>5 400 000</w:t>
            </w:r>
          </w:p>
        </w:tc>
      </w:tr>
      <w:tr>
        <w:trPr>
          <w:trHeight w:val="285" w:hRule="atLeast"/>
        </w:trPr>
        <w:tc>
          <w:tcPr>
            <w:tcW w:w="5860" w:type="dxa"/>
            <w:tcBorders>
              <w:left w:val="single" w:sz="8" w:space="0" w:color="000000"/>
              <w:bottom w:val="single" w:sz="4" w:space="0" w:color="000000"/>
              <w:right w:val="single" w:sz="4" w:space="0" w:color="000000"/>
            </w:tcBorders>
            <w:shd w:fill="D63431" w:val="clear"/>
            <w:vAlign w:val="center"/>
          </w:tcPr>
          <w:p>
            <w:pPr>
              <w:pStyle w:val="Normal"/>
              <w:rPr>
                <w:b/>
                <w:bCs/>
                <w:i/>
                <w:i/>
                <w:iCs/>
                <w:color w:val="FFFFFF"/>
                <w:sz w:val="22"/>
                <w:szCs w:val="22"/>
              </w:rPr>
            </w:pPr>
            <w:r>
              <w:rPr>
                <w:b/>
                <w:bCs/>
                <w:i/>
                <w:iCs/>
                <w:color w:val="FFFFFF"/>
                <w:sz w:val="22"/>
                <w:szCs w:val="22"/>
              </w:rPr>
              <w:t>Conditions de financement des IFS</w:t>
            </w:r>
          </w:p>
        </w:tc>
        <w:tc>
          <w:tcPr>
            <w:tcW w:w="1199" w:type="dxa"/>
            <w:tcBorders>
              <w:bottom w:val="single" w:sz="4" w:space="0" w:color="000000"/>
              <w:right w:val="single" w:sz="4" w:space="0" w:color="000000"/>
            </w:tcBorders>
            <w:shd w:fill="D63431" w:val="clear"/>
            <w:vAlign w:val="bottom"/>
          </w:tcPr>
          <w:p>
            <w:pPr>
              <w:pStyle w:val="Normal"/>
              <w:rPr>
                <w:b/>
                <w:bCs/>
                <w:i/>
                <w:i/>
                <w:iCs/>
                <w:color w:val="FFFFFF"/>
                <w:sz w:val="22"/>
                <w:szCs w:val="22"/>
              </w:rPr>
            </w:pPr>
            <w:r>
              <w:rPr/>
            </w:r>
          </w:p>
        </w:tc>
        <w:tc>
          <w:tcPr>
            <w:tcW w:w="1521" w:type="dxa"/>
            <w:tcBorders>
              <w:bottom w:val="single" w:sz="4" w:space="0" w:color="000000"/>
              <w:right w:val="single" w:sz="8" w:space="0" w:color="000000"/>
            </w:tcBorders>
            <w:shd w:fill="D63431" w:val="clear"/>
            <w:vAlign w:val="bottom"/>
          </w:tcPr>
          <w:p>
            <w:pPr>
              <w:pStyle w:val="Normal"/>
              <w:rPr>
                <w:b/>
                <w:bCs/>
                <w:i/>
                <w:i/>
                <w:iCs/>
                <w:color w:val="FFFFFF"/>
                <w:sz w:val="22"/>
                <w:szCs w:val="22"/>
              </w:rPr>
            </w:pPr>
            <w:r>
              <w:rPr/>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Durée du prêt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36</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Mois</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Taux d'intérêt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8%</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An</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Différé</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3</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mois</w:t>
            </w:r>
          </w:p>
        </w:tc>
      </w:tr>
      <w:tr>
        <w:trPr>
          <w:trHeight w:val="285" w:hRule="atLeast"/>
        </w:trPr>
        <w:tc>
          <w:tcPr>
            <w:tcW w:w="5860" w:type="dxa"/>
            <w:tcBorders>
              <w:left w:val="single" w:sz="8" w:space="0" w:color="000000"/>
              <w:bottom w:val="single" w:sz="4" w:space="0" w:color="000000"/>
              <w:right w:val="single" w:sz="4" w:space="0" w:color="000000"/>
            </w:tcBorders>
            <w:shd w:fill="FFFFFF" w:val="clear"/>
            <w:vAlign w:val="center"/>
          </w:tcPr>
          <w:p>
            <w:pPr>
              <w:pStyle w:val="Normal"/>
              <w:rPr>
                <w:color w:val="000000"/>
                <w:sz w:val="22"/>
                <w:szCs w:val="22"/>
              </w:rPr>
            </w:pPr>
            <w:r>
              <w:rPr>
                <w:color w:val="000000"/>
                <w:sz w:val="22"/>
                <w:szCs w:val="22"/>
              </w:rPr>
              <w:t>Échéance de paiement</w:t>
            </w:r>
          </w:p>
        </w:tc>
        <w:tc>
          <w:tcPr>
            <w:tcW w:w="1199" w:type="dxa"/>
            <w:tcBorders>
              <w:bottom w:val="single" w:sz="4"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33</w:t>
            </w:r>
          </w:p>
        </w:tc>
        <w:tc>
          <w:tcPr>
            <w:tcW w:w="1521" w:type="dxa"/>
            <w:tcBorders>
              <w:bottom w:val="single" w:sz="4" w:space="0" w:color="000000"/>
              <w:right w:val="single" w:sz="8" w:space="0" w:color="000000"/>
            </w:tcBorders>
            <w:shd w:fill="FFFFFF" w:val="clear"/>
            <w:vAlign w:val="center"/>
          </w:tcPr>
          <w:p>
            <w:pPr>
              <w:pStyle w:val="Normal"/>
              <w:jc w:val="center"/>
              <w:rPr>
                <w:color w:val="000000"/>
                <w:sz w:val="22"/>
                <w:szCs w:val="22"/>
              </w:rPr>
            </w:pPr>
            <w:r>
              <w:rPr>
                <w:color w:val="000000"/>
                <w:sz w:val="22"/>
                <w:szCs w:val="22"/>
              </w:rPr>
              <w:t>échéances</w:t>
            </w:r>
          </w:p>
        </w:tc>
      </w:tr>
      <w:tr>
        <w:trPr>
          <w:trHeight w:val="300" w:hRule="atLeast"/>
        </w:trPr>
        <w:tc>
          <w:tcPr>
            <w:tcW w:w="5860" w:type="dxa"/>
            <w:tcBorders>
              <w:left w:val="single" w:sz="8" w:space="0" w:color="000000"/>
              <w:bottom w:val="single" w:sz="8" w:space="0" w:color="000000"/>
              <w:right w:val="single" w:sz="4" w:space="0" w:color="000000"/>
            </w:tcBorders>
            <w:shd w:fill="FFFFFF" w:val="clear"/>
            <w:vAlign w:val="center"/>
          </w:tcPr>
          <w:p>
            <w:pPr>
              <w:pStyle w:val="Normal"/>
              <w:rPr>
                <w:color w:val="000000"/>
                <w:sz w:val="22"/>
                <w:szCs w:val="22"/>
              </w:rPr>
            </w:pPr>
            <w:r>
              <w:rPr>
                <w:color w:val="000000"/>
                <w:sz w:val="22"/>
                <w:szCs w:val="22"/>
              </w:rPr>
              <w:t>TAF</w:t>
            </w:r>
          </w:p>
        </w:tc>
        <w:tc>
          <w:tcPr>
            <w:tcW w:w="1199" w:type="dxa"/>
            <w:tcBorders>
              <w:bottom w:val="single" w:sz="8" w:space="0" w:color="000000"/>
              <w:right w:val="single" w:sz="4" w:space="0" w:color="000000"/>
            </w:tcBorders>
            <w:shd w:fill="FFFFFF" w:val="clear"/>
            <w:vAlign w:val="center"/>
          </w:tcPr>
          <w:p>
            <w:pPr>
              <w:pStyle w:val="Normal"/>
              <w:jc w:val="center"/>
              <w:rPr>
                <w:color w:val="000000"/>
                <w:sz w:val="22"/>
                <w:szCs w:val="22"/>
              </w:rPr>
            </w:pPr>
            <w:r>
              <w:rPr>
                <w:color w:val="000000"/>
                <w:sz w:val="22"/>
                <w:szCs w:val="22"/>
              </w:rPr>
              <w:t>17%</w:t>
            </w:r>
          </w:p>
        </w:tc>
        <w:tc>
          <w:tcPr>
            <w:tcW w:w="1521" w:type="dxa"/>
            <w:tcBorders>
              <w:bottom w:val="single" w:sz="8" w:space="0" w:color="000000"/>
              <w:right w:val="single" w:sz="8" w:space="0" w:color="000000"/>
            </w:tcBorders>
            <w:shd w:fill="FFFFFF" w:val="clear"/>
            <w:vAlign w:val="center"/>
          </w:tcPr>
          <w:p>
            <w:pPr>
              <w:pStyle w:val="Normal"/>
              <w:jc w:val="center"/>
              <w:rPr>
                <w:color w:val="000000"/>
                <w:sz w:val="22"/>
                <w:szCs w:val="22"/>
              </w:rPr>
            </w:pPr>
            <w:r>
              <w:rPr/>
            </w:r>
          </w:p>
        </w:tc>
      </w:tr>
    </w:tbl>
    <w:p>
      <w:pPr>
        <w:pStyle w:val="Normal"/>
        <w:jc w:val="center"/>
        <w:rPr/>
      </w:pPr>
      <w:r>
        <w:rPr/>
        <w:drawing>
          <wp:inline distT="0" distB="0" distL="0" distR="0">
            <wp:extent cx="5400040" cy="200533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2"/>
                    <a:stretch>
                      <a:fillRect/>
                    </a:stretch>
                  </pic:blipFill>
                  <pic:spPr bwMode="auto">
                    <a:xfrm>
                      <a:off x="0" y="0"/>
                      <a:ext cx="5400040" cy="2005330"/>
                    </a:xfrm>
                    <a:prstGeom prst="rect">
                      <a:avLst/>
                    </a:prstGeom>
                  </pic:spPr>
                </pic:pic>
              </a:graphicData>
            </a:graphic>
          </wp:inline>
        </w:drawing>
      </w:r>
    </w:p>
    <w:p>
      <w:pPr>
        <w:pStyle w:val="Normal"/>
        <w:jc w:val="center"/>
        <w:rPr/>
      </w:pPr>
      <w:r>
        <w:rPr>
          <w:i/>
          <w:sz w:val="18"/>
        </w:rPr>
        <w:t>Graphique 1 – Emplois et ressources du projet (millions de F CFA)</w:t>
      </w:r>
    </w:p>
    <w:p>
      <w:pPr>
        <w:pStyle w:val="Heading2"/>
        <w:keepLines/>
        <w:numPr>
          <w:ilvl w:val="1"/>
          <w:numId w:val="4"/>
        </w:numPr>
        <w:spacing w:before="120" w:after="120"/>
        <w:ind w:hanging="491" w:left="851" w:right="0"/>
        <w:jc w:val="both"/>
        <w:rPr>
          <w:rFonts w:ascii="Times New Roman" w:hAnsi="Times New Roman" w:cs="Times New Roman"/>
          <w:i w:val="false"/>
          <w:i w:val="false"/>
          <w:iCs w:val="false"/>
          <w:lang w:val="fr-CI"/>
        </w:rPr>
      </w:pPr>
      <w:bookmarkStart w:id="24" w:name="__RefHeading___Toc234831723"/>
      <w:bookmarkEnd w:id="24"/>
      <w:r>
        <w:rPr>
          <w:rFonts w:cs="Times New Roman" w:ascii="Times New Roman" w:hAnsi="Times New Roman"/>
          <w:i w:val="false"/>
          <w:iCs w:val="false"/>
          <w:lang w:val="fr-CI"/>
        </w:rPr>
        <w:t>Compte d'exploitation prévisionnel</w:t>
      </w:r>
    </w:p>
    <w:tbl>
      <w:tblPr>
        <w:tblW w:w="9928" w:type="dxa"/>
        <w:jc w:val="left"/>
        <w:tblInd w:w="65" w:type="dxa"/>
        <w:tblLayout w:type="fixed"/>
        <w:tblCellMar>
          <w:top w:w="0" w:type="dxa"/>
          <w:left w:w="70" w:type="dxa"/>
          <w:bottom w:w="0" w:type="dxa"/>
          <w:right w:w="70" w:type="dxa"/>
        </w:tblCellMar>
      </w:tblPr>
      <w:tblGrid>
        <w:gridCol w:w="3124"/>
        <w:gridCol w:w="1276"/>
        <w:gridCol w:w="1416"/>
        <w:gridCol w:w="1418"/>
        <w:gridCol w:w="1418"/>
        <w:gridCol w:w="284"/>
        <w:gridCol w:w="991"/>
      </w:tblGrid>
      <w:tr>
        <w:trPr>
          <w:trHeight w:val="405" w:hRule="atLeast"/>
        </w:trPr>
        <w:tc>
          <w:tcPr>
            <w:tcW w:w="7234" w:type="dxa"/>
            <w:gridSpan w:val="4"/>
            <w:tcBorders>
              <w:top w:val="single" w:sz="4" w:space="0" w:color="000000"/>
              <w:left w:val="single" w:sz="4" w:space="0" w:color="000000"/>
              <w:bottom w:val="single" w:sz="4" w:space="0" w:color="000000"/>
            </w:tcBorders>
            <w:shd w:fill="166B7F" w:val="clear"/>
            <w:vAlign w:val="bottom"/>
          </w:tcPr>
          <w:p>
            <w:pPr>
              <w:pStyle w:val="Normal"/>
              <w:jc w:val="center"/>
              <w:rPr>
                <w:b/>
                <w:bCs/>
                <w:sz w:val="22"/>
                <w:szCs w:val="22"/>
              </w:rPr>
            </w:pPr>
            <w:r>
              <w:rPr>
                <w:b/>
                <w:bCs/>
                <w:sz w:val="22"/>
                <w:szCs w:val="22"/>
              </w:rPr>
              <w:t>COMPTE D'EXPLOITATION PREVISIONNEL (FCFA)</w:t>
            </w:r>
          </w:p>
        </w:tc>
        <w:tc>
          <w:tcPr>
            <w:tcW w:w="1702" w:type="dxa"/>
            <w:gridSpan w:val="2"/>
            <w:tcBorders>
              <w:top w:val="single" w:sz="4" w:space="0" w:color="000000"/>
              <w:bottom w:val="single" w:sz="4" w:space="0" w:color="000000"/>
            </w:tcBorders>
            <w:shd w:fill="166B7F" w:val="clear"/>
            <w:vAlign w:val="bottom"/>
          </w:tcPr>
          <w:p>
            <w:pPr>
              <w:pStyle w:val="Normal"/>
              <w:snapToGrid w:val="false"/>
              <w:jc w:val="center"/>
              <w:rPr>
                <w:b/>
                <w:bCs/>
                <w:sz w:val="22"/>
                <w:szCs w:val="22"/>
              </w:rPr>
            </w:pPr>
            <w:r>
              <w:rPr>
                <w:b/>
                <w:bCs/>
                <w:sz w:val="22"/>
                <w:szCs w:val="22"/>
              </w:rPr>
            </w:r>
          </w:p>
        </w:tc>
        <w:tc>
          <w:tcPr>
            <w:tcW w:w="991" w:type="dxa"/>
            <w:tcBorders>
              <w:top w:val="single" w:sz="4" w:space="0" w:color="000000"/>
              <w:bottom w:val="single" w:sz="4" w:space="0" w:color="000000"/>
              <w:right w:val="single" w:sz="4" w:space="0" w:color="000000"/>
            </w:tcBorders>
            <w:shd w:fill="166B7F" w:val="clear"/>
            <w:vAlign w:val="bottom"/>
          </w:tcPr>
          <w:p>
            <w:pPr>
              <w:pStyle w:val="Normal"/>
              <w:snapToGrid w:val="false"/>
              <w:jc w:val="center"/>
              <w:rPr>
                <w:b/>
                <w:bCs/>
                <w:sz w:val="22"/>
                <w:szCs w:val="22"/>
              </w:rPr>
            </w:pPr>
            <w:r>
              <w:rPr>
                <w:b/>
                <w:bCs/>
                <w:sz w:val="22"/>
                <w:szCs w:val="22"/>
              </w:rPr>
            </w:r>
          </w:p>
        </w:tc>
      </w:tr>
      <w:tr>
        <w:trPr>
          <w:trHeight w:val="360" w:hRule="atLeast"/>
        </w:trPr>
        <w:tc>
          <w:tcPr>
            <w:tcW w:w="312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jc w:val="center"/>
              <w:rPr>
                <w:b/>
                <w:bCs/>
                <w:i/>
                <w:i/>
                <w:iCs/>
                <w:color w:val="FFFFFF"/>
                <w:sz w:val="22"/>
                <w:szCs w:val="22"/>
              </w:rPr>
            </w:pPr>
            <w:r>
              <w:rPr>
                <w:b/>
                <w:bCs/>
                <w:i/>
                <w:iCs/>
                <w:color w:val="FFFFFF"/>
                <w:sz w:val="22"/>
                <w:szCs w:val="22"/>
              </w:rPr>
              <w:t>Désignations/Années</w:t>
            </w:r>
          </w:p>
        </w:tc>
        <w:tc>
          <w:tcPr>
            <w:tcW w:w="127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AN1</w:t>
            </w:r>
          </w:p>
        </w:tc>
        <w:tc>
          <w:tcPr>
            <w:tcW w:w="141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AN2</w:t>
            </w:r>
          </w:p>
        </w:tc>
        <w:tc>
          <w:tcPr>
            <w:tcW w:w="1418"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AN3</w:t>
            </w:r>
          </w:p>
        </w:tc>
        <w:tc>
          <w:tcPr>
            <w:tcW w:w="1418"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AN4</w:t>
            </w:r>
          </w:p>
        </w:tc>
        <w:tc>
          <w:tcPr>
            <w:tcW w:w="1275" w:type="dxa"/>
            <w:gridSpan w:val="2"/>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AN5</w:t>
            </w:r>
          </w:p>
        </w:tc>
      </w:tr>
      <w:tr>
        <w:trPr>
          <w:trHeight w:val="315" w:hRule="atLeast"/>
        </w:trPr>
        <w:tc>
          <w:tcPr>
            <w:tcW w:w="3124"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1. Recettes prévisionnelles</w:t>
            </w:r>
          </w:p>
        </w:tc>
        <w:tc>
          <w:tcPr>
            <w:tcW w:w="127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275" w:type="dxa"/>
            <w:gridSpan w:val="2"/>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 recettes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11 750 000</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11 985 000</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12 224 700</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12 469 194</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12 718 578</w:t>
            </w:r>
          </w:p>
        </w:tc>
      </w:tr>
      <w:tr>
        <w:trPr>
          <w:trHeight w:val="315" w:hRule="atLeast"/>
        </w:trPr>
        <w:tc>
          <w:tcPr>
            <w:tcW w:w="3124" w:type="dxa"/>
            <w:tcBorders>
              <w:left w:val="single" w:sz="4" w:space="0" w:color="000000"/>
              <w:bottom w:val="single" w:sz="4" w:space="0" w:color="000000"/>
              <w:right w:val="single" w:sz="4" w:space="0" w:color="000000"/>
            </w:tcBorders>
            <w:shd w:fill="21A6C9" w:val="clear"/>
            <w:vAlign w:val="bottom"/>
          </w:tcPr>
          <w:p>
            <w:pPr>
              <w:pStyle w:val="Normal"/>
              <w:jc w:val="center"/>
              <w:rPr>
                <w:b/>
                <w:bCs/>
                <w:i/>
                <w:i/>
                <w:iCs/>
                <w:sz w:val="22"/>
                <w:szCs w:val="22"/>
              </w:rPr>
            </w:pPr>
            <w:r>
              <w:rPr>
                <w:b/>
                <w:bCs/>
                <w:i/>
                <w:iCs/>
                <w:sz w:val="22"/>
                <w:szCs w:val="22"/>
              </w:rPr>
              <w:t>2. Charges d'exploitation</w:t>
            </w:r>
          </w:p>
        </w:tc>
        <w:tc>
          <w:tcPr>
            <w:tcW w:w="127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418" w:type="dxa"/>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c>
          <w:tcPr>
            <w:tcW w:w="1275" w:type="dxa"/>
            <w:gridSpan w:val="2"/>
            <w:tcBorders>
              <w:bottom w:val="single" w:sz="4" w:space="0" w:color="000000"/>
              <w:right w:val="single" w:sz="4" w:space="0" w:color="000000"/>
            </w:tcBorders>
            <w:shd w:fill="21A6C9" w:val="clear"/>
            <w:vAlign w:val="center"/>
          </w:tcPr>
          <w:p>
            <w:pPr>
              <w:pStyle w:val="Normal"/>
              <w:snapToGrid w:val="false"/>
              <w:jc w:val="center"/>
              <w:rPr>
                <w:b/>
                <w:bCs/>
                <w:i/>
                <w:i/>
                <w:iCs/>
                <w:sz w:val="22"/>
                <w:szCs w:val="22"/>
              </w:rPr>
            </w:pPr>
            <w:r>
              <w:rPr>
                <w:b/>
                <w:bCs/>
                <w:i/>
                <w:iCs/>
                <w:sz w:val="22"/>
                <w:szCs w:val="22"/>
              </w:rPr>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Achats (matières premières et autres achats)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3 700 000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3 922 000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4 235 760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4 574 621</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4 940 590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Charges de Personnel</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2 100 000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2 205 000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2 205 000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2 205 000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2 205 000</w:t>
            </w:r>
          </w:p>
        </w:tc>
      </w:tr>
      <w:tr>
        <w:trPr>
          <w:trHeight w:val="570"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Travaux-Fournitures et Services Extérieurs (TFSE)</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720 000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756 000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756 000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756 000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756 000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Autres charges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Frais financiers  et charges assimilées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459 491</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283 353</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99 556</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Dotations aux amortissements</w:t>
            </w:r>
          </w:p>
        </w:tc>
        <w:tc>
          <w:tcPr>
            <w:tcW w:w="1276" w:type="dxa"/>
            <w:tcBorders>
              <w:bottom w:val="single" w:sz="4" w:space="0" w:color="000000"/>
              <w:right w:val="single" w:sz="4" w:space="0" w:color="000000"/>
            </w:tcBorders>
            <w:vAlign w:val="bottom"/>
          </w:tcPr>
          <w:p>
            <w:pPr>
              <w:pStyle w:val="Normal"/>
              <w:jc w:val="center"/>
              <w:rPr>
                <w:sz w:val="22"/>
                <w:szCs w:val="22"/>
              </w:rPr>
            </w:pPr>
            <w:r>
              <w:rPr>
                <w:sz w:val="22"/>
                <w:szCs w:val="22"/>
              </w:rPr>
              <w:t>1 075 000</w:t>
            </w:r>
          </w:p>
        </w:tc>
        <w:tc>
          <w:tcPr>
            <w:tcW w:w="1416" w:type="dxa"/>
            <w:tcBorders>
              <w:bottom w:val="single" w:sz="4" w:space="0" w:color="000000"/>
              <w:right w:val="single" w:sz="4" w:space="0" w:color="000000"/>
            </w:tcBorders>
            <w:vAlign w:val="bottom"/>
          </w:tcPr>
          <w:p>
            <w:pPr>
              <w:pStyle w:val="Normal"/>
              <w:jc w:val="center"/>
              <w:rPr>
                <w:sz w:val="22"/>
                <w:szCs w:val="22"/>
              </w:rPr>
            </w:pPr>
            <w:r>
              <w:rPr>
                <w:sz w:val="22"/>
                <w:szCs w:val="22"/>
              </w:rPr>
              <w:t>1 025 000</w:t>
            </w:r>
          </w:p>
        </w:tc>
        <w:tc>
          <w:tcPr>
            <w:tcW w:w="1418" w:type="dxa"/>
            <w:tcBorders>
              <w:bottom w:val="single" w:sz="4" w:space="0" w:color="000000"/>
              <w:right w:val="single" w:sz="4" w:space="0" w:color="000000"/>
            </w:tcBorders>
            <w:vAlign w:val="bottom"/>
          </w:tcPr>
          <w:p>
            <w:pPr>
              <w:pStyle w:val="Normal"/>
              <w:jc w:val="center"/>
              <w:rPr>
                <w:sz w:val="22"/>
                <w:szCs w:val="22"/>
              </w:rPr>
            </w:pPr>
            <w:r>
              <w:rPr>
                <w:sz w:val="22"/>
                <w:szCs w:val="22"/>
              </w:rPr>
              <w:t>1 025 000</w:t>
            </w:r>
          </w:p>
        </w:tc>
        <w:tc>
          <w:tcPr>
            <w:tcW w:w="1418" w:type="dxa"/>
            <w:tcBorders>
              <w:bottom w:val="single" w:sz="4" w:space="0" w:color="000000"/>
              <w:right w:val="single" w:sz="4" w:space="0" w:color="000000"/>
            </w:tcBorders>
            <w:vAlign w:val="bottom"/>
          </w:tcPr>
          <w:p>
            <w:pPr>
              <w:pStyle w:val="Normal"/>
              <w:jc w:val="center"/>
              <w:rPr>
                <w:sz w:val="22"/>
                <w:szCs w:val="22"/>
              </w:rPr>
            </w:pPr>
            <w:r>
              <w:rPr>
                <w:sz w:val="22"/>
                <w:szCs w:val="22"/>
              </w:rPr>
              <w:t>925 000</w:t>
            </w:r>
          </w:p>
        </w:tc>
        <w:tc>
          <w:tcPr>
            <w:tcW w:w="1275" w:type="dxa"/>
            <w:gridSpan w:val="2"/>
            <w:tcBorders>
              <w:bottom w:val="single" w:sz="4" w:space="0" w:color="000000"/>
              <w:right w:val="single" w:sz="4" w:space="0" w:color="000000"/>
            </w:tcBorders>
            <w:vAlign w:val="bottom"/>
          </w:tcPr>
          <w:p>
            <w:pPr>
              <w:pStyle w:val="Normal"/>
              <w:jc w:val="center"/>
              <w:rPr>
                <w:sz w:val="22"/>
                <w:szCs w:val="22"/>
              </w:rPr>
            </w:pPr>
            <w:r>
              <w:rPr>
                <w:sz w:val="22"/>
                <w:szCs w:val="22"/>
              </w:rPr>
              <w:t>500 000</w:t>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Total charges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8 054 491</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8 191 353</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8 321 316</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8 460 621</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bCs/>
                <w:i/>
                <w:iCs/>
                <w:sz w:val="22"/>
                <w:szCs w:val="22"/>
              </w:rPr>
              <w:t>8 401 590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snapToGrid w:val="false"/>
              <w:jc w:val="center"/>
              <w:rPr>
                <w:b/>
                <w:bCs/>
                <w:i/>
                <w:i/>
                <w:iCs/>
                <w:sz w:val="22"/>
                <w:szCs w:val="22"/>
              </w:rPr>
            </w:pPr>
            <w:r>
              <w:rPr>
                <w:b/>
                <w:bCs/>
                <w:i/>
                <w:iCs/>
                <w:sz w:val="22"/>
                <w:szCs w:val="22"/>
              </w:rPr>
            </w:r>
          </w:p>
        </w:tc>
        <w:tc>
          <w:tcPr>
            <w:tcW w:w="1276" w:type="dxa"/>
            <w:tcBorders>
              <w:bottom w:val="single" w:sz="4" w:space="0" w:color="000000"/>
              <w:right w:val="single" w:sz="4" w:space="0" w:color="000000"/>
            </w:tcBorders>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275" w:type="dxa"/>
            <w:gridSpan w:val="2"/>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Résultats bruts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3 695 509</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3 793 647</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3 903 384</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4 008 573</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4 316 987</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BIC</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0</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jc w:val="center"/>
              <w:rPr>
                <w:sz w:val="22"/>
                <w:szCs w:val="22"/>
              </w:rPr>
            </w:pPr>
            <w:r>
              <w:rPr>
                <w:sz w:val="22"/>
                <w:szCs w:val="22"/>
              </w:rPr>
              <w:t>Impôts et taxes</w:t>
            </w:r>
          </w:p>
        </w:tc>
        <w:tc>
          <w:tcPr>
            <w:tcW w:w="1276" w:type="dxa"/>
            <w:tcBorders>
              <w:bottom w:val="single" w:sz="4" w:space="0" w:color="000000"/>
              <w:right w:val="single" w:sz="4" w:space="0" w:color="000000"/>
            </w:tcBorders>
            <w:vAlign w:val="center"/>
          </w:tcPr>
          <w:p>
            <w:pPr>
              <w:pStyle w:val="Normal"/>
              <w:jc w:val="center"/>
              <w:rPr>
                <w:sz w:val="22"/>
                <w:szCs w:val="22"/>
              </w:rPr>
            </w:pPr>
            <w:r>
              <w:rPr>
                <w:sz w:val="22"/>
                <w:szCs w:val="22"/>
              </w:rPr>
              <w:t>189 000</w:t>
            </w:r>
          </w:p>
        </w:tc>
        <w:tc>
          <w:tcPr>
            <w:tcW w:w="1416" w:type="dxa"/>
            <w:tcBorders>
              <w:bottom w:val="single" w:sz="4" w:space="0" w:color="000000"/>
              <w:right w:val="single" w:sz="4" w:space="0" w:color="000000"/>
            </w:tcBorders>
            <w:vAlign w:val="center"/>
          </w:tcPr>
          <w:p>
            <w:pPr>
              <w:pStyle w:val="Normal"/>
              <w:jc w:val="center"/>
              <w:rPr>
                <w:sz w:val="22"/>
                <w:szCs w:val="22"/>
              </w:rPr>
            </w:pPr>
            <w:r>
              <w:rPr>
                <w:sz w:val="22"/>
                <w:szCs w:val="22"/>
              </w:rPr>
              <w:t>198 450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198 450</w:t>
            </w:r>
          </w:p>
        </w:tc>
        <w:tc>
          <w:tcPr>
            <w:tcW w:w="1418" w:type="dxa"/>
            <w:tcBorders>
              <w:bottom w:val="single" w:sz="4" w:space="0" w:color="000000"/>
              <w:right w:val="single" w:sz="4" w:space="0" w:color="000000"/>
            </w:tcBorders>
            <w:vAlign w:val="center"/>
          </w:tcPr>
          <w:p>
            <w:pPr>
              <w:pStyle w:val="Normal"/>
              <w:jc w:val="center"/>
              <w:rPr>
                <w:sz w:val="22"/>
                <w:szCs w:val="22"/>
              </w:rPr>
            </w:pPr>
            <w:r>
              <w:rPr>
                <w:sz w:val="22"/>
                <w:szCs w:val="22"/>
              </w:rPr>
              <w:t>198 450</w:t>
            </w:r>
          </w:p>
        </w:tc>
        <w:tc>
          <w:tcPr>
            <w:tcW w:w="1275" w:type="dxa"/>
            <w:gridSpan w:val="2"/>
            <w:tcBorders>
              <w:bottom w:val="single" w:sz="4" w:space="0" w:color="000000"/>
              <w:right w:val="single" w:sz="4" w:space="0" w:color="000000"/>
            </w:tcBorders>
            <w:vAlign w:val="center"/>
          </w:tcPr>
          <w:p>
            <w:pPr>
              <w:pStyle w:val="Normal"/>
              <w:jc w:val="center"/>
              <w:rPr>
                <w:sz w:val="22"/>
                <w:szCs w:val="22"/>
              </w:rPr>
            </w:pPr>
            <w:r>
              <w:rPr>
                <w:sz w:val="22"/>
                <w:szCs w:val="22"/>
              </w:rPr>
              <w:t>198 450</w:t>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Résultats nets</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3 506 509</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3 595 197</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3 704 934</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3 810 123</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4 118 537</w:t>
            </w:r>
          </w:p>
        </w:tc>
      </w:tr>
      <w:tr>
        <w:trPr>
          <w:trHeight w:val="285" w:hRule="atLeast"/>
        </w:trPr>
        <w:tc>
          <w:tcPr>
            <w:tcW w:w="3124" w:type="dxa"/>
            <w:tcBorders>
              <w:left w:val="single" w:sz="4" w:space="0" w:color="000000"/>
              <w:bottom w:val="single" w:sz="4" w:space="0" w:color="000000"/>
              <w:right w:val="single" w:sz="4" w:space="0" w:color="000000"/>
            </w:tcBorders>
            <w:vAlign w:val="bottom"/>
          </w:tcPr>
          <w:p>
            <w:pPr>
              <w:pStyle w:val="Normal"/>
              <w:snapToGrid w:val="false"/>
              <w:jc w:val="center"/>
              <w:rPr>
                <w:b/>
                <w:bCs/>
                <w:i/>
                <w:i/>
                <w:iCs/>
                <w:sz w:val="22"/>
                <w:szCs w:val="22"/>
              </w:rPr>
            </w:pPr>
            <w:r>
              <w:rPr>
                <w:b/>
                <w:bCs/>
                <w:i/>
                <w:iCs/>
                <w:sz w:val="22"/>
                <w:szCs w:val="22"/>
              </w:rPr>
            </w:r>
          </w:p>
        </w:tc>
        <w:tc>
          <w:tcPr>
            <w:tcW w:w="1276" w:type="dxa"/>
            <w:tcBorders>
              <w:bottom w:val="single" w:sz="4" w:space="0" w:color="000000"/>
              <w:right w:val="single" w:sz="4" w:space="0" w:color="000000"/>
            </w:tcBorders>
            <w:vAlign w:val="center"/>
          </w:tcPr>
          <w:p>
            <w:pPr>
              <w:pStyle w:val="Normal"/>
              <w:snapToGrid w:val="false"/>
              <w:jc w:val="center"/>
              <w:rPr>
                <w:b/>
                <w:bCs/>
                <w:i/>
                <w:i/>
                <w:iCs/>
                <w:sz w:val="22"/>
                <w:szCs w:val="22"/>
              </w:rPr>
            </w:pPr>
            <w:r>
              <w:rPr>
                <w:b/>
                <w:bCs/>
                <w:i/>
                <w:iCs/>
                <w:sz w:val="22"/>
                <w:szCs w:val="22"/>
              </w:rPr>
            </w:r>
          </w:p>
        </w:tc>
        <w:tc>
          <w:tcPr>
            <w:tcW w:w="1416"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418" w:type="dxa"/>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c>
          <w:tcPr>
            <w:tcW w:w="1275" w:type="dxa"/>
            <w:gridSpan w:val="2"/>
            <w:tcBorders>
              <w:bottom w:val="single" w:sz="4" w:space="0" w:color="000000"/>
              <w:right w:val="single" w:sz="4" w:space="0" w:color="000000"/>
            </w:tcBorders>
            <w:vAlign w:val="center"/>
          </w:tcPr>
          <w:p>
            <w:pPr>
              <w:pStyle w:val="Normal"/>
              <w:snapToGrid w:val="false"/>
              <w:jc w:val="center"/>
              <w:rPr>
                <w:sz w:val="22"/>
                <w:szCs w:val="22"/>
              </w:rPr>
            </w:pPr>
            <w:r>
              <w:rPr>
                <w:sz w:val="22"/>
                <w:szCs w:val="22"/>
              </w:rPr>
            </w:r>
          </w:p>
        </w:tc>
      </w:tr>
      <w:tr>
        <w:trPr>
          <w:trHeight w:val="285" w:hRule="atLeast"/>
        </w:trPr>
        <w:tc>
          <w:tcPr>
            <w:tcW w:w="3124" w:type="dxa"/>
            <w:tcBorders>
              <w:left w:val="single" w:sz="4" w:space="0" w:color="000000"/>
              <w:bottom w:val="single" w:sz="4" w:space="0" w:color="000000"/>
              <w:right w:val="single" w:sz="4" w:space="0" w:color="000000"/>
            </w:tcBorders>
            <w:shd w:fill="F4C9C8" w:val="clear"/>
            <w:vAlign w:val="bottom"/>
          </w:tcPr>
          <w:p>
            <w:pPr>
              <w:pStyle w:val="Normal"/>
              <w:jc w:val="center"/>
              <w:rPr>
                <w:b/>
                <w:bCs/>
                <w:i/>
                <w:i/>
                <w:iCs/>
                <w:sz w:val="22"/>
                <w:szCs w:val="22"/>
              </w:rPr>
            </w:pPr>
            <w:r>
              <w:rPr>
                <w:b/>
                <w:bCs/>
                <w:i/>
                <w:iCs/>
                <w:sz w:val="22"/>
                <w:szCs w:val="22"/>
              </w:rPr>
              <w:t>CAF</w:t>
            </w:r>
          </w:p>
        </w:tc>
        <w:tc>
          <w:tcPr>
            <w:tcW w:w="127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4 581 509</w:t>
            </w:r>
          </w:p>
        </w:tc>
        <w:tc>
          <w:tcPr>
            <w:tcW w:w="1416"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4 620 197</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4 729 934</w:t>
            </w:r>
          </w:p>
        </w:tc>
        <w:tc>
          <w:tcPr>
            <w:tcW w:w="1418" w:type="dxa"/>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4 735 123</w:t>
            </w:r>
          </w:p>
        </w:tc>
        <w:tc>
          <w:tcPr>
            <w:tcW w:w="1275" w:type="dxa"/>
            <w:gridSpan w:val="2"/>
            <w:tcBorders>
              <w:bottom w:val="single" w:sz="4" w:space="0" w:color="000000"/>
              <w:right w:val="single" w:sz="4" w:space="0" w:color="000000"/>
            </w:tcBorders>
            <w:shd w:fill="F4C9C8" w:val="clear"/>
            <w:vAlign w:val="center"/>
          </w:tcPr>
          <w:p>
            <w:pPr>
              <w:pStyle w:val="Normal"/>
              <w:jc w:val="center"/>
              <w:rPr>
                <w:b/>
                <w:bCs/>
                <w:i/>
                <w:i/>
                <w:iCs/>
                <w:sz w:val="22"/>
                <w:szCs w:val="22"/>
              </w:rPr>
            </w:pPr>
            <w:r>
              <w:rPr>
                <w:b/>
                <w:i/>
                <w:sz w:val="22"/>
              </w:rPr>
              <w:t>4 618 537</w:t>
            </w:r>
          </w:p>
        </w:tc>
      </w:tr>
      <w:tr>
        <w:trPr>
          <w:trHeight w:val="360" w:hRule="atLeast"/>
        </w:trPr>
        <w:tc>
          <w:tcPr>
            <w:tcW w:w="3124" w:type="dxa"/>
            <w:tcBorders>
              <w:left w:val="single" w:sz="4" w:space="0" w:color="000000"/>
              <w:bottom w:val="single" w:sz="4" w:space="0" w:color="000000"/>
              <w:right w:val="single" w:sz="4" w:space="0" w:color="000000"/>
            </w:tcBorders>
            <w:shd w:fill="00CCFF" w:val="clear"/>
            <w:vAlign w:val="bottom"/>
          </w:tcPr>
          <w:p>
            <w:pPr>
              <w:pStyle w:val="Normal"/>
              <w:jc w:val="center"/>
              <w:rPr>
                <w:b/>
                <w:bCs/>
                <w:sz w:val="22"/>
                <w:szCs w:val="22"/>
              </w:rPr>
            </w:pPr>
            <w:r>
              <w:rPr>
                <w:b/>
                <w:bCs/>
                <w:sz w:val="22"/>
                <w:szCs w:val="22"/>
              </w:rPr>
              <w:t>CAF CUMULEE</w:t>
            </w:r>
          </w:p>
        </w:tc>
        <w:tc>
          <w:tcPr>
            <w:tcW w:w="1276"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4 581 509</w:t>
            </w:r>
          </w:p>
        </w:tc>
        <w:tc>
          <w:tcPr>
            <w:tcW w:w="1416"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9 201 706</w:t>
            </w:r>
          </w:p>
        </w:tc>
        <w:tc>
          <w:tcPr>
            <w:tcW w:w="1418"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13 931 640</w:t>
            </w:r>
          </w:p>
        </w:tc>
        <w:tc>
          <w:tcPr>
            <w:tcW w:w="1418" w:type="dxa"/>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18 666 763</w:t>
            </w:r>
          </w:p>
        </w:tc>
        <w:tc>
          <w:tcPr>
            <w:tcW w:w="1275" w:type="dxa"/>
            <w:gridSpan w:val="2"/>
            <w:tcBorders>
              <w:bottom w:val="single" w:sz="4" w:space="0" w:color="000000"/>
              <w:right w:val="single" w:sz="4" w:space="0" w:color="000000"/>
            </w:tcBorders>
            <w:shd w:fill="00CCFF" w:val="clear"/>
            <w:vAlign w:val="center"/>
          </w:tcPr>
          <w:p>
            <w:pPr>
              <w:pStyle w:val="Normal"/>
              <w:jc w:val="center"/>
              <w:rPr>
                <w:b/>
                <w:bCs/>
                <w:sz w:val="22"/>
                <w:szCs w:val="22"/>
              </w:rPr>
            </w:pPr>
            <w:r>
              <w:rPr>
                <w:b/>
                <w:sz w:val="22"/>
              </w:rPr>
              <w:t>23 285 301</w:t>
            </w:r>
          </w:p>
        </w:tc>
      </w:tr>
    </w:tbl>
    <w:p>
      <w:pPr>
        <w:pStyle w:val="Normal"/>
        <w:jc w:val="center"/>
        <w:rPr/>
      </w:pPr>
      <w:r>
        <w:rPr/>
        <w:drawing>
          <wp:inline distT="0" distB="0" distL="0" distR="0">
            <wp:extent cx="5400040" cy="262318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3"/>
                    <a:stretch>
                      <a:fillRect/>
                    </a:stretch>
                  </pic:blipFill>
                  <pic:spPr bwMode="auto">
                    <a:xfrm>
                      <a:off x="0" y="0"/>
                      <a:ext cx="5400040" cy="2623185"/>
                    </a:xfrm>
                    <a:prstGeom prst="rect">
                      <a:avLst/>
                    </a:prstGeom>
                  </pic:spPr>
                </pic:pic>
              </a:graphicData>
            </a:graphic>
          </wp:inline>
        </w:drawing>
      </w:r>
    </w:p>
    <w:p>
      <w:pPr>
        <w:pStyle w:val="Normal"/>
        <w:jc w:val="center"/>
        <w:rPr/>
      </w:pPr>
      <w:r>
        <w:rPr>
          <w:i/>
          <w:sz w:val="18"/>
        </w:rPr>
        <w:t>Graphique 2 – Chiffre d'affaires et résultat net sur 5 ans (millions de F CFA)</w:t>
      </w:r>
    </w:p>
    <w:p>
      <w:pPr>
        <w:pStyle w:val="Normal"/>
        <w:jc w:val="center"/>
        <w:rPr>
          <w:sz w:val="22"/>
          <w:szCs w:val="22"/>
          <w:lang w:val="fr-CI"/>
        </w:rPr>
      </w:pPr>
      <w:r>
        <w:rPr>
          <w:sz w:val="22"/>
          <w:szCs w:val="22"/>
          <w:lang w:val="fr-CI"/>
        </w:rPr>
      </w:r>
    </w:p>
    <w:p>
      <w:pPr>
        <w:pStyle w:val="Heading2"/>
        <w:keepLines/>
        <w:numPr>
          <w:ilvl w:val="1"/>
          <w:numId w:val="4"/>
        </w:numPr>
        <w:spacing w:before="120" w:after="120"/>
        <w:ind w:hanging="491" w:left="851" w:right="0"/>
        <w:jc w:val="both"/>
        <w:rPr>
          <w:rFonts w:ascii="Times New Roman" w:hAnsi="Times New Roman" w:cs="Times New Roman"/>
          <w:i w:val="false"/>
          <w:i w:val="false"/>
          <w:iCs w:val="false"/>
          <w:lang w:val="fr-CI"/>
        </w:rPr>
      </w:pPr>
      <w:bookmarkStart w:id="25" w:name="__RefHeading___Toc234831724"/>
      <w:bookmarkEnd w:id="25"/>
      <w:r>
        <w:rPr>
          <w:rFonts w:cs="Times New Roman" w:ascii="Times New Roman" w:hAnsi="Times New Roman"/>
          <w:i w:val="false"/>
          <w:iCs w:val="false"/>
          <w:lang w:val="fr-CI"/>
        </w:rPr>
        <w:t>Tableau de financement annuel</w:t>
      </w:r>
    </w:p>
    <w:tbl>
      <w:tblPr>
        <w:tblW w:w="10070" w:type="dxa"/>
        <w:jc w:val="left"/>
        <w:tblInd w:w="65" w:type="dxa"/>
        <w:tblLayout w:type="fixed"/>
        <w:tblCellMar>
          <w:top w:w="0" w:type="dxa"/>
          <w:left w:w="70" w:type="dxa"/>
          <w:bottom w:w="0" w:type="dxa"/>
          <w:right w:w="70" w:type="dxa"/>
        </w:tblCellMar>
      </w:tblPr>
      <w:tblGrid>
        <w:gridCol w:w="2556"/>
        <w:gridCol w:w="1276"/>
        <w:gridCol w:w="1134"/>
        <w:gridCol w:w="1135"/>
        <w:gridCol w:w="1275"/>
        <w:gridCol w:w="142"/>
        <w:gridCol w:w="1276"/>
        <w:gridCol w:w="1275"/>
      </w:tblGrid>
      <w:tr>
        <w:trPr>
          <w:trHeight w:val="405" w:hRule="atLeast"/>
        </w:trPr>
        <w:tc>
          <w:tcPr>
            <w:tcW w:w="3832" w:type="dxa"/>
            <w:gridSpan w:val="2"/>
            <w:tcBorders>
              <w:top w:val="single" w:sz="4" w:space="0" w:color="000000"/>
              <w:left w:val="single" w:sz="4" w:space="0" w:color="000000"/>
              <w:bottom w:val="single" w:sz="4" w:space="0" w:color="000000"/>
            </w:tcBorders>
            <w:shd w:fill="166B7F" w:val="clear"/>
            <w:vAlign w:val="bottom"/>
          </w:tcPr>
          <w:p>
            <w:pPr>
              <w:pStyle w:val="Normal"/>
              <w:rPr>
                <w:b/>
                <w:bCs/>
                <w:color w:val="FFFFFF"/>
                <w:sz w:val="22"/>
                <w:szCs w:val="22"/>
              </w:rPr>
            </w:pPr>
            <w:r>
              <w:rPr>
                <w:b/>
                <w:bCs/>
                <w:color w:val="FFFFFF"/>
                <w:sz w:val="22"/>
                <w:szCs w:val="22"/>
              </w:rPr>
              <w:t>COMPTE DE TRESORERIE  (FCFA)</w:t>
            </w:r>
          </w:p>
        </w:tc>
        <w:tc>
          <w:tcPr>
            <w:tcW w:w="1134" w:type="dxa"/>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135" w:type="dxa"/>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417" w:type="dxa"/>
            <w:gridSpan w:val="2"/>
            <w:tcBorders>
              <w:top w:val="single" w:sz="4" w:space="0" w:color="000000"/>
              <w:bottom w:val="single" w:sz="4" w:space="0" w:color="000000"/>
            </w:tcBorders>
            <w:shd w:fill="166B7F" w:val="clear"/>
            <w:vAlign w:val="bottom"/>
          </w:tcPr>
          <w:p>
            <w:pPr>
              <w:pStyle w:val="Normal"/>
              <w:rPr>
                <w:b/>
                <w:bCs/>
                <w:color w:val="FFFFFF"/>
                <w:sz w:val="22"/>
                <w:szCs w:val="22"/>
              </w:rPr>
            </w:pPr>
            <w:r>
              <w:rPr/>
            </w:r>
          </w:p>
        </w:tc>
        <w:tc>
          <w:tcPr>
            <w:tcW w:w="1276" w:type="dxa"/>
            <w:tcBorders>
              <w:top w:val="single" w:sz="4" w:space="0" w:color="000000"/>
              <w:bottom w:val="single" w:sz="4" w:space="0" w:color="000000"/>
              <w:right w:val="single" w:sz="4" w:space="0" w:color="000000"/>
            </w:tcBorders>
            <w:shd w:fill="166B7F" w:val="clear"/>
            <w:vAlign w:val="bottom"/>
          </w:tcPr>
          <w:p>
            <w:pPr>
              <w:pStyle w:val="Normal"/>
              <w:rPr>
                <w:rFonts w:ascii="Cambria" w:hAnsi="Cambria" w:cs="Calibri"/>
                <w:b/>
                <w:bCs/>
                <w:color w:val="FFFFFF"/>
                <w:sz w:val="32"/>
                <w:szCs w:val="32"/>
              </w:rPr>
            </w:pPr>
            <w:r>
              <w:rPr/>
            </w:r>
          </w:p>
        </w:tc>
        <w:tc>
          <w:tcPr>
            <w:tcW w:w="1275" w:type="dxa"/>
            <w:tcBorders>
              <w:top w:val="single" w:sz="4" w:space="0" w:color="000000"/>
              <w:bottom w:val="single" w:sz="4" w:space="0" w:color="000000"/>
            </w:tcBorders>
            <w:shd w:fill="166B7F" w:val="clear"/>
            <w:vAlign w:val="bottom"/>
          </w:tcPr>
          <w:p>
            <w:pPr>
              <w:pStyle w:val="Normal"/>
              <w:rPr>
                <w:rFonts w:ascii="Cambria" w:hAnsi="Cambria" w:cs="Calibri"/>
                <w:b/>
                <w:bCs/>
                <w:color w:val="FFFFFF"/>
                <w:sz w:val="32"/>
                <w:szCs w:val="32"/>
              </w:rPr>
            </w:pPr>
            <w:r>
              <w:rPr/>
            </w:r>
          </w:p>
        </w:tc>
      </w:tr>
      <w:tr>
        <w:trPr>
          <w:trHeight w:val="375" w:hRule="atLeast"/>
        </w:trPr>
        <w:tc>
          <w:tcPr>
            <w:tcW w:w="2556" w:type="dxa"/>
            <w:tcBorders/>
            <w:vAlign w:val="bottom"/>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1276" w:type="dxa"/>
            <w:tcBorders/>
            <w:vAlign w:val="bottom"/>
          </w:tcPr>
          <w:p>
            <w:pPr>
              <w:pStyle w:val="Normal"/>
              <w:snapToGrid w:val="false"/>
              <w:rPr>
                <w:rFonts w:ascii="Cambria" w:hAnsi="Cambria" w:cs="Calibri"/>
                <w:b/>
                <w:bCs/>
                <w:color w:val="000000"/>
                <w:sz w:val="22"/>
                <w:szCs w:val="22"/>
              </w:rPr>
            </w:pPr>
            <w:r>
              <w:rPr>
                <w:rFonts w:cs="Calibri" w:ascii="Cambria" w:hAnsi="Cambria"/>
                <w:b/>
                <w:bCs/>
                <w:color w:val="000000"/>
                <w:sz w:val="22"/>
                <w:szCs w:val="22"/>
              </w:rPr>
            </w:r>
          </w:p>
        </w:tc>
        <w:tc>
          <w:tcPr>
            <w:tcW w:w="1134" w:type="dxa"/>
            <w:tcBorders/>
            <w:vAlign w:val="bottom"/>
          </w:tcPr>
          <w:p>
            <w:pPr>
              <w:pStyle w:val="Normal"/>
              <w:snapToGrid w:val="false"/>
              <w:rPr>
                <w:b/>
                <w:bCs/>
                <w:color w:val="000000"/>
                <w:sz w:val="22"/>
                <w:szCs w:val="22"/>
              </w:rPr>
            </w:pPr>
            <w:r>
              <w:rPr>
                <w:b/>
                <w:bCs/>
                <w:color w:val="000000"/>
                <w:sz w:val="22"/>
                <w:szCs w:val="22"/>
              </w:rPr>
            </w:r>
          </w:p>
        </w:tc>
        <w:tc>
          <w:tcPr>
            <w:tcW w:w="1135" w:type="dxa"/>
            <w:tcBorders/>
            <w:vAlign w:val="bottom"/>
          </w:tcPr>
          <w:p>
            <w:pPr>
              <w:pStyle w:val="Normal"/>
              <w:snapToGrid w:val="false"/>
              <w:rPr>
                <w:b/>
                <w:bCs/>
                <w:color w:val="000000"/>
                <w:sz w:val="22"/>
                <w:szCs w:val="22"/>
              </w:rPr>
            </w:pPr>
            <w:r>
              <w:rPr>
                <w:b/>
                <w:bCs/>
                <w:color w:val="000000"/>
                <w:sz w:val="22"/>
                <w:szCs w:val="22"/>
              </w:rPr>
            </w:r>
          </w:p>
        </w:tc>
        <w:tc>
          <w:tcPr>
            <w:tcW w:w="1417" w:type="dxa"/>
            <w:gridSpan w:val="2"/>
            <w:tcBorders/>
            <w:vAlign w:val="bottom"/>
          </w:tcPr>
          <w:p>
            <w:pPr>
              <w:pStyle w:val="Normal"/>
              <w:snapToGrid w:val="false"/>
              <w:rPr>
                <w:color w:val="000000"/>
                <w:sz w:val="22"/>
                <w:szCs w:val="22"/>
              </w:rPr>
            </w:pPr>
            <w:r>
              <w:rPr>
                <w:color w:val="000000"/>
                <w:sz w:val="22"/>
                <w:szCs w:val="22"/>
              </w:rPr>
            </w:r>
          </w:p>
        </w:tc>
        <w:tc>
          <w:tcPr>
            <w:tcW w:w="1276"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c>
          <w:tcPr>
            <w:tcW w:w="1275" w:type="dxa"/>
            <w:tcBorders/>
            <w:vAlign w:val="bottom"/>
          </w:tcPr>
          <w:p>
            <w:pPr>
              <w:pStyle w:val="Normal"/>
              <w:snapToGrid w:val="false"/>
              <w:rPr>
                <w:rFonts w:ascii="Calibri" w:hAnsi="Calibri" w:cs="Calibri"/>
                <w:color w:val="000000"/>
                <w:sz w:val="22"/>
                <w:szCs w:val="22"/>
              </w:rPr>
            </w:pPr>
            <w:r>
              <w:rPr>
                <w:rFonts w:cs="Calibri" w:ascii="Calibri" w:hAnsi="Calibri"/>
                <w:color w:val="000000"/>
                <w:sz w:val="22"/>
                <w:szCs w:val="22"/>
              </w:rPr>
            </w:r>
          </w:p>
        </w:tc>
      </w:tr>
      <w:tr>
        <w:trPr>
          <w:trHeight w:val="360" w:hRule="atLeast"/>
        </w:trPr>
        <w:tc>
          <w:tcPr>
            <w:tcW w:w="2556"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Désignations/Années</w:t>
            </w:r>
          </w:p>
        </w:tc>
        <w:tc>
          <w:tcPr>
            <w:tcW w:w="1276"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AN0</w:t>
            </w:r>
          </w:p>
        </w:tc>
        <w:tc>
          <w:tcPr>
            <w:tcW w:w="1134"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AN1</w:t>
            </w:r>
          </w:p>
        </w:tc>
        <w:tc>
          <w:tcPr>
            <w:tcW w:w="113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AN2</w:t>
            </w:r>
          </w:p>
        </w:tc>
        <w:tc>
          <w:tcPr>
            <w:tcW w:w="1275"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AN3</w:t>
            </w:r>
          </w:p>
        </w:tc>
        <w:tc>
          <w:tcPr>
            <w:tcW w:w="1418" w:type="dxa"/>
            <w:gridSpan w:val="2"/>
            <w:tcBorders>
              <w:top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AN4</w:t>
            </w:r>
          </w:p>
        </w:tc>
        <w:tc>
          <w:tcPr>
            <w:tcW w:w="1275" w:type="dxa"/>
            <w:tcBorders>
              <w:top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AN5</w:t>
            </w:r>
          </w:p>
        </w:tc>
      </w:tr>
      <w:tr>
        <w:trPr>
          <w:trHeight w:val="315" w:hRule="atLeast"/>
        </w:trPr>
        <w:tc>
          <w:tcPr>
            <w:tcW w:w="2556"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SOURCES DE FONDS</w:t>
            </w:r>
          </w:p>
        </w:tc>
        <w:tc>
          <w:tcPr>
            <w:tcW w:w="1276"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4"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418" w:type="dxa"/>
            <w:gridSpan w:val="2"/>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Apport personnel</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600 000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Crédit</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5 400 000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Dotation aux Amortissements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1 075 000</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1 025 000</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1 025 000</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925 000</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500 000</w:t>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Résultats nets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3 506 509</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3 595 197</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rPr>
              <w:t>3 704 934</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mbria" w:ascii="Cambria" w:hAnsi="Cambria"/>
                <w:color w:val="000000"/>
                <w:sz w:val="22"/>
              </w:rPr>
              <w:t>3 810 123</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mbria" w:ascii="Cambria" w:hAnsi="Cambria"/>
                <w:color w:val="000000"/>
                <w:sz w:val="22"/>
              </w:rPr>
              <w:t>4 118 537</w:t>
            </w:r>
          </w:p>
        </w:tc>
      </w:tr>
      <w:tr>
        <w:trPr>
          <w:trHeight w:val="300" w:hRule="atLeast"/>
        </w:trPr>
        <w:tc>
          <w:tcPr>
            <w:tcW w:w="2556" w:type="dxa"/>
            <w:tcBorders>
              <w:left w:val="single" w:sz="4" w:space="0" w:color="000000"/>
              <w:bottom w:val="single" w:sz="4" w:space="0" w:color="000000"/>
              <w:right w:val="single" w:sz="4" w:space="0" w:color="000000"/>
            </w:tcBorders>
            <w:shd w:fill="D63431" w:val="clear"/>
            <w:vAlign w:val="bottom"/>
          </w:tcPr>
          <w:p>
            <w:pPr>
              <w:pStyle w:val="Normal"/>
              <w:rPr>
                <w:b/>
                <w:bCs/>
                <w:i/>
                <w:i/>
                <w:iCs/>
                <w:color w:val="FFFFFF"/>
                <w:sz w:val="22"/>
                <w:szCs w:val="22"/>
              </w:rPr>
            </w:pPr>
            <w:r>
              <w:rPr>
                <w:b/>
                <w:bCs/>
                <w:i/>
                <w:iCs/>
                <w:color w:val="FFFFFF"/>
                <w:sz w:val="22"/>
                <w:szCs w:val="22"/>
              </w:rPr>
              <w:t>Total RESSOURCES</w:t>
            </w:r>
          </w:p>
        </w:tc>
        <w:tc>
          <w:tcPr>
            <w:tcW w:w="1276"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6 000 000</w:t>
            </w:r>
          </w:p>
        </w:tc>
        <w:tc>
          <w:tcPr>
            <w:tcW w:w="1134"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4 581 509</w:t>
            </w:r>
          </w:p>
        </w:tc>
        <w:tc>
          <w:tcPr>
            <w:tcW w:w="113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4 620 197</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i/>
                <w:color w:val="FFFFFF"/>
                <w:sz w:val="22"/>
              </w:rPr>
              <w:t>4 729 934</w:t>
            </w:r>
          </w:p>
        </w:tc>
        <w:tc>
          <w:tcPr>
            <w:tcW w:w="1418" w:type="dxa"/>
            <w:gridSpan w:val="2"/>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4 735 123</w:t>
            </w:r>
          </w:p>
        </w:tc>
        <w:tc>
          <w:tcPr>
            <w:tcW w:w="1275" w:type="dxa"/>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4 618 537</w:t>
            </w:r>
          </w:p>
        </w:tc>
      </w:tr>
      <w:tr>
        <w:trPr>
          <w:trHeight w:val="315" w:hRule="atLeast"/>
        </w:trPr>
        <w:tc>
          <w:tcPr>
            <w:tcW w:w="2556" w:type="dxa"/>
            <w:tcBorders>
              <w:left w:val="single" w:sz="4" w:space="0" w:color="000000"/>
              <w:bottom w:val="single" w:sz="4" w:space="0" w:color="000000"/>
              <w:right w:val="single" w:sz="4" w:space="0" w:color="000000"/>
            </w:tcBorders>
            <w:shd w:fill="21A6C9" w:val="clear"/>
            <w:vAlign w:val="bottom"/>
          </w:tcPr>
          <w:p>
            <w:pPr>
              <w:pStyle w:val="Normal"/>
              <w:rPr>
                <w:b/>
                <w:bCs/>
                <w:i/>
                <w:i/>
                <w:iCs/>
                <w:color w:val="FFFFFF"/>
                <w:sz w:val="22"/>
                <w:szCs w:val="22"/>
              </w:rPr>
            </w:pPr>
            <w:r>
              <w:rPr>
                <w:b/>
                <w:bCs/>
                <w:i/>
                <w:iCs/>
                <w:color w:val="FFFFFF"/>
                <w:sz w:val="22"/>
                <w:szCs w:val="22"/>
              </w:rPr>
              <w:t>EMPLOIS DE FONDS</w:t>
            </w:r>
          </w:p>
        </w:tc>
        <w:tc>
          <w:tcPr>
            <w:tcW w:w="1276"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4"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13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275" w:type="dxa"/>
            <w:tcBorders>
              <w:bottom w:val="single" w:sz="4" w:space="0" w:color="000000"/>
              <w:right w:val="single" w:sz="4" w:space="0" w:color="000000"/>
            </w:tcBorders>
            <w:shd w:fill="21A6C9" w:val="clear"/>
            <w:vAlign w:val="bottom"/>
          </w:tcPr>
          <w:p>
            <w:pPr>
              <w:pStyle w:val="Normal"/>
              <w:rPr>
                <w:b/>
                <w:bCs/>
                <w:i/>
                <w:i/>
                <w:iCs/>
                <w:color w:val="FFFFFF"/>
                <w:sz w:val="22"/>
                <w:szCs w:val="22"/>
              </w:rPr>
            </w:pPr>
            <w:r>
              <w:rPr/>
            </w:r>
          </w:p>
        </w:tc>
        <w:tc>
          <w:tcPr>
            <w:tcW w:w="1418" w:type="dxa"/>
            <w:gridSpan w:val="2"/>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c>
          <w:tcPr>
            <w:tcW w:w="1275" w:type="dxa"/>
            <w:tcBorders>
              <w:bottom w:val="single" w:sz="4" w:space="0" w:color="000000"/>
              <w:right w:val="single" w:sz="4" w:space="0" w:color="000000"/>
            </w:tcBorders>
            <w:shd w:fill="21A6C9" w:val="clear"/>
            <w:vAlign w:val="bottom"/>
          </w:tcPr>
          <w:p>
            <w:pPr>
              <w:pStyle w:val="Normal"/>
              <w:rPr>
                <w:rFonts w:ascii="Cambria" w:hAnsi="Cambria" w:cs="Calibri"/>
                <w:b/>
                <w:bCs/>
                <w:i/>
                <w:i/>
                <w:iCs/>
                <w:color w:val="FFFFFF"/>
              </w:rPr>
            </w:pPr>
            <w:r>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d'établissements</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50 000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Frais d'investissement</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4 500 000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BFR</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1 450 000</w:t>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r>
          </w:p>
        </w:tc>
      </w:tr>
      <w:tr>
        <w:trPr>
          <w:trHeight w:val="300" w:hRule="atLeast"/>
        </w:trPr>
        <w:tc>
          <w:tcPr>
            <w:tcW w:w="2556" w:type="dxa"/>
            <w:tcBorders>
              <w:left w:val="single" w:sz="4" w:space="0" w:color="000000"/>
              <w:bottom w:val="single" w:sz="4" w:space="0" w:color="000000"/>
              <w:right w:val="single" w:sz="4" w:space="0" w:color="000000"/>
            </w:tcBorders>
            <w:vAlign w:val="bottom"/>
          </w:tcPr>
          <w:p>
            <w:pPr>
              <w:pStyle w:val="Normal"/>
              <w:rPr>
                <w:color w:val="000000"/>
                <w:sz w:val="22"/>
                <w:szCs w:val="22"/>
              </w:rPr>
            </w:pPr>
            <w:r>
              <w:rPr>
                <w:color w:val="000000"/>
                <w:sz w:val="22"/>
                <w:szCs w:val="22"/>
              </w:rPr>
              <w:t>Remboursement de CREDIT MOYEN TERME</w:t>
            </w:r>
          </w:p>
        </w:tc>
        <w:tc>
          <w:tcPr>
            <w:tcW w:w="1276"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r>
          </w:p>
        </w:tc>
        <w:tc>
          <w:tcPr>
            <w:tcW w:w="1134"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1 472 727</w:t>
            </w:r>
          </w:p>
        </w:tc>
        <w:tc>
          <w:tcPr>
            <w:tcW w:w="113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1 963 636</w:t>
            </w:r>
          </w:p>
        </w:tc>
        <w:tc>
          <w:tcPr>
            <w:tcW w:w="1275" w:type="dxa"/>
            <w:tcBorders>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1 963 636</w:t>
            </w:r>
          </w:p>
        </w:tc>
        <w:tc>
          <w:tcPr>
            <w:tcW w:w="1418" w:type="dxa"/>
            <w:gridSpan w:val="2"/>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0</w:t>
            </w:r>
          </w:p>
        </w:tc>
        <w:tc>
          <w:tcPr>
            <w:tcW w:w="1275" w:type="dxa"/>
            <w:tcBorders>
              <w:bottom w:val="single" w:sz="4" w:space="0" w:color="000000"/>
              <w:right w:val="single" w:sz="4" w:space="0" w:color="000000"/>
            </w:tcBorders>
            <w:vAlign w:val="bottom"/>
          </w:tcPr>
          <w:p>
            <w:pPr>
              <w:pStyle w:val="Normal"/>
              <w:jc w:val="center"/>
              <w:rPr>
                <w:rFonts w:ascii="Cambria" w:hAnsi="Cambria" w:cs="Calibri"/>
                <w:color w:val="000000"/>
                <w:sz w:val="22"/>
                <w:szCs w:val="22"/>
              </w:rPr>
            </w:pPr>
            <w:r>
              <w:rPr>
                <w:rFonts w:cs="Calibri" w:ascii="Cambria" w:hAnsi="Cambria"/>
                <w:color w:val="000000"/>
                <w:sz w:val="22"/>
                <w:szCs w:val="22"/>
              </w:rPr>
              <w:t>0</w:t>
            </w:r>
          </w:p>
        </w:tc>
      </w:tr>
      <w:tr>
        <w:trPr>
          <w:trHeight w:val="300" w:hRule="atLeast"/>
        </w:trPr>
        <w:tc>
          <w:tcPr>
            <w:tcW w:w="2556" w:type="dxa"/>
            <w:tcBorders>
              <w:left w:val="single" w:sz="4" w:space="0" w:color="000000"/>
              <w:bottom w:val="single" w:sz="4" w:space="0" w:color="000000"/>
              <w:right w:val="single" w:sz="4" w:space="0" w:color="000000"/>
            </w:tcBorders>
            <w:shd w:fill="D63431" w:val="clear"/>
            <w:vAlign w:val="bottom"/>
          </w:tcPr>
          <w:p>
            <w:pPr>
              <w:pStyle w:val="Normal"/>
              <w:rPr>
                <w:b/>
                <w:bCs/>
                <w:i/>
                <w:i/>
                <w:iCs/>
                <w:color w:val="FFFFFF"/>
                <w:sz w:val="22"/>
                <w:szCs w:val="22"/>
              </w:rPr>
            </w:pPr>
            <w:r>
              <w:rPr>
                <w:b/>
                <w:bCs/>
                <w:i/>
                <w:iCs/>
                <w:color w:val="FFFFFF"/>
                <w:sz w:val="22"/>
                <w:szCs w:val="22"/>
              </w:rPr>
              <w:t>Total EMPLOIS</w:t>
            </w:r>
          </w:p>
        </w:tc>
        <w:tc>
          <w:tcPr>
            <w:tcW w:w="1276"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6 000 000</w:t>
            </w:r>
          </w:p>
        </w:tc>
        <w:tc>
          <w:tcPr>
            <w:tcW w:w="1134"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1 472 727</w:t>
            </w:r>
          </w:p>
        </w:tc>
        <w:tc>
          <w:tcPr>
            <w:tcW w:w="113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1 963 636</w:t>
            </w:r>
          </w:p>
        </w:tc>
        <w:tc>
          <w:tcPr>
            <w:tcW w:w="1275" w:type="dxa"/>
            <w:tcBorders>
              <w:bottom w:val="single" w:sz="4" w:space="0" w:color="000000"/>
              <w:right w:val="single" w:sz="4" w:space="0" w:color="000000"/>
            </w:tcBorders>
            <w:shd w:fill="D63431" w:val="clear"/>
            <w:vAlign w:val="bottom"/>
          </w:tcPr>
          <w:p>
            <w:pPr>
              <w:pStyle w:val="Normal"/>
              <w:jc w:val="center"/>
              <w:rPr>
                <w:b/>
                <w:bCs/>
                <w:i/>
                <w:i/>
                <w:iCs/>
                <w:color w:val="FFFFFF"/>
                <w:sz w:val="22"/>
                <w:szCs w:val="22"/>
              </w:rPr>
            </w:pPr>
            <w:r>
              <w:rPr>
                <w:b/>
                <w:bCs/>
                <w:i/>
                <w:iCs/>
                <w:color w:val="FFFFFF"/>
                <w:sz w:val="22"/>
                <w:szCs w:val="22"/>
              </w:rPr>
              <w:t>1 963 636</w:t>
            </w:r>
          </w:p>
        </w:tc>
        <w:tc>
          <w:tcPr>
            <w:tcW w:w="1418" w:type="dxa"/>
            <w:gridSpan w:val="2"/>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0</w:t>
            </w:r>
          </w:p>
        </w:tc>
        <w:tc>
          <w:tcPr>
            <w:tcW w:w="1275" w:type="dxa"/>
            <w:tcBorders>
              <w:bottom w:val="single" w:sz="4" w:space="0" w:color="000000"/>
              <w:right w:val="single" w:sz="4" w:space="0" w:color="000000"/>
            </w:tcBorders>
            <w:shd w:fill="D63431"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0</w:t>
            </w:r>
          </w:p>
        </w:tc>
      </w:tr>
      <w:tr>
        <w:trPr>
          <w:trHeight w:val="300" w:hRule="atLeast"/>
        </w:trPr>
        <w:tc>
          <w:tcPr>
            <w:tcW w:w="2556" w:type="dxa"/>
            <w:tcBorders/>
            <w:vAlign w:val="bottom"/>
          </w:tcPr>
          <w:p>
            <w:pPr>
              <w:pStyle w:val="Normal"/>
              <w:snapToGrid w:val="false"/>
              <w:rPr>
                <w:rFonts w:ascii="Cambria" w:hAnsi="Cambria" w:cs="Calibri"/>
                <w:b/>
                <w:bCs/>
                <w:i/>
                <w:i/>
                <w:iCs/>
                <w:color w:val="000000"/>
                <w:sz w:val="22"/>
                <w:szCs w:val="22"/>
              </w:rPr>
            </w:pPr>
            <w:r>
              <w:rPr>
                <w:rFonts w:cs="Calibri" w:ascii="Cambria" w:hAnsi="Cambria"/>
                <w:b/>
                <w:bCs/>
                <w:i/>
                <w:iCs/>
                <w:color w:val="000000"/>
                <w:sz w:val="22"/>
                <w:szCs w:val="22"/>
              </w:rPr>
            </w:r>
          </w:p>
        </w:tc>
        <w:tc>
          <w:tcPr>
            <w:tcW w:w="1276" w:type="dxa"/>
            <w:tcBorders/>
            <w:vAlign w:val="bottom"/>
          </w:tcPr>
          <w:p>
            <w:pPr>
              <w:pStyle w:val="Normal"/>
              <w:snapToGrid w:val="false"/>
              <w:jc w:val="center"/>
              <w:rPr>
                <w:rFonts w:ascii="Cambria" w:hAnsi="Cambria" w:cs="Calibri"/>
                <w:b/>
                <w:bCs/>
                <w:i/>
                <w:i/>
                <w:iCs/>
                <w:color w:val="000000"/>
                <w:sz w:val="22"/>
                <w:szCs w:val="22"/>
              </w:rPr>
            </w:pPr>
            <w:r>
              <w:rPr>
                <w:rFonts w:cs="Calibri" w:ascii="Cambria" w:hAnsi="Cambria"/>
                <w:b/>
                <w:bCs/>
                <w:i/>
                <w:iCs/>
                <w:color w:val="000000"/>
                <w:sz w:val="22"/>
                <w:szCs w:val="22"/>
              </w:rPr>
            </w:r>
          </w:p>
        </w:tc>
        <w:tc>
          <w:tcPr>
            <w:tcW w:w="1134" w:type="dxa"/>
            <w:tcBorders/>
            <w:vAlign w:val="bottom"/>
          </w:tcPr>
          <w:p>
            <w:pPr>
              <w:pStyle w:val="Normal"/>
              <w:snapToGrid w:val="false"/>
              <w:jc w:val="center"/>
              <w:rPr>
                <w:color w:val="000000"/>
                <w:sz w:val="22"/>
                <w:szCs w:val="22"/>
              </w:rPr>
            </w:pPr>
            <w:r>
              <w:rPr>
                <w:color w:val="000000"/>
                <w:sz w:val="22"/>
                <w:szCs w:val="22"/>
              </w:rPr>
            </w:r>
          </w:p>
        </w:tc>
        <w:tc>
          <w:tcPr>
            <w:tcW w:w="1135" w:type="dxa"/>
            <w:tcBorders/>
            <w:vAlign w:val="bottom"/>
          </w:tcPr>
          <w:p>
            <w:pPr>
              <w:pStyle w:val="Normal"/>
              <w:snapToGrid w:val="false"/>
              <w:jc w:val="center"/>
              <w:rPr>
                <w:color w:val="000000"/>
                <w:sz w:val="22"/>
                <w:szCs w:val="22"/>
              </w:rPr>
            </w:pPr>
            <w:r>
              <w:rPr>
                <w:color w:val="000000"/>
                <w:sz w:val="22"/>
                <w:szCs w:val="22"/>
              </w:rPr>
            </w:r>
          </w:p>
        </w:tc>
        <w:tc>
          <w:tcPr>
            <w:tcW w:w="1275" w:type="dxa"/>
            <w:tcBorders/>
            <w:vAlign w:val="bottom"/>
          </w:tcPr>
          <w:p>
            <w:pPr>
              <w:pStyle w:val="Normal"/>
              <w:snapToGrid w:val="false"/>
              <w:jc w:val="center"/>
              <w:rPr>
                <w:color w:val="000000"/>
                <w:sz w:val="22"/>
                <w:szCs w:val="22"/>
              </w:rPr>
            </w:pPr>
            <w:r>
              <w:rPr>
                <w:color w:val="000000"/>
                <w:sz w:val="22"/>
                <w:szCs w:val="22"/>
              </w:rPr>
            </w:r>
          </w:p>
        </w:tc>
        <w:tc>
          <w:tcPr>
            <w:tcW w:w="1418" w:type="dxa"/>
            <w:gridSpan w:val="2"/>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c>
          <w:tcPr>
            <w:tcW w:w="1275" w:type="dxa"/>
            <w:tcBorders/>
            <w:vAlign w:val="bottom"/>
          </w:tcPr>
          <w:p>
            <w:pPr>
              <w:pStyle w:val="Normal"/>
              <w:snapToGrid w:val="false"/>
              <w:jc w:val="center"/>
              <w:rPr>
                <w:rFonts w:ascii="Calibri" w:hAnsi="Calibri" w:cs="Calibri"/>
                <w:color w:val="000000"/>
                <w:sz w:val="22"/>
                <w:szCs w:val="22"/>
              </w:rPr>
            </w:pPr>
            <w:r>
              <w:rPr>
                <w:rFonts w:cs="Calibri" w:ascii="Calibri" w:hAnsi="Calibri"/>
                <w:color w:val="000000"/>
                <w:sz w:val="22"/>
                <w:szCs w:val="22"/>
              </w:rPr>
            </w:r>
          </w:p>
        </w:tc>
      </w:tr>
      <w:tr>
        <w:trPr>
          <w:trHeight w:val="315" w:hRule="atLeast"/>
        </w:trPr>
        <w:tc>
          <w:tcPr>
            <w:tcW w:w="2556"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TRESORERIE DEGAGEE</w:t>
            </w:r>
          </w:p>
        </w:tc>
        <w:tc>
          <w:tcPr>
            <w:tcW w:w="1276"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0</w:t>
            </w:r>
          </w:p>
        </w:tc>
        <w:tc>
          <w:tcPr>
            <w:tcW w:w="1134"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3 108 782</w:t>
            </w:r>
          </w:p>
        </w:tc>
        <w:tc>
          <w:tcPr>
            <w:tcW w:w="1135"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2 656 561</w:t>
            </w:r>
          </w:p>
        </w:tc>
        <w:tc>
          <w:tcPr>
            <w:tcW w:w="1275" w:type="dxa"/>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2 766 297</w:t>
            </w:r>
          </w:p>
        </w:tc>
        <w:tc>
          <w:tcPr>
            <w:tcW w:w="1418" w:type="dxa"/>
            <w:gridSpan w:val="2"/>
            <w:tcBorders>
              <w:top w:val="single" w:sz="4" w:space="0" w:color="000000"/>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4 735 123</w:t>
            </w:r>
          </w:p>
        </w:tc>
        <w:tc>
          <w:tcPr>
            <w:tcW w:w="1275" w:type="dxa"/>
            <w:tcBorders>
              <w:top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i/>
                <w:color w:val="FFFFFF"/>
                <w:sz w:val="22"/>
              </w:rPr>
              <w:t>4 618 537</w:t>
            </w:r>
          </w:p>
        </w:tc>
      </w:tr>
      <w:tr>
        <w:trPr>
          <w:trHeight w:val="315" w:hRule="atLeast"/>
        </w:trPr>
        <w:tc>
          <w:tcPr>
            <w:tcW w:w="2556" w:type="dxa"/>
            <w:tcBorders>
              <w:left w:val="single" w:sz="4" w:space="0" w:color="000000"/>
              <w:bottom w:val="single" w:sz="4" w:space="0" w:color="000000"/>
              <w:right w:val="single" w:sz="4" w:space="0" w:color="000000"/>
            </w:tcBorders>
            <w:shd w:fill="7F1F1F" w:val="clear"/>
            <w:vAlign w:val="bottom"/>
          </w:tcPr>
          <w:p>
            <w:pPr>
              <w:pStyle w:val="Normal"/>
              <w:rPr>
                <w:b/>
                <w:bCs/>
                <w:i/>
                <w:i/>
                <w:iCs/>
                <w:color w:val="FFFFFF"/>
                <w:sz w:val="22"/>
                <w:szCs w:val="22"/>
              </w:rPr>
            </w:pPr>
            <w:r>
              <w:rPr>
                <w:b/>
                <w:bCs/>
                <w:i/>
                <w:iCs/>
                <w:color w:val="FFFFFF"/>
                <w:sz w:val="22"/>
                <w:szCs w:val="22"/>
              </w:rPr>
              <w:t>TRESORERIE CUMULEE</w:t>
            </w:r>
          </w:p>
        </w:tc>
        <w:tc>
          <w:tcPr>
            <w:tcW w:w="1276"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bCs/>
                <w:i/>
                <w:iCs/>
                <w:color w:val="FFFFFF"/>
                <w:sz w:val="22"/>
                <w:szCs w:val="22"/>
              </w:rPr>
              <w:t>0</w:t>
            </w:r>
          </w:p>
        </w:tc>
        <w:tc>
          <w:tcPr>
            <w:tcW w:w="1134"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3 108 782</w:t>
            </w:r>
          </w:p>
        </w:tc>
        <w:tc>
          <w:tcPr>
            <w:tcW w:w="113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5 765 343</w:t>
            </w:r>
          </w:p>
        </w:tc>
        <w:tc>
          <w:tcPr>
            <w:tcW w:w="127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8 531 640</w:t>
            </w:r>
          </w:p>
        </w:tc>
        <w:tc>
          <w:tcPr>
            <w:tcW w:w="1418" w:type="dxa"/>
            <w:gridSpan w:val="2"/>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13 266 763</w:t>
            </w:r>
          </w:p>
        </w:tc>
        <w:tc>
          <w:tcPr>
            <w:tcW w:w="1275" w:type="dxa"/>
            <w:tcBorders>
              <w:bottom w:val="single" w:sz="4" w:space="0" w:color="000000"/>
              <w:right w:val="single" w:sz="4" w:space="0" w:color="000000"/>
            </w:tcBorders>
            <w:shd w:fill="7F1F1F" w:val="clear"/>
            <w:vAlign w:val="bottom"/>
          </w:tcPr>
          <w:p>
            <w:pPr>
              <w:pStyle w:val="Normal"/>
              <w:jc w:val="right"/>
              <w:rPr>
                <w:b/>
                <w:bCs/>
                <w:i/>
                <w:i/>
                <w:iCs/>
                <w:color w:val="FFFFFF"/>
                <w:sz w:val="22"/>
                <w:szCs w:val="22"/>
              </w:rPr>
            </w:pPr>
            <w:r>
              <w:rPr>
                <w:b/>
                <w:i/>
                <w:color w:val="FFFFFF"/>
                <w:sz w:val="22"/>
              </w:rPr>
              <w:t>17 885 301</w:t>
            </w:r>
          </w:p>
        </w:tc>
      </w:tr>
    </w:tbl>
    <w:p>
      <w:pPr>
        <w:pStyle w:val="Normal"/>
        <w:jc w:val="center"/>
        <w:rPr/>
      </w:pPr>
      <w:r>
        <w:rPr/>
        <w:drawing>
          <wp:inline distT="0" distB="0" distL="0" distR="0">
            <wp:extent cx="5400040" cy="246824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4"/>
                    <a:stretch>
                      <a:fillRect/>
                    </a:stretch>
                  </pic:blipFill>
                  <pic:spPr bwMode="auto">
                    <a:xfrm>
                      <a:off x="0" y="0"/>
                      <a:ext cx="5400040" cy="2468245"/>
                    </a:xfrm>
                    <a:prstGeom prst="rect">
                      <a:avLst/>
                    </a:prstGeom>
                  </pic:spPr>
                </pic:pic>
              </a:graphicData>
            </a:graphic>
          </wp:inline>
        </w:drawing>
      </w:r>
    </w:p>
    <w:p>
      <w:pPr>
        <w:pStyle w:val="Normal"/>
        <w:jc w:val="center"/>
        <w:rPr/>
      </w:pPr>
      <w:r>
        <w:rPr>
          <w:i/>
          <w:sz w:val="18"/>
        </w:rPr>
        <w:t>Graphique 3 – Trésorerie cumulée sur 5 ans (millions de F CFA)</w:t>
      </w:r>
    </w:p>
    <w:p>
      <w:pPr>
        <w:pStyle w:val="Normal"/>
        <w:rPr>
          <w:lang w:val="fr-CI"/>
        </w:rPr>
      </w:pPr>
      <w:r>
        <w:rPr>
          <w:lang w:val="fr-CI"/>
        </w:rPr>
      </w:r>
    </w:p>
    <w:p>
      <w:pPr>
        <w:pStyle w:val="Heading2"/>
        <w:keepLines/>
        <w:numPr>
          <w:ilvl w:val="1"/>
          <w:numId w:val="4"/>
        </w:numPr>
        <w:spacing w:before="120" w:after="120"/>
        <w:ind w:hanging="491" w:left="851" w:right="0"/>
        <w:jc w:val="both"/>
        <w:rPr>
          <w:rFonts w:ascii="Times New Roman" w:hAnsi="Times New Roman" w:cs="Times New Roman"/>
          <w:i w:val="false"/>
          <w:i w:val="false"/>
          <w:iCs w:val="false"/>
          <w:lang w:val="fr-CI"/>
        </w:rPr>
      </w:pPr>
      <w:bookmarkStart w:id="26" w:name="__RefHeading___Toc234831725"/>
      <w:bookmarkEnd w:id="26"/>
      <w:r>
        <w:rPr>
          <w:rFonts w:cs="Times New Roman" w:ascii="Times New Roman" w:hAnsi="Times New Roman"/>
          <w:i w:val="false"/>
          <w:iCs w:val="false"/>
          <w:lang w:val="fr-CI"/>
        </w:rPr>
        <w:t>Bilan de départ</w:t>
      </w:r>
    </w:p>
    <w:tbl>
      <w:tblPr>
        <w:tblW w:w="16240" w:type="dxa"/>
        <w:jc w:val="left"/>
        <w:tblInd w:w="65" w:type="dxa"/>
        <w:tblLayout w:type="fixed"/>
        <w:tblCellMar>
          <w:top w:w="0" w:type="dxa"/>
          <w:left w:w="70" w:type="dxa"/>
          <w:bottom w:w="0" w:type="dxa"/>
          <w:right w:w="70" w:type="dxa"/>
        </w:tblCellMar>
      </w:tblPr>
      <w:tblGrid>
        <w:gridCol w:w="9860"/>
        <w:gridCol w:w="1559"/>
        <w:gridCol w:w="3403"/>
        <w:gridCol w:w="1417"/>
      </w:tblGrid>
      <w:tr>
        <w:trPr>
          <w:trHeight w:val="300" w:hRule="atLeast"/>
        </w:trPr>
        <w:tc>
          <w:tcPr>
            <w:tcW w:w="9860" w:type="dxa"/>
            <w:tcBorders/>
            <w:shd w:fill="FFFFFF" w:val="clear"/>
            <w:vAlign w:val="bottom"/>
          </w:tcPr>
          <w:tbl>
            <w:tblPr>
              <w:tblW w:w="9711" w:type="dxa"/>
              <w:jc w:val="left"/>
              <w:tblInd w:w="225" w:type="dxa"/>
              <w:tblLayout w:type="fixed"/>
              <w:tblCellMar>
                <w:top w:w="0" w:type="dxa"/>
                <w:left w:w="70" w:type="dxa"/>
                <w:bottom w:w="0" w:type="dxa"/>
                <w:right w:w="70" w:type="dxa"/>
              </w:tblCellMar>
            </w:tblPr>
            <w:tblGrid>
              <w:gridCol w:w="3540"/>
              <w:gridCol w:w="1560"/>
              <w:gridCol w:w="3260"/>
              <w:gridCol w:w="1350"/>
            </w:tblGrid>
            <w:tr>
              <w:trPr>
                <w:trHeight w:val="360" w:hRule="atLeast"/>
              </w:trPr>
              <w:tc>
                <w:tcPr>
                  <w:tcW w:w="9710" w:type="dxa"/>
                  <w:gridSpan w:val="4"/>
                  <w:tcBorders>
                    <w:top w:val="single" w:sz="4" w:space="0" w:color="000000"/>
                    <w:left w:val="single" w:sz="4" w:space="0" w:color="000000"/>
                    <w:bottom w:val="single" w:sz="4" w:space="0" w:color="000000"/>
                  </w:tcBorders>
                  <w:shd w:fill="7F1F1F" w:val="clear"/>
                  <w:vAlign w:val="bottom"/>
                </w:tcPr>
                <w:p>
                  <w:pPr>
                    <w:pStyle w:val="Normal"/>
                    <w:jc w:val="center"/>
                    <w:rPr>
                      <w:rFonts w:ascii="Cambria" w:hAnsi="Cambria" w:cs="Calibri"/>
                      <w:b/>
                      <w:bCs/>
                      <w:i/>
                      <w:i/>
                      <w:iCs/>
                      <w:color w:val="FFFFFF"/>
                      <w:sz w:val="28"/>
                      <w:szCs w:val="28"/>
                    </w:rPr>
                  </w:pPr>
                  <w:r>
                    <w:rPr>
                      <w:rFonts w:cs="Calibri" w:ascii="Cambria" w:hAnsi="Cambria"/>
                      <w:b/>
                      <w:bCs/>
                      <w:i/>
                      <w:iCs/>
                      <w:color w:val="FFFFFF"/>
                      <w:sz w:val="28"/>
                      <w:szCs w:val="28"/>
                    </w:rPr>
                    <w:t>BILAN DE DEMARRAGE TOUT TYPE PROJET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ACTIF</w:t>
                  </w:r>
                </w:p>
              </w:tc>
              <w:tc>
                <w:tcPr>
                  <w:tcW w:w="156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MONTANT</w:t>
                  </w:r>
                </w:p>
              </w:tc>
              <w:tc>
                <w:tcPr>
                  <w:tcW w:w="326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PASSIF</w:t>
                  </w:r>
                </w:p>
              </w:tc>
              <w:tc>
                <w:tcPr>
                  <w:tcW w:w="1350"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b/>
                      <w:bCs/>
                      <w:i/>
                      <w:i/>
                      <w:iCs/>
                      <w:color w:val="FFFFFF"/>
                      <w:sz w:val="22"/>
                      <w:szCs w:val="22"/>
                    </w:rPr>
                  </w:pPr>
                  <w:r>
                    <w:rPr>
                      <w:b/>
                      <w:bCs/>
                      <w:i/>
                      <w:iCs/>
                      <w:color w:val="FFFFFF"/>
                      <w:sz w:val="22"/>
                      <w:szCs w:val="22"/>
                    </w:rPr>
                    <w:t>MONTANT</w:t>
                  </w:r>
                </w:p>
              </w:tc>
            </w:tr>
            <w:tr>
              <w:trPr>
                <w:trHeight w:val="540"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ACTIF IMMOBILISE</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CAPITAUX PROPRES ET RESSOURCES ASSIMILEES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Immobilisations incorporelles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Capitaux Propres (a)+(b)</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600 000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Apport en Nature (a)</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Apport en Espèces (b)</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600 000</w:t>
                  </w:r>
                </w:p>
              </w:tc>
            </w:tr>
            <w:tr>
              <w:trPr>
                <w:trHeight w:val="349"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Frais de constitution</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50 000</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Résultat net de l'exercice (bénéfice + ou perte -)</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sz w:val="22"/>
                      <w:szCs w:val="22"/>
                    </w:rPr>
                  </w:pPr>
                  <w:r>
                    <w:rPr>
                      <w:b/>
                      <w:bCs/>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Autres capitaux propres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Immobilisations corporelles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Aménagement local de transformation</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1 200 000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CAPITAUX PROPRES (I)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600 000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Installation électrique et plomberie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300 000</w:t>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DETTES FINANCIERES ET RESSOURCES ASSIMILEES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Peinture et carrelage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200 000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Emprunts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5 400 000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Balance de précision</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50 000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Dettes de crédit-bail et contrats assimilés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Tables de travail inox</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150 000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Dettes financières diverses</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rPr>
                    <w:t>Étagères de stockage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rPr>
                    <w:t>100 000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DES DETTES FINANCIERES (II)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5 400 000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Éplucheuse électrique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400 000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jc w:val="center"/>
                    <w:rPr>
                      <w:b/>
                      <w:bCs/>
                      <w:sz w:val="22"/>
                      <w:szCs w:val="22"/>
                    </w:rPr>
                  </w:pPr>
                  <w:r>
                    <w:rPr>
                      <w:b/>
                      <w:bCs/>
                      <w:sz w:val="22"/>
                      <w:szCs w:val="22"/>
                    </w:rPr>
                    <w:t>TOTAL DES RESSOURCES STABLES ( I + 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6 000 000</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Trancheuse / râpe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300 000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Friteuse professionnelle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500 000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Séchoir solaire</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600 000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Broyeur, mixeur et petit matériel</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700 000</w:t>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snapToGrid w:val="false"/>
                    <w:jc w:val="center"/>
                    <w:rPr>
                      <w:b/>
                      <w:bCs/>
                      <w:sz w:val="22"/>
                      <w:szCs w:val="22"/>
                    </w:rPr>
                  </w:pPr>
                  <w:r>
                    <w:rPr>
                      <w:b/>
                      <w:bCs/>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ACTIF IMMOBILISE (I)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sz w:val="22"/>
                    </w:rPr>
                    <w:t>4 550 000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ACTIF CIRCULANT</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tcPr>
                <w:p>
                  <w:pPr>
                    <w:pStyle w:val="Normal"/>
                    <w:jc w:val="center"/>
                    <w:rPr>
                      <w:b/>
                      <w:bCs/>
                      <w:sz w:val="22"/>
                      <w:szCs w:val="22"/>
                    </w:rPr>
                  </w:pPr>
                  <w:r>
                    <w:rPr>
                      <w:b/>
                      <w:bCs/>
                      <w:sz w:val="22"/>
                      <w:szCs w:val="22"/>
                    </w:rPr>
                    <w:t>PASSIF CIRCULANT</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Stocks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b/>
                      <w:bCs/>
                      <w:color w:val="000000"/>
                      <w:sz w:val="22"/>
                      <w:szCs w:val="22"/>
                    </w:rPr>
                  </w:pPr>
                  <w:r>
                    <w:rPr>
                      <w:b/>
                      <w:bCs/>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Matières premières et autres approvisionnements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szCs w:val="22"/>
                    </w:rPr>
                    <w:t>925 000</w:t>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En-cours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Créances et emplois assimilés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PASSIF CIRCULANT (III)</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Clients</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b/>
                      <w:bCs/>
                      <w:sz w:val="22"/>
                      <w:szCs w:val="22"/>
                    </w:rPr>
                  </w:pPr>
                  <w:r>
                    <w:rPr>
                      <w:b/>
                      <w:bCs/>
                      <w:sz w:val="22"/>
                      <w:szCs w:val="22"/>
                    </w:rPr>
                    <w:t>TRESORERIE – PASSIF</w:t>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ACTIF CIRCULANT (II)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925 000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TRESORERIE PASSIF (IV)</w:t>
                  </w:r>
                </w:p>
              </w:tc>
              <w:tc>
                <w:tcPr>
                  <w:tcW w:w="135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bCs/>
                      <w:sz w:val="22"/>
                      <w:szCs w:val="22"/>
                    </w:rPr>
                    <w:t>-</w:t>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TRESORERIE - ACTIF</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sz w:val="22"/>
                      <w:szCs w:val="22"/>
                    </w:rPr>
                  </w:pPr>
                  <w:r>
                    <w:rPr>
                      <w:sz w:val="22"/>
                      <w:szCs w:val="22"/>
                    </w:rPr>
                    <w:t>Banques, caisse</w:t>
                  </w:r>
                </w:p>
              </w:tc>
              <w:tc>
                <w:tcPr>
                  <w:tcW w:w="1560" w:type="dxa"/>
                  <w:tcBorders>
                    <w:top w:val="single" w:sz="4" w:space="0" w:color="000000"/>
                    <w:left w:val="single" w:sz="4" w:space="0" w:color="000000"/>
                    <w:bottom w:val="single" w:sz="4" w:space="0" w:color="000000"/>
                    <w:right w:val="single" w:sz="4" w:space="0" w:color="000000"/>
                  </w:tcBorders>
                  <w:vAlign w:val="bottom"/>
                </w:tcPr>
                <w:p>
                  <w:pPr>
                    <w:pStyle w:val="Normal"/>
                    <w:jc w:val="center"/>
                    <w:rPr>
                      <w:color w:val="000000"/>
                      <w:sz w:val="22"/>
                      <w:szCs w:val="22"/>
                    </w:rPr>
                  </w:pPr>
                  <w:r>
                    <w:rPr>
                      <w:color w:val="000000"/>
                      <w:sz w:val="22"/>
                    </w:rPr>
                    <w:t>525 000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color w:val="000000"/>
                      <w:sz w:val="22"/>
                      <w:szCs w:val="22"/>
                    </w:rPr>
                  </w:pPr>
                  <w:r>
                    <w:rPr>
                      <w:color w:val="000000"/>
                      <w:sz w:val="22"/>
                      <w:szCs w:val="22"/>
                    </w:rPr>
                  </w:r>
                </w:p>
              </w:tc>
            </w:tr>
            <w:tr>
              <w:trPr>
                <w:trHeight w:val="315" w:hRule="atLeast"/>
              </w:trPr>
              <w:tc>
                <w:tcPr>
                  <w:tcW w:w="3540"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jc w:val="center"/>
                    <w:rPr>
                      <w:b/>
                      <w:bCs/>
                      <w:sz w:val="22"/>
                      <w:szCs w:val="22"/>
                    </w:rPr>
                  </w:pPr>
                  <w:r>
                    <w:rPr>
                      <w:b/>
                      <w:bCs/>
                      <w:sz w:val="22"/>
                      <w:szCs w:val="22"/>
                    </w:rPr>
                    <w:t>TOTAL TRESORERIE ACTIF (III)</w:t>
                  </w:r>
                </w:p>
              </w:tc>
              <w:tc>
                <w:tcPr>
                  <w:tcW w:w="1560" w:type="dxa"/>
                  <w:tcBorders>
                    <w:top w:val="single" w:sz="4" w:space="0" w:color="000000"/>
                    <w:left w:val="single" w:sz="4" w:space="0" w:color="000000"/>
                    <w:bottom w:val="single" w:sz="4" w:space="0" w:color="000000"/>
                    <w:right w:val="single" w:sz="4" w:space="0" w:color="000000"/>
                  </w:tcBorders>
                  <w:shd w:fill="C0C0C0" w:val="clear"/>
                  <w:vAlign w:val="bottom"/>
                </w:tcPr>
                <w:p>
                  <w:pPr>
                    <w:pStyle w:val="Normal"/>
                    <w:jc w:val="center"/>
                    <w:rPr>
                      <w:b/>
                      <w:bCs/>
                      <w:sz w:val="22"/>
                      <w:szCs w:val="22"/>
                    </w:rPr>
                  </w:pPr>
                  <w:r>
                    <w:rPr>
                      <w:b/>
                      <w:sz w:val="22"/>
                    </w:rPr>
                    <w:t>525 000</w:t>
                  </w:r>
                </w:p>
              </w:tc>
              <w:tc>
                <w:tcPr>
                  <w:tcW w:w="326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sz w:val="22"/>
                      <w:szCs w:val="22"/>
                    </w:rPr>
                  </w:pPr>
                  <w:r>
                    <w:rPr>
                      <w:b/>
                      <w:bCs/>
                      <w:sz w:val="22"/>
                      <w:szCs w:val="22"/>
                    </w:rPr>
                  </w:r>
                </w:p>
              </w:tc>
              <w:tc>
                <w:tcPr>
                  <w:tcW w:w="135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b/>
                      <w:bCs/>
                      <w:color w:val="000000"/>
                      <w:sz w:val="22"/>
                      <w:szCs w:val="22"/>
                    </w:rPr>
                  </w:pPr>
                  <w:r>
                    <w:rPr>
                      <w:b/>
                      <w:bCs/>
                      <w:color w:val="000000"/>
                      <w:sz w:val="22"/>
                      <w:szCs w:val="22"/>
                    </w:rPr>
                  </w:r>
                </w:p>
              </w:tc>
            </w:tr>
            <w:tr>
              <w:trPr>
                <w:trHeight w:val="420" w:hRule="atLeast"/>
              </w:trPr>
              <w:tc>
                <w:tcPr>
                  <w:tcW w:w="3540" w:type="dxa"/>
                  <w:tcBorders>
                    <w:top w:val="single" w:sz="4" w:space="0" w:color="000000"/>
                    <w:left w:val="single" w:sz="4" w:space="0" w:color="000000"/>
                    <w:bottom w:val="single" w:sz="4" w:space="0" w:color="000000"/>
                    <w:right w:val="single" w:sz="4" w:space="0" w:color="000000"/>
                  </w:tcBorders>
                  <w:shd w:fill="D63431" w:val="clear"/>
                  <w:vAlign w:val="center"/>
                </w:tcPr>
                <w:p>
                  <w:pPr>
                    <w:pStyle w:val="Normal"/>
                    <w:jc w:val="center"/>
                    <w:rPr>
                      <w:b/>
                      <w:bCs/>
                      <w:i/>
                      <w:i/>
                      <w:iCs/>
                      <w:color w:val="FFFFFF"/>
                      <w:sz w:val="22"/>
                      <w:szCs w:val="22"/>
                      <w:lang w:val="en-US"/>
                    </w:rPr>
                  </w:pPr>
                  <w:r>
                    <w:rPr>
                      <w:b/>
                      <w:bCs/>
                      <w:i/>
                      <w:iCs/>
                      <w:color w:val="FFFFFF"/>
                      <w:sz w:val="22"/>
                      <w:szCs w:val="22"/>
                      <w:lang w:val="en-US"/>
                    </w:rPr>
                    <w:t>TOTAL GENERAL ( I+II+III)</w:t>
                  </w:r>
                </w:p>
              </w:tc>
              <w:tc>
                <w:tcPr>
                  <w:tcW w:w="1560"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6 000 000</w:t>
                  </w:r>
                </w:p>
              </w:tc>
              <w:tc>
                <w:tcPr>
                  <w:tcW w:w="3260" w:type="dxa"/>
                  <w:tcBorders>
                    <w:top w:val="single" w:sz="4" w:space="0" w:color="000000"/>
                    <w:bottom w:val="single" w:sz="4" w:space="0" w:color="000000"/>
                    <w:right w:val="single" w:sz="4" w:space="0" w:color="000000"/>
                  </w:tcBorders>
                  <w:shd w:fill="D63431" w:val="clear"/>
                  <w:vAlign w:val="center"/>
                </w:tcPr>
                <w:p>
                  <w:pPr>
                    <w:pStyle w:val="Normal"/>
                    <w:jc w:val="center"/>
                    <w:rPr>
                      <w:b/>
                      <w:bCs/>
                      <w:i/>
                      <w:i/>
                      <w:iCs/>
                      <w:color w:val="FFFFFF"/>
                      <w:sz w:val="22"/>
                      <w:szCs w:val="22"/>
                      <w:lang w:val="en-US"/>
                    </w:rPr>
                  </w:pPr>
                  <w:r>
                    <w:rPr>
                      <w:b/>
                      <w:bCs/>
                      <w:i/>
                      <w:iCs/>
                      <w:color w:val="FFFFFF"/>
                      <w:sz w:val="22"/>
                      <w:szCs w:val="22"/>
                      <w:lang w:val="en-US"/>
                    </w:rPr>
                    <w:t>TOTAL GENERAL ( I+II+III+IV )</w:t>
                  </w:r>
                </w:p>
              </w:tc>
              <w:tc>
                <w:tcPr>
                  <w:tcW w:w="1350" w:type="dxa"/>
                  <w:tcBorders>
                    <w:top w:val="single" w:sz="4" w:space="0" w:color="000000"/>
                    <w:bottom w:val="single" w:sz="4" w:space="0" w:color="000000"/>
                    <w:right w:val="single" w:sz="4" w:space="0" w:color="000000"/>
                  </w:tcBorders>
                  <w:shd w:fill="7F1F1F" w:val="clear"/>
                  <w:vAlign w:val="center"/>
                </w:tcPr>
                <w:p>
                  <w:pPr>
                    <w:pStyle w:val="Normal"/>
                    <w:jc w:val="center"/>
                    <w:rPr>
                      <w:b/>
                      <w:bCs/>
                      <w:i/>
                      <w:i/>
                      <w:iCs/>
                      <w:color w:val="FFFFFF"/>
                      <w:sz w:val="22"/>
                      <w:szCs w:val="22"/>
                    </w:rPr>
                  </w:pPr>
                  <w:r>
                    <w:rPr>
                      <w:b/>
                      <w:bCs/>
                      <w:i/>
                      <w:iCs/>
                      <w:color w:val="FFFFFF"/>
                      <w:sz w:val="22"/>
                      <w:szCs w:val="22"/>
                    </w:rPr>
                    <w:t>6 000 000</w:t>
                  </w:r>
                </w:p>
              </w:tc>
            </w:tr>
            <w:tr>
              <w:trPr>
                <w:trHeight w:val="390" w:hRule="atLeast"/>
              </w:trPr>
              <w:tc>
                <w:tcPr>
                  <w:tcW w:w="3540" w:type="dxa"/>
                  <w:tcBorders/>
                  <w:shd w:fill="D9E2F3" w:val="clear"/>
                  <w:vAlign w:val="bottom"/>
                </w:tcPr>
                <w:p>
                  <w:pPr>
                    <w:pStyle w:val="Normal"/>
                    <w:snapToGrid w:val="false"/>
                    <w:jc w:val="center"/>
                    <w:rPr>
                      <w:b/>
                      <w:bCs/>
                      <w:i/>
                      <w:i/>
                      <w:iCs/>
                      <w:color w:val="000000"/>
                      <w:sz w:val="22"/>
                      <w:szCs w:val="22"/>
                    </w:rPr>
                  </w:pPr>
                  <w:r>
                    <w:rPr>
                      <w:b/>
                      <w:bCs/>
                      <w:i/>
                      <w:iCs/>
                      <w:color w:val="000000"/>
                      <w:sz w:val="22"/>
                      <w:szCs w:val="22"/>
                    </w:rPr>
                  </w:r>
                </w:p>
              </w:tc>
              <w:tc>
                <w:tcPr>
                  <w:tcW w:w="1560" w:type="dxa"/>
                  <w:tcBorders/>
                  <w:shd w:fill="D9E2F3" w:val="clear"/>
                  <w:vAlign w:val="bottom"/>
                </w:tcPr>
                <w:p>
                  <w:pPr>
                    <w:pStyle w:val="Normal"/>
                    <w:snapToGrid w:val="false"/>
                    <w:jc w:val="center"/>
                    <w:rPr>
                      <w:b/>
                      <w:bCs/>
                      <w:i/>
                      <w:i/>
                      <w:iCs/>
                      <w:color w:val="000000"/>
                      <w:sz w:val="22"/>
                      <w:szCs w:val="22"/>
                    </w:rPr>
                  </w:pPr>
                  <w:r>
                    <w:rPr>
                      <w:b/>
                      <w:bCs/>
                      <w:i/>
                      <w:iCs/>
                      <w:color w:val="000000"/>
                      <w:sz w:val="22"/>
                      <w:szCs w:val="22"/>
                    </w:rPr>
                  </w:r>
                </w:p>
              </w:tc>
              <w:tc>
                <w:tcPr>
                  <w:tcW w:w="3260" w:type="dxa"/>
                  <w:tcBorders/>
                  <w:shd w:fill="D9E2F3" w:val="clear"/>
                  <w:vAlign w:val="bottom"/>
                </w:tcPr>
                <w:p>
                  <w:pPr>
                    <w:pStyle w:val="Normal"/>
                    <w:snapToGrid w:val="false"/>
                    <w:jc w:val="center"/>
                    <w:rPr>
                      <w:color w:val="000000"/>
                      <w:sz w:val="22"/>
                      <w:szCs w:val="22"/>
                    </w:rPr>
                  </w:pPr>
                  <w:r>
                    <w:rPr>
                      <w:color w:val="000000"/>
                      <w:sz w:val="22"/>
                      <w:szCs w:val="22"/>
                    </w:rPr>
                  </w:r>
                </w:p>
              </w:tc>
              <w:tc>
                <w:tcPr>
                  <w:tcW w:w="1350" w:type="dxa"/>
                  <w:tcBorders/>
                  <w:shd w:fill="D9E2F3" w:val="clear"/>
                  <w:vAlign w:val="bottom"/>
                </w:tcPr>
                <w:p>
                  <w:pPr>
                    <w:pStyle w:val="Normal"/>
                    <w:snapToGrid w:val="false"/>
                    <w:jc w:val="center"/>
                    <w:rPr>
                      <w:color w:val="000000"/>
                      <w:sz w:val="22"/>
                      <w:szCs w:val="22"/>
                    </w:rPr>
                  </w:pPr>
                  <w:r>
                    <w:rPr>
                      <w:color w:val="000000"/>
                      <w:sz w:val="22"/>
                      <w:szCs w:val="22"/>
                    </w:rPr>
                  </w:r>
                </w:p>
              </w:tc>
            </w:tr>
          </w:tbl>
          <w:p>
            <w:pPr>
              <w:pStyle w:val="Normal"/>
              <w:rPr>
                <w:rFonts w:ascii="Cambria" w:hAnsi="Cambria" w:cs="Calibri"/>
                <w:color w:val="000000"/>
                <w:sz w:val="22"/>
                <w:szCs w:val="22"/>
              </w:rPr>
            </w:pPr>
            <w:r>
              <w:rPr/>
            </w:r>
          </w:p>
        </w:tc>
        <w:tc>
          <w:tcPr>
            <w:tcW w:w="1559" w:type="dxa"/>
            <w:tcBorders/>
            <w:shd w:fill="FFFFFF" w:val="clear"/>
            <w:vAlign w:val="bottom"/>
          </w:tcPr>
          <w:p>
            <w:pPr>
              <w:pStyle w:val="Normal"/>
              <w:rPr>
                <w:rFonts w:ascii="Cambria" w:hAnsi="Cambria" w:cs="Calibri"/>
                <w:color w:val="000000"/>
                <w:sz w:val="22"/>
                <w:szCs w:val="22"/>
              </w:rPr>
            </w:pPr>
            <w:r>
              <w:rPr/>
            </w:r>
          </w:p>
        </w:tc>
        <w:tc>
          <w:tcPr>
            <w:tcW w:w="3403" w:type="dxa"/>
            <w:tcBorders/>
            <w:shd w:fill="FFFFFF" w:val="clear"/>
            <w:vAlign w:val="bottom"/>
          </w:tcPr>
          <w:p>
            <w:pPr>
              <w:pStyle w:val="Normal"/>
              <w:rPr>
                <w:rFonts w:ascii="Cambria" w:hAnsi="Cambria" w:cs="Calibri"/>
                <w:color w:val="000000"/>
                <w:sz w:val="22"/>
                <w:szCs w:val="22"/>
              </w:rPr>
            </w:pPr>
            <w:r>
              <w:rPr/>
            </w:r>
          </w:p>
        </w:tc>
        <w:tc>
          <w:tcPr>
            <w:tcW w:w="1417" w:type="dxa"/>
            <w:tcBorders/>
            <w:shd w:fill="FFFFFF" w:val="clear"/>
            <w:vAlign w:val="bottom"/>
          </w:tcPr>
          <w:p>
            <w:pPr>
              <w:pStyle w:val="Normal"/>
              <w:rPr>
                <w:rFonts w:ascii="Cambria" w:hAnsi="Cambria" w:cs="Calibri"/>
                <w:color w:val="000000"/>
                <w:sz w:val="22"/>
                <w:szCs w:val="22"/>
              </w:rPr>
            </w:pPr>
            <w:r>
              <w:rPr/>
            </w:r>
          </w:p>
        </w:tc>
      </w:tr>
    </w:tbl>
    <w:p>
      <w:pPr>
        <w:pStyle w:val="Normal"/>
        <w:jc w:val="center"/>
        <w:rPr>
          <w:sz w:val="22"/>
          <w:szCs w:val="22"/>
          <w:lang w:val="fr-CI"/>
        </w:rPr>
      </w:pPr>
      <w:r>
        <w:rPr>
          <w:sz w:val="22"/>
          <w:szCs w:val="22"/>
          <w:lang w:val="fr-CI"/>
        </w:rPr>
      </w:r>
    </w:p>
    <w:p>
      <w:pPr>
        <w:pStyle w:val="Normal"/>
        <w:jc w:val="both"/>
        <w:rPr>
          <w:iCs/>
          <w:sz w:val="22"/>
          <w:szCs w:val="22"/>
        </w:rPr>
      </w:pPr>
      <w:r>
        <w:rPr>
          <w:iCs/>
          <w:sz w:val="22"/>
          <w:szCs w:val="22"/>
        </w:rPr>
        <w:t xml:space="preserve">Ce bilan de départ montre la situation de démarrage de l’entreprise ainsi que l’allocation des ressources provenant du financement du projet qui est de </w:t>
      </w:r>
      <w:r>
        <w:rPr>
          <w:b/>
          <w:bCs/>
          <w:iCs/>
          <w:sz w:val="22"/>
          <w:szCs w:val="22"/>
          <w:lang w:eastAsia="fr-CA"/>
        </w:rPr>
        <w:t>6 000 000</w:t>
      </w:r>
      <w:r>
        <w:rPr>
          <w:iCs/>
          <w:sz w:val="22"/>
          <w:szCs w:val="22"/>
        </w:rPr>
        <w:t xml:space="preserve"> FCFA.  </w:t>
      </w:r>
    </w:p>
    <w:p>
      <w:pPr>
        <w:pStyle w:val="Normal"/>
        <w:jc w:val="both"/>
        <w:rPr>
          <w:iCs/>
          <w:sz w:val="22"/>
          <w:szCs w:val="22"/>
        </w:rPr>
      </w:pPr>
      <w:r>
        <w:rPr>
          <w:iCs/>
          <w:sz w:val="22"/>
          <w:szCs w:val="22"/>
        </w:rPr>
      </w:r>
    </w:p>
    <w:p>
      <w:pPr>
        <w:pStyle w:val="Heading2"/>
        <w:keepLines/>
        <w:numPr>
          <w:ilvl w:val="1"/>
          <w:numId w:val="4"/>
        </w:numPr>
        <w:spacing w:before="0" w:after="120"/>
        <w:ind w:hanging="491" w:left="851" w:right="0"/>
        <w:jc w:val="both"/>
        <w:rPr>
          <w:rFonts w:ascii="Times New Roman" w:hAnsi="Times New Roman" w:cs="Times New Roman"/>
          <w:i w:val="false"/>
          <w:i w:val="false"/>
          <w:iCs w:val="false"/>
          <w:lang w:val="fr-CI"/>
        </w:rPr>
      </w:pPr>
      <w:bookmarkStart w:id="27" w:name="__RefHeading___Toc234831726"/>
      <w:bookmarkEnd w:id="27"/>
      <w:r>
        <w:rPr>
          <w:rFonts w:cs="Times New Roman" w:ascii="Times New Roman" w:hAnsi="Times New Roman"/>
          <w:i w:val="false"/>
          <w:iCs w:val="false"/>
          <w:lang w:val="fr-CI"/>
        </w:rPr>
        <w:t>Calcul de rentabilité</w:t>
      </w:r>
    </w:p>
    <w:tbl>
      <w:tblPr>
        <w:tblW w:w="9923" w:type="dxa"/>
        <w:jc w:val="left"/>
        <w:tblInd w:w="70" w:type="dxa"/>
        <w:tblLayout w:type="fixed"/>
        <w:tblCellMar>
          <w:top w:w="0" w:type="dxa"/>
          <w:left w:w="70" w:type="dxa"/>
          <w:bottom w:w="0" w:type="dxa"/>
          <w:right w:w="70" w:type="dxa"/>
        </w:tblCellMar>
      </w:tblPr>
      <w:tblGrid>
        <w:gridCol w:w="3544"/>
        <w:gridCol w:w="284"/>
        <w:gridCol w:w="2552"/>
        <w:gridCol w:w="142"/>
        <w:gridCol w:w="1559"/>
        <w:gridCol w:w="142"/>
        <w:gridCol w:w="1419"/>
        <w:gridCol w:w="280"/>
      </w:tblGrid>
      <w:tr>
        <w:trPr>
          <w:trHeight w:val="405" w:hRule="atLeast"/>
        </w:trPr>
        <w:tc>
          <w:tcPr>
            <w:tcW w:w="9642" w:type="dxa"/>
            <w:gridSpan w:val="7"/>
            <w:tcBorders>
              <w:top w:val="single" w:sz="4" w:space="0" w:color="000000"/>
              <w:left w:val="single" w:sz="4" w:space="0" w:color="000000"/>
              <w:bottom w:val="single" w:sz="4" w:space="0" w:color="000000"/>
              <w:right w:val="single" w:sz="4" w:space="0" w:color="000000"/>
            </w:tcBorders>
            <w:shd w:fill="166B7F" w:val="clear"/>
            <w:vAlign w:val="bottom"/>
          </w:tcPr>
          <w:p>
            <w:pPr>
              <w:pStyle w:val="Normal"/>
              <w:rPr>
                <w:rFonts w:ascii="Cambria" w:hAnsi="Cambria" w:cs="Calibri"/>
                <w:b/>
                <w:bCs/>
                <w:color w:val="FFFFFF"/>
                <w:sz w:val="32"/>
                <w:szCs w:val="32"/>
              </w:rPr>
            </w:pPr>
            <w:r>
              <w:rPr>
                <w:rFonts w:cs="Calibri" w:ascii="Cambria" w:hAnsi="Cambria"/>
                <w:b/>
                <w:bCs/>
                <w:color w:val="FFFFFF"/>
                <w:sz w:val="32"/>
                <w:szCs w:val="32"/>
              </w:rPr>
              <w:t>G. RATIOS D'ANALYSE ECONOMIQUE ET FINANCIERE (FCFA)</w:t>
            </w:r>
          </w:p>
        </w:tc>
        <w:tc>
          <w:tcPr>
            <w:tcW w:w="280" w:type="dxa"/>
            <w:tcBorders>
              <w:top w:val="single" w:sz="4" w:space="0" w:color="000000"/>
              <w:left w:val="single" w:sz="4" w:space="0" w:color="000000"/>
              <w:bottom w:val="single" w:sz="4" w:space="0" w:color="000000"/>
              <w:right w:val="single" w:sz="4" w:space="0" w:color="000000"/>
            </w:tcBorders>
            <w:shd w:fill="166B7F" w:val="clear"/>
            <w:vAlign w:val="bottom"/>
          </w:tcPr>
          <w:p>
            <w:pPr>
              <w:pStyle w:val="Normal"/>
              <w:rPr>
                <w:rFonts w:ascii="Cambria" w:hAnsi="Cambria" w:cs="Calibri"/>
                <w:b/>
                <w:bCs/>
                <w:color w:val="FFFFFF"/>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color w:val="000000"/>
                <w:sz w:val="22"/>
                <w:szCs w:val="22"/>
              </w:rPr>
            </w:pPr>
            <w:r>
              <w:rPr>
                <w:rFonts w:cs="Calibri" w:ascii="Cambira;Cambria;Cambria" w:hAnsi="Cambira;Cambria;Cambria"/>
                <w:b/>
                <w:bCs/>
                <w:color w:val="000000"/>
                <w:sz w:val="22"/>
                <w:szCs w:val="22"/>
              </w:rPr>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color w:val="000000"/>
                <w:sz w:val="22"/>
                <w:szCs w:val="22"/>
              </w:rPr>
            </w:pPr>
            <w:r>
              <w:rPr>
                <w:rFonts w:cs="Calibri" w:ascii="Cambira;Cambria;Cambria" w:hAnsi="Cambira;Cambria;Cambria"/>
                <w:b/>
                <w:bCs/>
                <w:color w:val="000000"/>
                <w:sz w:val="22"/>
                <w:szCs w:val="22"/>
              </w:rPr>
            </w:r>
          </w:p>
        </w:tc>
        <w:tc>
          <w:tcPr>
            <w:tcW w:w="3262" w:type="dxa"/>
            <w:gridSpan w:val="4"/>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280"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1. Le taux de valeur ajoutée</w:t>
            </w:r>
          </w:p>
        </w:tc>
        <w:tc>
          <w:tcPr>
            <w:tcW w:w="2836"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Désignations/Années</w:t>
            </w:r>
          </w:p>
        </w:tc>
        <w:tc>
          <w:tcPr>
            <w:tcW w:w="2836" w:type="dxa"/>
            <w:gridSpan w:val="2"/>
            <w:tcBorders>
              <w:top w:val="single" w:sz="4" w:space="0" w:color="000000"/>
              <w:left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AN1</w:t>
            </w:r>
          </w:p>
        </w:tc>
        <w:tc>
          <w:tcPr>
            <w:tcW w:w="1843" w:type="dxa"/>
            <w:gridSpan w:val="3"/>
            <w:tcBorders>
              <w:top w:val="single" w:sz="4" w:space="0" w:color="000000"/>
              <w:left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AN2</w:t>
            </w:r>
          </w:p>
        </w:tc>
        <w:tc>
          <w:tcPr>
            <w:tcW w:w="1699" w:type="dxa"/>
            <w:gridSpan w:val="2"/>
            <w:tcBorders>
              <w:top w:val="single" w:sz="4" w:space="0" w:color="000000"/>
              <w:left w:val="single" w:sz="4" w:space="0" w:color="000000"/>
              <w:bottom w:val="single" w:sz="4" w:space="0" w:color="000000"/>
              <w:right w:val="single" w:sz="4" w:space="0" w:color="000000"/>
            </w:tcBorders>
            <w:shd w:fill="7F1F1F"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AN3</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de personnel</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2 100 000</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2 205 000</w:t>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2 205 000</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Dotations aux amortissements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1 075 000</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1 025 000</w:t>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1 025 000</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financiers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459 491</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283 353</w:t>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99 556</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Résultats bruts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3 695 509</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3 793 647</w:t>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mbira;Cambria;Cambria" w:ascii="Cambira;Cambria;Cambria" w:hAnsi="Cambira;Cambria;Cambria"/>
                <w:color w:val="000000"/>
                <w:sz w:val="22"/>
              </w:rPr>
              <w:t>3 903 384</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 VA</w:t>
            </w:r>
          </w:p>
        </w:tc>
        <w:tc>
          <w:tcPr>
            <w:tcW w:w="2836"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7 330 000</w:t>
            </w:r>
          </w:p>
        </w:tc>
        <w:tc>
          <w:tcPr>
            <w:tcW w:w="1843" w:type="dxa"/>
            <w:gridSpan w:val="3"/>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7 307 000</w:t>
            </w:r>
          </w:p>
        </w:tc>
        <w:tc>
          <w:tcPr>
            <w:tcW w:w="1699"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7 232 940</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Chiffre d'affaires</w:t>
            </w:r>
          </w:p>
        </w:tc>
        <w:tc>
          <w:tcPr>
            <w:tcW w:w="2836"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11 750 000</w:t>
            </w:r>
          </w:p>
        </w:tc>
        <w:tc>
          <w:tcPr>
            <w:tcW w:w="1843" w:type="dxa"/>
            <w:gridSpan w:val="3"/>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11 985 000</w:t>
            </w:r>
          </w:p>
        </w:tc>
        <w:tc>
          <w:tcPr>
            <w:tcW w:w="1699"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12 224 700</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b/>
                <w:bCs/>
                <w:i/>
                <w:i/>
                <w:iCs/>
                <w:color w:val="000000"/>
                <w:sz w:val="22"/>
                <w:szCs w:val="22"/>
              </w:rPr>
            </w:pPr>
            <w:r>
              <w:rPr>
                <w:rFonts w:cs="Calibri" w:ascii="Cambira;Cambria;Cambria" w:hAnsi="Cambira;Cambria;Cambria"/>
                <w:b/>
                <w:bCs/>
                <w:i/>
                <w:iCs/>
                <w:color w:val="000000"/>
                <w:sz w:val="22"/>
                <w:szCs w:val="22"/>
              </w:rPr>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snapToGrid w:val="false"/>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top w:val="single" w:sz="4" w:space="0" w:color="000000"/>
              <w:left w:val="single" w:sz="4" w:space="0" w:color="000000"/>
              <w:bottom w:val="single" w:sz="4" w:space="0" w:color="000000"/>
              <w:right w:val="single" w:sz="4" w:space="0" w:color="000000"/>
            </w:tcBorders>
            <w:vAlign w:val="bottom"/>
          </w:tcPr>
          <w:p>
            <w:pPr>
              <w:pStyle w:val="Normal"/>
              <w:snapToGrid w:val="false"/>
              <w:rPr>
                <w:rFonts w:ascii="Cambira;Cambria;Cambria" w:hAnsi="Cambira;Cambria;Cambria" w:cs="Calibri"/>
                <w:color w:val="000000"/>
                <w:sz w:val="22"/>
                <w:szCs w:val="22"/>
              </w:rPr>
            </w:pPr>
            <w:r>
              <w:rPr>
                <w:rFonts w:cs="Calibri" w:ascii="Cambira;Cambria;Cambria" w:hAnsi="Cambira;Cambria;Cambria"/>
                <w:color w:val="000000"/>
                <w:sz w:val="22"/>
                <w:szCs w:val="22"/>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Taux de VA (%)</w:t>
            </w:r>
          </w:p>
        </w:tc>
        <w:tc>
          <w:tcPr>
            <w:tcW w:w="2836"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62%</w:t>
            </w:r>
          </w:p>
        </w:tc>
        <w:tc>
          <w:tcPr>
            <w:tcW w:w="1843" w:type="dxa"/>
            <w:gridSpan w:val="3"/>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61%</w:t>
            </w:r>
          </w:p>
        </w:tc>
        <w:tc>
          <w:tcPr>
            <w:tcW w:w="1699"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59%</w:t>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Taux moyen de la Valeur Ajoutée</w:t>
            </w:r>
          </w:p>
        </w:tc>
        <w:tc>
          <w:tcPr>
            <w:tcW w:w="2836"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mbria" w:ascii="Cambria" w:hAnsi="Cambria"/>
                <w:b/>
                <w:i/>
                <w:sz w:val="22"/>
              </w:rPr>
              <w:t>61%</w:t>
            </w:r>
          </w:p>
        </w:tc>
        <w:tc>
          <w:tcPr>
            <w:tcW w:w="1843" w:type="dxa"/>
            <w:gridSpan w:val="3"/>
            <w:tcBorders>
              <w:top w:val="single" w:sz="4" w:space="0" w:color="000000"/>
              <w:left w:val="single" w:sz="4" w:space="0" w:color="000000"/>
              <w:bottom w:val="single" w:sz="4" w:space="0" w:color="000000"/>
              <w:right w:val="single" w:sz="4" w:space="0" w:color="000000"/>
            </w:tcBorders>
            <w:shd w:fill="A9D18D" w:val="clear"/>
            <w:vAlign w:val="bottom"/>
          </w:tcPr>
          <w:p>
            <w:pPr>
              <w:pStyle w:val="Normal"/>
              <w:jc w:val="center"/>
              <w:rPr>
                <w:rFonts w:ascii="Cambria" w:hAnsi="Cambria" w:cs="Calibri"/>
                <w:b/>
                <w:bCs/>
                <w:i/>
                <w:i/>
                <w:iCs/>
                <w:sz w:val="22"/>
                <w:szCs w:val="22"/>
              </w:rPr>
            </w:pPr>
            <w:r>
              <w:rPr>
                <w:rFonts w:cs="Cambria" w:ascii="Cambria" w:hAnsi="Cambria"/>
                <w:b/>
                <w:i/>
                <w:sz w:val="22"/>
              </w:rPr>
              <w:t>61%</w:t>
            </w:r>
          </w:p>
        </w:tc>
        <w:tc>
          <w:tcPr>
            <w:tcW w:w="1699"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2. Le seuil de rentabilité</w:t>
            </w:r>
          </w:p>
        </w:tc>
        <w:tc>
          <w:tcPr>
            <w:tcW w:w="2836"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Désignation</w:t>
            </w:r>
          </w:p>
        </w:tc>
        <w:tc>
          <w:tcPr>
            <w:tcW w:w="2836" w:type="dxa"/>
            <w:gridSpan w:val="2"/>
            <w:tcBorders>
              <w:top w:val="single" w:sz="4" w:space="0" w:color="000000"/>
              <w:left w:val="single" w:sz="4" w:space="0" w:color="000000"/>
              <w:bottom w:val="single" w:sz="4" w:space="0" w:color="000000"/>
              <w:right w:val="single" w:sz="4" w:space="0" w:color="000000"/>
            </w:tcBorders>
            <w:shd w:fill="7F1F1F"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Charges fixes</w:t>
            </w:r>
          </w:p>
        </w:tc>
        <w:tc>
          <w:tcPr>
            <w:tcW w:w="1843" w:type="dxa"/>
            <w:gridSpan w:val="3"/>
            <w:tcBorders>
              <w:top w:val="single" w:sz="4" w:space="0" w:color="000000"/>
              <w:left w:val="single" w:sz="4" w:space="0" w:color="000000"/>
              <w:bottom w:val="single" w:sz="4" w:space="0" w:color="000000"/>
              <w:right w:val="single" w:sz="4" w:space="0" w:color="000000"/>
            </w:tcBorders>
            <w:shd w:fill="7F1F1F"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Charges variables</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Achats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4 235 760</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de Personnel</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2 205 000</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Impôts et taxes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198 450</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45"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Travaux-Fournitures et Services Extérieurs (TFSE)</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756 000</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Autres charges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0</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Frais financiers et services de la dette</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99 556</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Fonts w:cs="Calibri" w:ascii="Cambira;Cambria;Cambria" w:hAnsi="Cambira;Cambria;Cambria"/>
                <w:color w:val="000000"/>
                <w:sz w:val="22"/>
                <w:szCs w:val="22"/>
              </w:rPr>
              <w:t>Dotations aux amortissements</w:t>
            </w:r>
          </w:p>
        </w:tc>
        <w:tc>
          <w:tcPr>
            <w:tcW w:w="2836" w:type="dxa"/>
            <w:gridSpan w:val="2"/>
            <w:tcBorders>
              <w:top w:val="single" w:sz="4" w:space="0" w:color="000000"/>
              <w:left w:val="single" w:sz="4" w:space="0" w:color="000000"/>
              <w:bottom w:val="single" w:sz="4" w:space="0" w:color="000000"/>
              <w:right w:val="single" w:sz="4" w:space="0" w:color="000000"/>
            </w:tcBorders>
            <w:vAlign w:val="bottom"/>
          </w:tcPr>
          <w:p>
            <w:pPr>
              <w:pStyle w:val="Normal"/>
              <w:jc w:val="right"/>
              <w:rPr>
                <w:rFonts w:ascii="Cambira;Cambria;Cambria" w:hAnsi="Cambira;Cambria;Cambria" w:cs="Calibri"/>
                <w:color w:val="000000"/>
                <w:sz w:val="22"/>
                <w:szCs w:val="22"/>
              </w:rPr>
            </w:pPr>
            <w:r>
              <w:rPr>
                <w:rFonts w:cs="Calibri" w:ascii="Cambira;Cambria;Cambria" w:hAnsi="Cambira;Cambria;Cambria"/>
                <w:color w:val="000000"/>
                <w:sz w:val="22"/>
                <w:szCs w:val="22"/>
              </w:rPr>
              <w:t>1 025 000</w:t>
            </w:r>
          </w:p>
        </w:tc>
        <w:tc>
          <w:tcPr>
            <w:tcW w:w="1843" w:type="dxa"/>
            <w:gridSpan w:val="3"/>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F4C9C8" w:val="clear"/>
            <w:vAlign w:val="bottom"/>
          </w:tcPr>
          <w:p>
            <w:pPr>
              <w:pStyle w:val="Normal"/>
              <w:rPr>
                <w:rFonts w:ascii="Cambria" w:hAnsi="Cambria" w:cs="Calibri"/>
                <w:b/>
                <w:bCs/>
                <w:i/>
                <w:i/>
                <w:iCs/>
                <w:sz w:val="22"/>
                <w:szCs w:val="22"/>
              </w:rPr>
            </w:pPr>
            <w:r>
              <w:rPr>
                <w:rFonts w:cs="Calibri" w:ascii="Cambria" w:hAnsi="Cambria"/>
                <w:b/>
                <w:bCs/>
                <w:i/>
                <w:iCs/>
                <w:sz w:val="22"/>
                <w:szCs w:val="22"/>
              </w:rPr>
              <w:t>Total</w:t>
            </w:r>
          </w:p>
        </w:tc>
        <w:tc>
          <w:tcPr>
            <w:tcW w:w="2836" w:type="dxa"/>
            <w:gridSpan w:val="2"/>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right"/>
              <w:rPr>
                <w:rFonts w:ascii="Cambria" w:hAnsi="Cambria" w:cs="Calibri"/>
                <w:b/>
                <w:bCs/>
                <w:i/>
                <w:i/>
                <w:iCs/>
                <w:sz w:val="22"/>
                <w:szCs w:val="22"/>
              </w:rPr>
            </w:pPr>
            <w:r>
              <w:rPr>
                <w:rFonts w:cs="Calibri" w:ascii="Cambria" w:hAnsi="Cambria"/>
                <w:b/>
                <w:bCs/>
                <w:i/>
                <w:iCs/>
                <w:sz w:val="22"/>
                <w:szCs w:val="22"/>
              </w:rPr>
              <w:t>3 528 006</w:t>
            </w:r>
          </w:p>
        </w:tc>
        <w:tc>
          <w:tcPr>
            <w:tcW w:w="1843" w:type="dxa"/>
            <w:gridSpan w:val="3"/>
            <w:tcBorders>
              <w:top w:val="single" w:sz="4" w:space="0" w:color="000000"/>
              <w:left w:val="single" w:sz="4" w:space="0" w:color="000000"/>
              <w:bottom w:val="single" w:sz="4" w:space="0" w:color="000000"/>
              <w:right w:val="single" w:sz="4" w:space="0" w:color="000000"/>
            </w:tcBorders>
            <w:shd w:fill="F4C9C8" w:val="clear"/>
            <w:vAlign w:val="bottom"/>
          </w:tcPr>
          <w:p>
            <w:pPr>
              <w:pStyle w:val="Normal"/>
              <w:jc w:val="center"/>
              <w:rPr>
                <w:rFonts w:ascii="Cambria" w:hAnsi="Cambria" w:cs="Calibri"/>
                <w:b/>
                <w:bCs/>
                <w:i/>
                <w:i/>
                <w:iCs/>
                <w:sz w:val="22"/>
                <w:szCs w:val="22"/>
              </w:rPr>
            </w:pPr>
            <w:r>
              <w:rPr>
                <w:rFonts w:cs="Calibri" w:ascii="Cambria" w:hAnsi="Cambria"/>
                <w:b/>
                <w:bCs/>
                <w:i/>
                <w:iCs/>
                <w:sz w:val="22"/>
                <w:szCs w:val="22"/>
              </w:rPr>
              <w:t>4 991 760</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210"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6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2. Le Seuil de rentabilité (année 3)</w:t>
            </w:r>
          </w:p>
        </w:tc>
        <w:tc>
          <w:tcPr>
            <w:tcW w:w="2836" w:type="dxa"/>
            <w:gridSpan w:val="2"/>
            <w:tcBorders>
              <w:top w:val="single" w:sz="4" w:space="0" w:color="000000"/>
              <w:left w:val="single" w:sz="4" w:space="0" w:color="000000"/>
              <w:bottom w:val="single" w:sz="4" w:space="0" w:color="000000"/>
              <w:right w:val="single" w:sz="4" w:space="0" w:color="000000"/>
            </w:tcBorders>
            <w:shd w:fill="002060" w:val="clear"/>
            <w:vAlign w:val="center"/>
          </w:tcPr>
          <w:p>
            <w:pPr>
              <w:pStyle w:val="Normal"/>
              <w:jc w:val="center"/>
              <w:rPr>
                <w:rFonts w:ascii="Cambira;Cambria;Cambria" w:hAnsi="Cambira;Cambria;Cambria" w:cs="Calibri"/>
                <w:b/>
                <w:bCs/>
                <w:color w:val="FFFFFF"/>
                <w:sz w:val="22"/>
                <w:szCs w:val="22"/>
              </w:rPr>
            </w:pPr>
            <w:r>
              <w:rPr>
                <w:rFonts w:cs="Cambira;Cambria;Cambria" w:ascii="Cambira;Cambria;Cambria" w:hAnsi="Cambira;Cambria;Cambria"/>
                <w:b/>
                <w:color w:val="FFFFFF"/>
                <w:sz w:val="22"/>
              </w:rPr>
              <w:t>49%</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 DU CA</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6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 xml:space="preserve">    </w:t>
            </w:r>
            <w:r>
              <w:rPr>
                <w:rFonts w:cs="Calibri" w:ascii="Cambria" w:hAnsi="Cambria"/>
                <w:b/>
                <w:bCs/>
                <w:i/>
                <w:iCs/>
                <w:color w:val="FFFFFF"/>
                <w:sz w:val="22"/>
                <w:szCs w:val="22"/>
              </w:rPr>
              <w:t>Seuil de rentabilité (année 1)</w:t>
            </w:r>
          </w:p>
        </w:tc>
        <w:tc>
          <w:tcPr>
            <w:tcW w:w="2836" w:type="dxa"/>
            <w:gridSpan w:val="2"/>
            <w:tcBorders>
              <w:top w:val="single" w:sz="4" w:space="0" w:color="000000"/>
              <w:left w:val="single" w:sz="4" w:space="0" w:color="000000"/>
              <w:bottom w:val="single" w:sz="4" w:space="0" w:color="000000"/>
              <w:right w:val="single" w:sz="4" w:space="0" w:color="000000"/>
            </w:tcBorders>
            <w:shd w:fill="002060" w:val="clear"/>
            <w:vAlign w:val="center"/>
          </w:tcPr>
          <w:p>
            <w:pPr>
              <w:pStyle w:val="Normal"/>
              <w:jc w:val="center"/>
              <w:rPr>
                <w:rFonts w:ascii="Cambira;Cambria;Cambria" w:hAnsi="Cambira;Cambria;Cambria" w:cs="Calibri"/>
                <w:b/>
                <w:bCs/>
                <w:color w:val="FFFFFF"/>
                <w:sz w:val="22"/>
                <w:szCs w:val="22"/>
              </w:rPr>
            </w:pPr>
            <w:r>
              <w:rPr>
                <w:rFonts w:cs="Cambira;Cambria;Cambria" w:ascii="Cambira;Cambria;Cambria" w:hAnsi="Cambira;Cambria;Cambria"/>
                <w:b/>
                <w:color w:val="FFFFFF"/>
                <w:sz w:val="22"/>
              </w:rPr>
              <w:t>52%</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center"/>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 DU CA</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180"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3. Le taux de rentabilité interne (TRI)</w:t>
            </w:r>
          </w:p>
        </w:tc>
        <w:tc>
          <w:tcPr>
            <w:tcW w:w="2836"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Fonts w:cs="Cambria" w:ascii="Cambria" w:hAnsi="Cambria"/>
                <w:b/>
                <w:i/>
                <w:color w:val="FFFFFF"/>
                <w:sz w:val="22"/>
              </w:rPr>
              <w:t>72,0%</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210"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544" w:type="dxa"/>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4. La valeur actuelle nette (VAN)</w:t>
            </w:r>
          </w:p>
        </w:tc>
        <w:tc>
          <w:tcPr>
            <w:tcW w:w="2836"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ind w:firstLine="212" w:left="-212" w:right="0"/>
              <w:jc w:val="center"/>
              <w:rPr>
                <w:rFonts w:ascii="Cambria" w:hAnsi="Cambria" w:cs="Cambria"/>
                <w:b/>
                <w:i/>
                <w:i/>
                <w:color w:val="FFFFFF"/>
                <w:sz w:val="22"/>
              </w:rPr>
            </w:pPr>
            <w:r>
              <w:rPr>
                <w:rFonts w:cs="Cambria" w:ascii="Cambria" w:hAnsi="Cambria"/>
                <w:b/>
                <w:i/>
                <w:color w:val="FFFFFF"/>
                <w:sz w:val="22"/>
              </w:rPr>
              <w:t>12 581 742</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Fonts w:cs="Calibri" w:ascii="Cambria" w:hAnsi="Cambria"/>
                <w:b/>
                <w:bCs/>
                <w:i/>
                <w:iCs/>
                <w:color w:val="FFFFFF"/>
                <w:sz w:val="22"/>
                <w:szCs w:val="22"/>
              </w:rPr>
              <w:t>F.CFA</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135" w:hRule="atLeast"/>
        </w:trPr>
        <w:tc>
          <w:tcPr>
            <w:tcW w:w="3544"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836"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6380"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5.  Délais de récupération (sans actualisation, avec actualisation)</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sz w:val="22"/>
                <w:szCs w:val="22"/>
              </w:rPr>
            </w:pPr>
            <w:r>
              <w:rPr>
                <w:rFonts w:eastAsia="Cambira;Cambria;Cambria" w:cs="Cambira;Cambria;Cambria" w:ascii="Cambira;Cambria;Cambria" w:hAnsi="Cambira;Cambria;Cambria"/>
                <w:sz w:val="22"/>
                <w:szCs w:val="22"/>
              </w:rPr>
              <w:t xml:space="preserve">  </w:t>
            </w:r>
            <w:r>
              <w:rPr>
                <w:rFonts w:cs="Calibri" w:ascii="Cambira;Cambria;Cambria" w:hAnsi="Cambira;Cambria;Cambria"/>
                <w:sz w:val="22"/>
                <w:szCs w:val="22"/>
              </w:rPr>
              <w:t>Sans actualisation</w:t>
            </w:r>
          </w:p>
        </w:tc>
        <w:tc>
          <w:tcPr>
            <w:tcW w:w="2552" w:type="dxa"/>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3CB" w:val="clear"/>
            <w:vAlign w:val="bottom"/>
          </w:tcPr>
          <w:p>
            <w:pPr>
              <w:pStyle w:val="Normal"/>
              <w:rPr>
                <w:rFonts w:ascii="Calibri" w:hAnsi="Calibri" w:cs="Calibri"/>
                <w:color w:val="000000"/>
                <w:sz w:val="22"/>
                <w:szCs w:val="22"/>
              </w:rPr>
            </w:pPr>
            <w:r>
              <w:rPr>
                <w:rFonts w:cs="Calibri" w:ascii="Calibri" w:hAnsi="Calibri"/>
                <w:color w:val="000000"/>
                <w:sz w:val="22"/>
              </w:rPr>
              <w:t>1 an et 4 mois</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top w:val="single" w:sz="4" w:space="0" w:color="000000"/>
              <w:left w:val="single" w:sz="4" w:space="0" w:color="000000"/>
              <w:bottom w:val="single" w:sz="4" w:space="0" w:color="000000"/>
              <w:right w:val="single" w:sz="4" w:space="0" w:color="000000"/>
            </w:tcBorders>
            <w:vAlign w:val="bottom"/>
          </w:tcPr>
          <w:p>
            <w:pPr>
              <w:pStyle w:val="Normal"/>
              <w:rPr>
                <w:rFonts w:ascii="Cambira;Cambria;Cambria" w:hAnsi="Cambira;Cambria;Cambria" w:cs="Calibri"/>
                <w:sz w:val="22"/>
                <w:szCs w:val="22"/>
              </w:rPr>
            </w:pPr>
            <w:r>
              <w:rPr>
                <w:rFonts w:eastAsia="Cambira;Cambria;Cambria" w:cs="Cambira;Cambria;Cambria" w:ascii="Cambira;Cambria;Cambria" w:hAnsi="Cambira;Cambria;Cambria"/>
                <w:sz w:val="22"/>
                <w:szCs w:val="22"/>
              </w:rPr>
              <w:t xml:space="preserve">  </w:t>
            </w:r>
            <w:r>
              <w:rPr>
                <w:rFonts w:cs="Calibri" w:ascii="Cambira;Cambria;Cambria" w:hAnsi="Cambira;Cambria;Cambria"/>
                <w:sz w:val="22"/>
                <w:szCs w:val="22"/>
              </w:rPr>
              <w:t>Avec actualisation au taux de</w:t>
            </w:r>
          </w:p>
        </w:tc>
        <w:tc>
          <w:tcPr>
            <w:tcW w:w="2552" w:type="dxa"/>
            <w:tcBorders>
              <w:top w:val="single" w:sz="4" w:space="0" w:color="000000"/>
              <w:left w:val="single" w:sz="4" w:space="0" w:color="000000"/>
              <w:bottom w:val="single" w:sz="4" w:space="0" w:color="000000"/>
              <w:right w:val="single" w:sz="4" w:space="0" w:color="000000"/>
            </w:tcBorders>
            <w:vAlign w:val="bottom"/>
          </w:tcPr>
          <w:p>
            <w:pPr>
              <w:pStyle w:val="Normal"/>
              <w:jc w:val="center"/>
              <w:rPr>
                <w:rFonts w:ascii="Cambira;Cambria;Cambria" w:hAnsi="Cambira;Cambria;Cambria" w:cs="Calibri"/>
                <w:color w:val="000000"/>
                <w:sz w:val="22"/>
                <w:szCs w:val="22"/>
              </w:rPr>
            </w:pPr>
            <w:r>
              <w:rPr>
                <w:rFonts w:cs="Calibri" w:ascii="Cambira;Cambria;Cambria" w:hAnsi="Cambira;Cambria;Cambria"/>
                <w:color w:val="000000"/>
                <w:sz w:val="22"/>
                <w:szCs w:val="22"/>
              </w:rPr>
              <w:t>8%</w:t>
            </w:r>
          </w:p>
        </w:tc>
        <w:tc>
          <w:tcPr>
            <w:tcW w:w="1843" w:type="dxa"/>
            <w:gridSpan w:val="3"/>
            <w:tcBorders>
              <w:top w:val="single" w:sz="4" w:space="0" w:color="000000"/>
              <w:left w:val="single" w:sz="4" w:space="0" w:color="000000"/>
              <w:bottom w:val="single" w:sz="4" w:space="0" w:color="000000"/>
              <w:right w:val="single" w:sz="4" w:space="0" w:color="000000"/>
            </w:tcBorders>
            <w:shd w:fill="FFF3CB" w:val="clear"/>
            <w:vAlign w:val="bottom"/>
          </w:tcPr>
          <w:p>
            <w:pPr>
              <w:pStyle w:val="Normal"/>
              <w:rPr>
                <w:rFonts w:ascii="Calibri" w:hAnsi="Calibri" w:cs="Calibri"/>
                <w:color w:val="000000"/>
                <w:sz w:val="22"/>
                <w:szCs w:val="22"/>
              </w:rPr>
            </w:pPr>
            <w:r>
              <w:rPr>
                <w:rFonts w:cs="Calibri" w:ascii="Calibri" w:hAnsi="Calibri"/>
                <w:color w:val="000000"/>
                <w:sz w:val="22"/>
              </w:rPr>
              <w:t>1 an et 5 mois</w:t>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300" w:hRule="atLeast"/>
        </w:trPr>
        <w:tc>
          <w:tcPr>
            <w:tcW w:w="3828"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2552"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c>
          <w:tcPr>
            <w:tcW w:w="1843"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585" w:hRule="atLeast"/>
        </w:trPr>
        <w:tc>
          <w:tcPr>
            <w:tcW w:w="3828" w:type="dxa"/>
            <w:gridSpan w:val="2"/>
            <w:tcBorders>
              <w:top w:val="single" w:sz="4" w:space="0" w:color="000000"/>
              <w:left w:val="single" w:sz="4" w:space="0" w:color="000000"/>
              <w:bottom w:val="single" w:sz="4" w:space="0" w:color="000000"/>
              <w:right w:val="single" w:sz="4" w:space="0" w:color="000000"/>
            </w:tcBorders>
            <w:shd w:fill="21A6C9" w:val="clear"/>
            <w:vAlign w:val="bottom"/>
          </w:tcPr>
          <w:p>
            <w:pPr>
              <w:pStyle w:val="Normal"/>
              <w:rPr>
                <w:rFonts w:ascii="Cambria" w:hAnsi="Cambria" w:cs="Calibri"/>
                <w:b/>
                <w:bCs/>
                <w:i/>
                <w:i/>
                <w:iCs/>
                <w:color w:val="FFFFFF"/>
                <w:sz w:val="22"/>
                <w:szCs w:val="22"/>
              </w:rPr>
            </w:pPr>
            <w:r>
              <w:rPr>
                <w:rFonts w:cs="Calibri" w:ascii="Cambria" w:hAnsi="Cambria"/>
                <w:b/>
                <w:bCs/>
                <w:i/>
                <w:iCs/>
                <w:color w:val="FFFFFF"/>
                <w:sz w:val="22"/>
                <w:szCs w:val="22"/>
              </w:rPr>
              <w:t>6. Le taux de marge nette de la troisième année</w:t>
              <w:br/>
            </w:r>
            <w:r>
              <w:rPr>
                <w:rFonts w:cs="Calibri" w:ascii="Cambira;Cambria;Cambria" w:hAnsi="Cambira;Cambria;Cambria"/>
                <w:i/>
                <w:iCs/>
                <w:sz w:val="22"/>
                <w:szCs w:val="22"/>
              </w:rPr>
              <w:t>(résultat net/Chiffres d'affaires)</w:t>
            </w:r>
          </w:p>
        </w:tc>
        <w:tc>
          <w:tcPr>
            <w:tcW w:w="2552" w:type="dxa"/>
            <w:tcBorders>
              <w:top w:val="single" w:sz="4" w:space="0" w:color="000000"/>
              <w:left w:val="single" w:sz="4" w:space="0" w:color="000000"/>
              <w:bottom w:val="single" w:sz="4" w:space="0" w:color="000000"/>
              <w:right w:val="single" w:sz="4" w:space="0" w:color="000000"/>
            </w:tcBorders>
            <w:shd w:fill="21A6C9" w:val="clear"/>
            <w:vAlign w:val="center"/>
          </w:tcPr>
          <w:p>
            <w:pPr>
              <w:pStyle w:val="Normal"/>
              <w:jc w:val="center"/>
              <w:rPr>
                <w:rFonts w:ascii="Cambria" w:hAnsi="Cambria" w:cs="Calibri"/>
                <w:b/>
                <w:bCs/>
                <w:i/>
                <w:i/>
                <w:iCs/>
                <w:color w:val="FFFFFF"/>
                <w:sz w:val="22"/>
                <w:szCs w:val="22"/>
              </w:rPr>
            </w:pPr>
            <w:r>
              <w:rPr>
                <w:rFonts w:cs="Cambria" w:ascii="Cambria" w:hAnsi="Cambria"/>
                <w:b/>
                <w:i/>
                <w:color w:val="FFFFFF"/>
                <w:sz w:val="22"/>
              </w:rPr>
              <w:t>30%</w:t>
            </w:r>
          </w:p>
        </w:tc>
        <w:tc>
          <w:tcPr>
            <w:tcW w:w="1843" w:type="dxa"/>
            <w:gridSpan w:val="3"/>
            <w:tcBorders>
              <w:top w:val="single" w:sz="4" w:space="0" w:color="000000"/>
              <w:left w:val="single" w:sz="4" w:space="0" w:color="000000"/>
              <w:bottom w:val="single" w:sz="4" w:space="0" w:color="000000"/>
              <w:right w:val="single" w:sz="4" w:space="0" w:color="000000"/>
            </w:tcBorders>
            <w:shd w:fill="21A6C9" w:val="clear"/>
            <w:vAlign w:val="bottom"/>
          </w:tcPr>
          <w:p>
            <w:pPr>
              <w:pStyle w:val="Normal"/>
              <w:jc w:val="center"/>
              <w:rPr>
                <w:rFonts w:ascii="Cambria" w:hAnsi="Cambria" w:cs="Calibri"/>
                <w:b/>
                <w:bCs/>
                <w:i/>
                <w:i/>
                <w:iCs/>
                <w:color w:val="FFFFFF"/>
                <w:sz w:val="22"/>
                <w:szCs w:val="22"/>
              </w:rPr>
            </w:pPr>
            <w:r>
              <w:rPr/>
            </w:r>
          </w:p>
        </w:tc>
        <w:tc>
          <w:tcPr>
            <w:tcW w:w="1699" w:type="dxa"/>
            <w:gridSpan w:val="2"/>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r>
        <w:trPr>
          <w:trHeight w:val="90" w:hRule="atLeast"/>
        </w:trPr>
        <w:tc>
          <w:tcPr>
            <w:tcW w:w="3828"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rFonts w:ascii="Cambira;Cambria;Cambria" w:hAnsi="Cambira;Cambria;Cambria" w:cs="Calibri"/>
                <w:b/>
                <w:bCs/>
                <w:color w:val="000080"/>
                <w:sz w:val="22"/>
                <w:szCs w:val="22"/>
              </w:rPr>
            </w:pPr>
            <w:r>
              <w:rPr/>
            </w:r>
          </w:p>
        </w:tc>
        <w:tc>
          <w:tcPr>
            <w:tcW w:w="2694" w:type="dxa"/>
            <w:gridSpan w:val="2"/>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rFonts w:ascii="Cambira;Cambria;Cambria" w:hAnsi="Cambira;Cambria;Cambria" w:cs="Calibri"/>
                <w:b/>
                <w:bCs/>
                <w:color w:val="000080"/>
                <w:sz w:val="22"/>
                <w:szCs w:val="22"/>
              </w:rPr>
            </w:pPr>
            <w:r>
              <w:rPr/>
            </w:r>
          </w:p>
        </w:tc>
        <w:tc>
          <w:tcPr>
            <w:tcW w:w="1559" w:type="dxa"/>
            <w:tcBorders>
              <w:top w:val="single" w:sz="4" w:space="0" w:color="000000"/>
              <w:left w:val="single" w:sz="4" w:space="0" w:color="000000"/>
              <w:bottom w:val="single" w:sz="4" w:space="0" w:color="000000"/>
              <w:right w:val="single" w:sz="4" w:space="0" w:color="000000"/>
            </w:tcBorders>
            <w:shd w:fill="FFFFFF" w:val="clear"/>
            <w:vAlign w:val="bottom"/>
          </w:tcPr>
          <w:p>
            <w:pPr>
              <w:pStyle w:val="Normal"/>
              <w:jc w:val="center"/>
              <w:rPr>
                <w:rFonts w:ascii="Cambira;Cambria;Cambria" w:hAnsi="Cambira;Cambria;Cambria" w:cs="Calibri"/>
                <w:color w:val="000000"/>
                <w:sz w:val="22"/>
                <w:szCs w:val="22"/>
              </w:rPr>
            </w:pPr>
            <w:r>
              <w:rPr/>
            </w:r>
          </w:p>
        </w:tc>
        <w:tc>
          <w:tcPr>
            <w:tcW w:w="1841" w:type="dxa"/>
            <w:gridSpan w:val="3"/>
            <w:tcBorders>
              <w:top w:val="single" w:sz="4" w:space="0" w:color="000000"/>
              <w:left w:val="single" w:sz="4" w:space="0" w:color="000000"/>
              <w:bottom w:val="single" w:sz="4" w:space="0" w:color="000000"/>
              <w:right w:val="single" w:sz="4" w:space="0" w:color="000000"/>
            </w:tcBorders>
            <w:shd w:fill="FFFFFF" w:val="clear"/>
            <w:vAlign w:val="bottom"/>
          </w:tcPr>
          <w:p>
            <w:pPr>
              <w:pStyle w:val="Normal"/>
              <w:rPr>
                <w:rFonts w:ascii="Cambira;Cambria;Cambria" w:hAnsi="Cambira;Cambria;Cambria" w:cs="Calibri"/>
                <w:color w:val="000000"/>
                <w:sz w:val="22"/>
                <w:szCs w:val="22"/>
              </w:rPr>
            </w:pPr>
            <w:r>
              <w:rPr/>
            </w:r>
          </w:p>
        </w:tc>
      </w:tr>
    </w:tbl>
    <w:p>
      <w:pPr>
        <w:pStyle w:val="Normal"/>
        <w:rPr/>
      </w:pPr>
      <w:r>
        <w:rPr>
          <w:b/>
          <w:i w:val="false"/>
          <w:sz w:val="22"/>
        </w:rPr>
        <w:t>Analyse de sensibilité</w:t>
      </w:r>
    </w:p>
    <w:p>
      <w:pPr>
        <w:pStyle w:val="Normal"/>
        <w:rPr/>
      </w:pPr>
      <w:r>
        <w:rPr>
          <w:b w:val="false"/>
          <w:i w:val="false"/>
          <w:sz w:val="20"/>
        </w:rPr>
        <w:t>Les indicateurs ont été recalculés dans l’hypothèse d’une baisse de 20 % puis de 30 % des quantités vendues (rendement) ou des prix de vente, toutes les charges étant maintenues.</w:t>
      </w:r>
    </w:p>
    <w:tbl>
      <w:tblPr>
        <w:tblW w:w="9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8"/>
        <w:gridCol w:w="1928"/>
        <w:gridCol w:w="1928"/>
        <w:gridCol w:w="1928"/>
        <w:gridCol w:w="1928"/>
      </w:tblGrid>
      <w:tr>
        <w:trPr/>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Scénario</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Chiffre d’affaires an 1</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Résultat net an 1</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TRI</w:t>
            </w:r>
          </w:p>
        </w:tc>
        <w:tc>
          <w:tcPr>
            <w:tcW w:w="1928" w:type="dxa"/>
            <w:tcBorders>
              <w:top w:val="single" w:sz="4" w:space="0" w:color="808080"/>
              <w:left w:val="single" w:sz="4" w:space="0" w:color="808080"/>
              <w:bottom w:val="single" w:sz="4" w:space="0" w:color="808080"/>
              <w:right w:val="single" w:sz="4" w:space="0" w:color="808080"/>
            </w:tcBorders>
            <w:shd w:color="auto" w:fill="156082" w:val="clear"/>
          </w:tcPr>
          <w:p>
            <w:pPr>
              <w:pStyle w:val="Normal"/>
              <w:jc w:val="center"/>
              <w:rPr/>
            </w:pPr>
            <w:r>
              <w:rPr>
                <w:b/>
                <w:color w:val="FFFFFF"/>
                <w:sz w:val="18"/>
              </w:rPr>
              <w:t>Couverture du principal an 2 (CAF / principal)</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Scénario de base</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11 750 000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3 506 509</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72,0%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2,35</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Rendement ou prix −20 %</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9 400 000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1 156 509</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24,8%</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1,13</w:t>
            </w:r>
          </w:p>
        </w:tc>
      </w:tr>
      <w:tr>
        <w:trPr/>
        <w:tc>
          <w:tcPr>
            <w:tcW w:w="1928" w:type="dxa"/>
            <w:tcBorders>
              <w:top w:val="single" w:sz="4" w:space="0" w:color="808080"/>
              <w:left w:val="single" w:sz="4" w:space="0" w:color="808080"/>
              <w:bottom w:val="single" w:sz="4" w:space="0" w:color="808080"/>
              <w:right w:val="single" w:sz="4" w:space="0" w:color="808080"/>
            </w:tcBorders>
          </w:tcPr>
          <w:p>
            <w:pPr>
              <w:pStyle w:val="Normal"/>
              <w:jc w:val="left"/>
              <w:rPr/>
            </w:pPr>
            <w:r>
              <w:rPr>
                <w:b w:val="false"/>
                <w:sz w:val="18"/>
              </w:rPr>
              <w:t>Rendement ou prix −30 %</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8 225 000</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-18 491</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-6,4%</w:t>
            </w:r>
          </w:p>
        </w:tc>
        <w:tc>
          <w:tcPr>
            <w:tcW w:w="1928" w:type="dxa"/>
            <w:tcBorders>
              <w:top w:val="single" w:sz="4" w:space="0" w:color="808080"/>
              <w:left w:val="single" w:sz="4" w:space="0" w:color="808080"/>
              <w:bottom w:val="single" w:sz="4" w:space="0" w:color="808080"/>
              <w:right w:val="single" w:sz="4" w:space="0" w:color="808080"/>
            </w:tcBorders>
          </w:tcPr>
          <w:p>
            <w:pPr>
              <w:pStyle w:val="Normal"/>
              <w:jc w:val="center"/>
              <w:rPr/>
            </w:pPr>
            <w:r>
              <w:rPr>
                <w:b w:val="false"/>
                <w:sz w:val="18"/>
              </w:rPr>
              <w:t>0,52</w:t>
            </w:r>
          </w:p>
        </w:tc>
      </w:tr>
    </w:tbl>
    <w:p>
      <w:pPr>
        <w:pStyle w:val="Normal"/>
        <w:rPr/>
      </w:pPr>
      <w:r>
        <w:rPr>
          <w:b w:val="false"/>
          <w:i/>
          <w:sz w:val="18"/>
        </w:rPr>
        <w:t>Valeur actuelle nette du scénario de base : 12 581 742 F CFA à 8 % (taux du prêt), 11 638 923 F CFA à 10 % et 10 770 438 F CFA à 12 % (coût d’opportunité du capital). Le coefficient de couverture rapporte la capacité d’autofinancement de l’année 2 au principal remboursé la même année ; il doit rester supérieur à 1,2 pour que le remboursement soit assuré.</w:t>
      </w:r>
    </w:p>
    <w:p>
      <w:pPr>
        <w:pStyle w:val="Normal"/>
        <w:rPr/>
      </w:pPr>
      <w:r>
        <w:rPr/>
      </w:r>
    </w:p>
    <w:p>
      <w:pPr>
        <w:pStyle w:val="Heading1"/>
        <w:keepLines/>
        <w:numPr>
          <w:ilvl w:val="0"/>
          <w:numId w:val="4"/>
        </w:numPr>
        <w:spacing w:before="240" w:after="0"/>
        <w:ind w:hanging="431" w:left="431" w:right="0"/>
        <w:jc w:val="both"/>
        <w:rPr>
          <w:rFonts w:ascii="Times New Roman" w:hAnsi="Times New Roman" w:cs="Times New Roman"/>
          <w:caps/>
          <w:color w:val="166B7F"/>
          <w:kern w:val="0"/>
          <w:sz w:val="24"/>
          <w:szCs w:val="24"/>
          <w:lang w:eastAsia="en-US"/>
        </w:rPr>
      </w:pPr>
      <w:bookmarkStart w:id="28" w:name="__RefHeading___Toc234831727"/>
      <w:bookmarkEnd w:id="28"/>
      <w:r>
        <w:rPr>
          <w:rFonts w:cs="Times New Roman" w:ascii="Times New Roman" w:hAnsi="Times New Roman"/>
          <w:caps/>
          <w:color w:val="166B7F"/>
          <w:kern w:val="0"/>
          <w:sz w:val="24"/>
          <w:szCs w:val="24"/>
          <w:lang w:eastAsia="en-US"/>
        </w:rPr>
        <w:t>ANALYSE DES FORCES, FAIBLESSES, OPPORTUNITÉS ET MENACES</w:t>
      </w:r>
    </w:p>
    <w:p>
      <w:pPr>
        <w:pStyle w:val="Normal"/>
        <w:rPr>
          <w:sz w:val="22"/>
          <w:szCs w:val="22"/>
          <w:lang w:val="fr-CI"/>
        </w:rPr>
      </w:pPr>
      <w:r>
        <w:rPr>
          <w:sz w:val="22"/>
          <w:szCs w:val="22"/>
        </w:rPr>
        <w:t xml:space="preserve">L’analyse FFOM montre que l’entreprise </w:t>
      </w:r>
      <w:r>
        <w:rPr>
          <w:b/>
          <w:bCs/>
          <w:sz w:val="22"/>
          <w:szCs w:val="22"/>
        </w:rPr>
        <w:t>DIJA SAVEURS DE PATATE DOUCE</w:t>
      </w:r>
      <w:r>
        <w:rPr>
          <w:sz w:val="22"/>
          <w:szCs w:val="22"/>
        </w:rPr>
        <w:t xml:space="preserve"> dispose d’importantes forces qu’elle doit bien exploiter et mettre en valeur pour mieux se positionner face aux concurrents informels. L’expérience de la promotrice dans la transformation de la patate douce, la maîtrise des techniques de production (chips, poudre, crêpes, jus, bouillie infantile) et la bonne planification de la production constituent des atouts majeurs. Les opportunités doivent être bien analysées et saisies à temps, notamment la forte demande en produits transformés à base de patate douce à Bamako, l’appui de l’APEJ/OIT et la possibilité d’extension progressive de la gamme de produits et de la capacité de transformation. Les faiblesses identifiées (insuffisance de financement, équipement limité) doivent être atténuées à travers des actions efficaces de communication et de recherche de partenariats. Les menaces qui sont réelles (concurrence des produits importés, volatilité du prix de la patate douce, pannes d’équipements, normes sanitaires) sont des signaux à suivre et analyser afin de mieux anticiper leurs effets néfastes pour le projet.</w:t>
      </w:r>
    </w:p>
    <w:p>
      <w:pPr>
        <w:pStyle w:val="Normal"/>
        <w:rPr>
          <w:sz w:val="22"/>
          <w:szCs w:val="22"/>
          <w:lang w:val="fr-CI"/>
        </w:rPr>
      </w:pPr>
      <w:r>
        <w:rPr>
          <w:sz w:val="22"/>
          <w:szCs w:val="22"/>
          <w:lang w:val="fr-CI"/>
        </w:rPr>
      </w:r>
    </w:p>
    <w:tbl>
      <w:tblPr>
        <w:tblpPr w:vertAnchor="text" w:horzAnchor="margin" w:rightFromText="141" w:tblpX="5" w:tblpY="3"/>
        <w:tblW w:w="10101" w:type="dxa"/>
        <w:jc w:val="left"/>
        <w:tblInd w:w="108" w:type="dxa"/>
        <w:tblLayout w:type="fixed"/>
        <w:tblCellMar>
          <w:top w:w="0" w:type="dxa"/>
          <w:left w:w="108" w:type="dxa"/>
          <w:bottom w:w="0" w:type="dxa"/>
          <w:right w:w="108" w:type="dxa"/>
        </w:tblCellMar>
      </w:tblPr>
      <w:tblGrid>
        <w:gridCol w:w="6486"/>
        <w:gridCol w:w="3614"/>
      </w:tblGrid>
      <w:tr>
        <w:trPr/>
        <w:tc>
          <w:tcPr>
            <w:tcW w:w="6486"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FORCES</w:t>
            </w:r>
          </w:p>
        </w:tc>
        <w:tc>
          <w:tcPr>
            <w:tcW w:w="3614"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FAIBLESSE</w:t>
            </w:r>
          </w:p>
        </w:tc>
      </w:tr>
      <w:tr>
        <w:trPr>
          <w:trHeight w:val="2325" w:hRule="atLeast"/>
        </w:trPr>
        <w:tc>
          <w:tcPr>
            <w:tcW w:w="6486" w:type="dxa"/>
            <w:tcBorders>
              <w:top w:val="single" w:sz="4" w:space="0" w:color="000000"/>
              <w:left w:val="single" w:sz="4" w:space="0" w:color="000000"/>
              <w:bottom w:val="single" w:sz="4" w:space="0" w:color="000000"/>
              <w:right w:val="single" w:sz="4" w:space="0" w:color="000000"/>
            </w:tcBorders>
          </w:tcPr>
          <w:p>
            <w:pPr>
              <w:pStyle w:val="Normal"/>
              <w:numPr>
                <w:ilvl w:val="0"/>
                <w:numId w:val="17"/>
              </w:numPr>
              <w:tabs>
                <w:tab w:val="clear" w:pos="708"/>
                <w:tab w:val="left" w:pos="720" w:leader="none"/>
              </w:tabs>
              <w:rPr>
                <w:sz w:val="22"/>
                <w:szCs w:val="22"/>
              </w:rPr>
            </w:pPr>
            <w:r>
              <w:rPr>
                <w:sz w:val="22"/>
                <w:szCs w:val="22"/>
              </w:rPr>
              <w:t>Expérience de la promotrice dans la transformation de la patate douce ;</w:t>
            </w:r>
          </w:p>
          <w:p>
            <w:pPr>
              <w:pStyle w:val="Normal"/>
              <w:numPr>
                <w:ilvl w:val="0"/>
                <w:numId w:val="17"/>
              </w:numPr>
              <w:tabs>
                <w:tab w:val="clear" w:pos="708"/>
                <w:tab w:val="left" w:pos="720" w:leader="none"/>
              </w:tabs>
              <w:rPr>
                <w:sz w:val="22"/>
                <w:szCs w:val="22"/>
              </w:rPr>
            </w:pPr>
            <w:r>
              <w:rPr>
                <w:sz w:val="22"/>
                <w:szCs w:val="22"/>
              </w:rPr>
              <w:t>Maîtrise du processus de production (chips, poudre, crêpes, jus, bouillie infantile) ;</w:t>
            </w:r>
          </w:p>
          <w:p>
            <w:pPr>
              <w:pStyle w:val="Normal"/>
              <w:numPr>
                <w:ilvl w:val="0"/>
                <w:numId w:val="17"/>
              </w:numPr>
              <w:tabs>
                <w:tab w:val="clear" w:pos="708"/>
                <w:tab w:val="left" w:pos="720" w:leader="none"/>
              </w:tabs>
              <w:rPr>
                <w:sz w:val="22"/>
                <w:szCs w:val="22"/>
              </w:rPr>
            </w:pPr>
            <w:r>
              <w:rPr>
                <w:sz w:val="22"/>
                <w:szCs w:val="22"/>
              </w:rPr>
              <w:t>Bonne planification et anticipation de la production ;</w:t>
            </w:r>
          </w:p>
          <w:p>
            <w:pPr>
              <w:pStyle w:val="Normal"/>
              <w:numPr>
                <w:ilvl w:val="0"/>
                <w:numId w:val="17"/>
              </w:numPr>
              <w:tabs>
                <w:tab w:val="clear" w:pos="708"/>
                <w:tab w:val="left" w:pos="720" w:leader="none"/>
              </w:tabs>
              <w:rPr>
                <w:sz w:val="22"/>
                <w:szCs w:val="22"/>
              </w:rPr>
            </w:pPr>
            <w:r>
              <w:rPr>
                <w:sz w:val="22"/>
                <w:szCs w:val="22"/>
              </w:rPr>
              <w:t>Volonté de fidéliser la clientèle et de lui offrir un bon accueil ;</w:t>
            </w:r>
          </w:p>
          <w:p>
            <w:pPr>
              <w:pStyle w:val="Normal"/>
              <w:numPr>
                <w:ilvl w:val="0"/>
                <w:numId w:val="17"/>
              </w:numPr>
              <w:tabs>
                <w:tab w:val="clear" w:pos="708"/>
                <w:tab w:val="left" w:pos="720" w:leader="none"/>
              </w:tabs>
              <w:rPr>
                <w:sz w:val="22"/>
                <w:szCs w:val="22"/>
              </w:rPr>
            </w:pPr>
            <w:r>
              <w:rPr>
                <w:sz w:val="22"/>
                <w:szCs w:val="22"/>
              </w:rPr>
              <w:t>Bonne connaissance du marché des produits transformés à Bamako ;</w:t>
            </w:r>
          </w:p>
          <w:p>
            <w:pPr>
              <w:pStyle w:val="Normal"/>
              <w:numPr>
                <w:ilvl w:val="0"/>
                <w:numId w:val="17"/>
              </w:numPr>
              <w:tabs>
                <w:tab w:val="clear" w:pos="708"/>
                <w:tab w:val="left" w:pos="720" w:leader="none"/>
              </w:tabs>
              <w:rPr>
                <w:sz w:val="22"/>
                <w:szCs w:val="22"/>
              </w:rPr>
            </w:pPr>
            <w:r>
              <w:rPr>
                <w:sz w:val="22"/>
                <w:szCs w:val="22"/>
              </w:rPr>
              <w:t>Recrutement prévu de personnel qualifié et expérimenté ;</w:t>
            </w:r>
          </w:p>
          <w:p>
            <w:pPr>
              <w:pStyle w:val="Normal"/>
              <w:numPr>
                <w:ilvl w:val="0"/>
                <w:numId w:val="17"/>
              </w:numPr>
              <w:tabs>
                <w:tab w:val="clear" w:pos="708"/>
                <w:tab w:val="left" w:pos="720" w:leader="none"/>
              </w:tabs>
              <w:rPr>
                <w:sz w:val="22"/>
                <w:szCs w:val="22"/>
              </w:rPr>
            </w:pPr>
            <w:r>
              <w:rPr>
                <w:sz w:val="22"/>
                <w:szCs w:val="22"/>
              </w:rPr>
              <w:t>Utilisation de patate douce locale et d’additifs naturels, sans conservateurs chimiques ;</w:t>
            </w:r>
          </w:p>
          <w:p>
            <w:pPr>
              <w:pStyle w:val="Normal"/>
              <w:numPr>
                <w:ilvl w:val="0"/>
                <w:numId w:val="17"/>
              </w:numPr>
              <w:tabs>
                <w:tab w:val="clear" w:pos="708"/>
                <w:tab w:val="left" w:pos="720" w:leader="none"/>
              </w:tabs>
              <w:rPr>
                <w:sz w:val="22"/>
                <w:szCs w:val="22"/>
              </w:rPr>
            </w:pPr>
            <w:r>
              <w:rPr>
                <w:sz w:val="22"/>
                <w:szCs w:val="22"/>
              </w:rPr>
              <w:t>Marque porteuse de sens (Dija = bon/plaisir, Saveurs de patate douce).</w:t>
            </w:r>
          </w:p>
          <w:p>
            <w:pPr>
              <w:pStyle w:val="Normal"/>
              <w:rPr>
                <w:sz w:val="22"/>
                <w:szCs w:val="22"/>
              </w:rPr>
            </w:pPr>
            <w:r>
              <w:rPr>
                <w:sz w:val="22"/>
                <w:szCs w:val="22"/>
              </w:rPr>
            </w:r>
          </w:p>
        </w:tc>
        <w:tc>
          <w:tcPr>
            <w:tcW w:w="3614" w:type="dxa"/>
            <w:tcBorders>
              <w:top w:val="single" w:sz="4" w:space="0" w:color="000000"/>
              <w:left w:val="single" w:sz="4" w:space="0" w:color="000000"/>
              <w:bottom w:val="single" w:sz="4" w:space="0" w:color="000000"/>
              <w:right w:val="single" w:sz="4" w:space="0" w:color="000000"/>
            </w:tcBorders>
          </w:tcPr>
          <w:p>
            <w:pPr>
              <w:pStyle w:val="Normal"/>
              <w:numPr>
                <w:ilvl w:val="0"/>
                <w:numId w:val="17"/>
              </w:numPr>
              <w:tabs>
                <w:tab w:val="clear" w:pos="708"/>
                <w:tab w:val="left" w:pos="720" w:leader="none"/>
              </w:tabs>
              <w:rPr>
                <w:sz w:val="22"/>
                <w:szCs w:val="22"/>
              </w:rPr>
            </w:pPr>
            <w:r>
              <w:rPr>
                <w:sz w:val="22"/>
                <w:szCs w:val="22"/>
              </w:rPr>
              <w:t>Insuffisance de financement propre (apport limité à 10 %) ;</w:t>
            </w:r>
          </w:p>
          <w:p>
            <w:pPr>
              <w:pStyle w:val="Normal"/>
              <w:numPr>
                <w:ilvl w:val="0"/>
                <w:numId w:val="17"/>
              </w:numPr>
              <w:tabs>
                <w:tab w:val="clear" w:pos="708"/>
                <w:tab w:val="left" w:pos="720" w:leader="none"/>
              </w:tabs>
              <w:rPr>
                <w:sz w:val="22"/>
                <w:szCs w:val="22"/>
              </w:rPr>
            </w:pPr>
            <w:r>
              <w:rPr>
                <w:sz w:val="22"/>
                <w:szCs w:val="22"/>
              </w:rPr>
              <w:t>Capacité de transformation encore limitée au démarrage ;</w:t>
            </w:r>
          </w:p>
          <w:p>
            <w:pPr>
              <w:pStyle w:val="Normal"/>
              <w:numPr>
                <w:ilvl w:val="0"/>
                <w:numId w:val="17"/>
              </w:numPr>
              <w:tabs>
                <w:tab w:val="clear" w:pos="708"/>
                <w:tab w:val="left" w:pos="720" w:leader="none"/>
              </w:tabs>
              <w:rPr>
                <w:sz w:val="22"/>
                <w:szCs w:val="22"/>
              </w:rPr>
            </w:pPr>
            <w:r>
              <w:rPr>
                <w:sz w:val="22"/>
                <w:szCs w:val="22"/>
              </w:rPr>
              <w:t>Faible niveau d’équipement de l’unité de transformation ;</w:t>
            </w:r>
          </w:p>
          <w:p>
            <w:pPr>
              <w:pStyle w:val="Normal"/>
              <w:numPr>
                <w:ilvl w:val="0"/>
                <w:numId w:val="17"/>
              </w:numPr>
              <w:tabs>
                <w:tab w:val="clear" w:pos="708"/>
                <w:tab w:val="left" w:pos="720" w:leader="none"/>
              </w:tabs>
              <w:rPr>
                <w:sz w:val="22"/>
                <w:szCs w:val="22"/>
              </w:rPr>
            </w:pPr>
            <w:r>
              <w:rPr>
                <w:sz w:val="22"/>
                <w:szCs w:val="22"/>
              </w:rPr>
              <w:t>Qualité et disponibilité irrégulières de la patate douce ;</w:t>
            </w:r>
          </w:p>
          <w:p>
            <w:pPr>
              <w:pStyle w:val="Normal"/>
              <w:numPr>
                <w:ilvl w:val="0"/>
                <w:numId w:val="17"/>
              </w:numPr>
              <w:tabs>
                <w:tab w:val="clear" w:pos="708"/>
                <w:tab w:val="left" w:pos="720" w:leader="none"/>
              </w:tabs>
              <w:rPr>
                <w:sz w:val="22"/>
                <w:szCs w:val="22"/>
              </w:rPr>
            </w:pPr>
            <w:r>
              <w:rPr>
                <w:sz w:val="22"/>
                <w:szCs w:val="22"/>
              </w:rPr>
              <w:t>Dépendance aux équipements (friteuse, séchoir, broyeur) ;</w:t>
            </w:r>
          </w:p>
          <w:p>
            <w:pPr>
              <w:pStyle w:val="Normal"/>
              <w:numPr>
                <w:ilvl w:val="0"/>
                <w:numId w:val="17"/>
              </w:numPr>
              <w:tabs>
                <w:tab w:val="clear" w:pos="708"/>
                <w:tab w:val="left" w:pos="720" w:leader="none"/>
              </w:tabs>
              <w:rPr>
                <w:sz w:val="22"/>
                <w:szCs w:val="22"/>
              </w:rPr>
            </w:pPr>
            <w:r>
              <w:rPr>
                <w:sz w:val="22"/>
                <w:szCs w:val="22"/>
              </w:rPr>
              <w:t>Notoriété de la marque DIJA SAVEURS DE PATATE DOUCE encore à construire ;</w:t>
            </w:r>
          </w:p>
          <w:p>
            <w:pPr>
              <w:pStyle w:val="Normal"/>
              <w:numPr>
                <w:ilvl w:val="0"/>
                <w:numId w:val="17"/>
              </w:numPr>
              <w:tabs>
                <w:tab w:val="clear" w:pos="708"/>
                <w:tab w:val="left" w:pos="720" w:leader="none"/>
              </w:tabs>
              <w:rPr>
                <w:sz w:val="22"/>
                <w:szCs w:val="22"/>
              </w:rPr>
            </w:pPr>
            <w:r>
              <w:rPr>
                <w:sz w:val="22"/>
                <w:szCs w:val="22"/>
              </w:rPr>
              <w:t>Absence de certification formelle (hygiène, traçabilité).</w:t>
            </w:r>
          </w:p>
          <w:p>
            <w:pPr>
              <w:pStyle w:val="Normal"/>
              <w:ind w:left="567" w:right="0"/>
              <w:rPr>
                <w:sz w:val="22"/>
                <w:szCs w:val="22"/>
              </w:rPr>
            </w:pPr>
            <w:r>
              <w:rPr>
                <w:sz w:val="22"/>
                <w:szCs w:val="22"/>
              </w:rPr>
            </w:r>
          </w:p>
          <w:p>
            <w:pPr>
              <w:pStyle w:val="Normal"/>
              <w:rPr>
                <w:sz w:val="22"/>
                <w:szCs w:val="22"/>
              </w:rPr>
            </w:pPr>
            <w:r>
              <w:rPr>
                <w:sz w:val="22"/>
                <w:szCs w:val="22"/>
              </w:rPr>
            </w:r>
          </w:p>
        </w:tc>
      </w:tr>
      <w:tr>
        <w:trPr/>
        <w:tc>
          <w:tcPr>
            <w:tcW w:w="6486"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OPPORTUNITES</w:t>
            </w:r>
          </w:p>
        </w:tc>
        <w:tc>
          <w:tcPr>
            <w:tcW w:w="3614" w:type="dxa"/>
            <w:tcBorders>
              <w:top w:val="single" w:sz="4" w:space="0" w:color="000000"/>
              <w:left w:val="single" w:sz="4" w:space="0" w:color="000000"/>
              <w:bottom w:val="single" w:sz="4" w:space="0" w:color="000000"/>
              <w:right w:val="single" w:sz="4" w:space="0" w:color="000000"/>
            </w:tcBorders>
          </w:tcPr>
          <w:p>
            <w:pPr>
              <w:pStyle w:val="Normal"/>
              <w:jc w:val="center"/>
              <w:rPr>
                <w:b/>
                <w:sz w:val="22"/>
                <w:szCs w:val="22"/>
                <w:lang w:val="fr-CI"/>
              </w:rPr>
            </w:pPr>
            <w:r>
              <w:rPr>
                <w:b/>
                <w:sz w:val="22"/>
                <w:szCs w:val="22"/>
                <w:lang w:val="fr-CI"/>
              </w:rPr>
              <w:t>MENACES</w:t>
            </w:r>
          </w:p>
        </w:tc>
      </w:tr>
      <w:tr>
        <w:trPr/>
        <w:tc>
          <w:tcPr>
            <w:tcW w:w="6486" w:type="dxa"/>
            <w:tcBorders>
              <w:top w:val="single" w:sz="4" w:space="0" w:color="000000"/>
              <w:left w:val="single" w:sz="4" w:space="0" w:color="000000"/>
              <w:bottom w:val="single" w:sz="4" w:space="0" w:color="000000"/>
              <w:right w:val="single" w:sz="4" w:space="0" w:color="000000"/>
            </w:tcBorders>
          </w:tcPr>
          <w:p>
            <w:pPr>
              <w:pStyle w:val="Normal"/>
              <w:numPr>
                <w:ilvl w:val="0"/>
                <w:numId w:val="18"/>
              </w:numPr>
              <w:tabs>
                <w:tab w:val="clear" w:pos="708"/>
                <w:tab w:val="left" w:pos="720" w:leader="none"/>
              </w:tabs>
              <w:rPr>
                <w:sz w:val="22"/>
                <w:szCs w:val="22"/>
              </w:rPr>
            </w:pPr>
            <w:r>
              <w:rPr>
                <w:sz w:val="22"/>
                <w:szCs w:val="22"/>
              </w:rPr>
              <w:t>Forte demande en produits transformés à base de patate douce à Bamako et environs ;</w:t>
            </w:r>
          </w:p>
          <w:p>
            <w:pPr>
              <w:pStyle w:val="Normal"/>
              <w:numPr>
                <w:ilvl w:val="0"/>
                <w:numId w:val="18"/>
              </w:numPr>
              <w:tabs>
                <w:tab w:val="clear" w:pos="708"/>
                <w:tab w:val="left" w:pos="720" w:leader="none"/>
              </w:tabs>
              <w:rPr>
                <w:sz w:val="22"/>
                <w:szCs w:val="22"/>
              </w:rPr>
            </w:pPr>
            <w:r>
              <w:rPr>
                <w:sz w:val="22"/>
                <w:szCs w:val="22"/>
              </w:rPr>
              <w:t>Existence de marchés (supermarchés, pharmacies, écoles, ménages) ;</w:t>
            </w:r>
          </w:p>
          <w:p>
            <w:pPr>
              <w:pStyle w:val="Normal"/>
              <w:numPr>
                <w:ilvl w:val="0"/>
                <w:numId w:val="18"/>
              </w:numPr>
              <w:tabs>
                <w:tab w:val="clear" w:pos="708"/>
                <w:tab w:val="left" w:pos="720" w:leader="none"/>
              </w:tabs>
              <w:rPr>
                <w:sz w:val="22"/>
                <w:szCs w:val="22"/>
              </w:rPr>
            </w:pPr>
            <w:r>
              <w:rPr>
                <w:sz w:val="22"/>
                <w:szCs w:val="22"/>
              </w:rPr>
              <w:t>Appui APEJ/OIT ;</w:t>
            </w:r>
          </w:p>
          <w:p>
            <w:pPr>
              <w:pStyle w:val="Normal"/>
              <w:numPr>
                <w:ilvl w:val="0"/>
                <w:numId w:val="18"/>
              </w:numPr>
              <w:tabs>
                <w:tab w:val="clear" w:pos="708"/>
                <w:tab w:val="left" w:pos="720" w:leader="none"/>
              </w:tabs>
              <w:rPr>
                <w:sz w:val="22"/>
                <w:szCs w:val="22"/>
              </w:rPr>
            </w:pPr>
            <w:r>
              <w:rPr>
                <w:sz w:val="22"/>
                <w:szCs w:val="22"/>
              </w:rPr>
              <w:t>Politique de substitution aux importations de produits transformés ;</w:t>
            </w:r>
          </w:p>
          <w:p>
            <w:pPr>
              <w:pStyle w:val="Normal"/>
              <w:numPr>
                <w:ilvl w:val="0"/>
                <w:numId w:val="18"/>
              </w:numPr>
              <w:tabs>
                <w:tab w:val="clear" w:pos="708"/>
                <w:tab w:val="left" w:pos="720" w:leader="none"/>
              </w:tabs>
              <w:rPr>
                <w:sz w:val="22"/>
                <w:szCs w:val="22"/>
              </w:rPr>
            </w:pPr>
            <w:r>
              <w:rPr>
                <w:sz w:val="22"/>
                <w:szCs w:val="22"/>
              </w:rPr>
              <w:t>Possibilité d’extension progressive de la gamme et de la capacité de transformation ;</w:t>
            </w:r>
          </w:p>
          <w:p>
            <w:pPr>
              <w:pStyle w:val="Normal"/>
              <w:numPr>
                <w:ilvl w:val="0"/>
                <w:numId w:val="18"/>
              </w:numPr>
              <w:tabs>
                <w:tab w:val="clear" w:pos="708"/>
                <w:tab w:val="left" w:pos="720" w:leader="none"/>
              </w:tabs>
              <w:rPr>
                <w:sz w:val="22"/>
                <w:szCs w:val="22"/>
              </w:rPr>
            </w:pPr>
            <w:r>
              <w:rPr>
                <w:sz w:val="22"/>
                <w:szCs w:val="22"/>
              </w:rPr>
              <w:t>Développement futur de nouveaux produits dérivés (farines composées, snacks) ;</w:t>
            </w:r>
          </w:p>
          <w:p>
            <w:pPr>
              <w:pStyle w:val="Normal"/>
              <w:numPr>
                <w:ilvl w:val="0"/>
                <w:numId w:val="18"/>
              </w:numPr>
              <w:tabs>
                <w:tab w:val="clear" w:pos="708"/>
                <w:tab w:val="left" w:pos="720" w:leader="none"/>
              </w:tabs>
              <w:rPr>
                <w:sz w:val="22"/>
                <w:szCs w:val="22"/>
              </w:rPr>
            </w:pPr>
            <w:r>
              <w:rPr>
                <w:sz w:val="22"/>
                <w:szCs w:val="22"/>
              </w:rPr>
              <w:t>Valorisation des variétés locales de patate douce à chair orange, blanche et violette</w:t>
            </w:r>
          </w:p>
          <w:p>
            <w:pPr>
              <w:pStyle w:val="Normal"/>
              <w:ind w:left="720" w:right="0"/>
              <w:rPr>
                <w:sz w:val="22"/>
                <w:szCs w:val="22"/>
              </w:rPr>
            </w:pPr>
            <w:r>
              <w:rPr>
                <w:sz w:val="22"/>
                <w:szCs w:val="22"/>
              </w:rPr>
            </w:r>
          </w:p>
        </w:tc>
        <w:tc>
          <w:tcPr>
            <w:tcW w:w="3614" w:type="dxa"/>
            <w:tcBorders>
              <w:top w:val="single" w:sz="4" w:space="0" w:color="000000"/>
              <w:left w:val="single" w:sz="4" w:space="0" w:color="000000"/>
              <w:bottom w:val="single" w:sz="4" w:space="0" w:color="000000"/>
              <w:right w:val="single" w:sz="4" w:space="0" w:color="000000"/>
            </w:tcBorders>
          </w:tcPr>
          <w:p>
            <w:pPr>
              <w:pStyle w:val="Normal"/>
              <w:numPr>
                <w:ilvl w:val="0"/>
                <w:numId w:val="18"/>
              </w:numPr>
              <w:tabs>
                <w:tab w:val="clear" w:pos="708"/>
                <w:tab w:val="left" w:pos="720" w:leader="none"/>
              </w:tabs>
              <w:rPr>
                <w:sz w:val="22"/>
                <w:szCs w:val="22"/>
              </w:rPr>
            </w:pPr>
            <w:r>
              <w:rPr>
                <w:sz w:val="22"/>
                <w:szCs w:val="22"/>
              </w:rPr>
              <w:t>Concurrence des produits importés (chips, poudres infantiles) ;</w:t>
            </w:r>
          </w:p>
          <w:p>
            <w:pPr>
              <w:pStyle w:val="Normal"/>
              <w:numPr>
                <w:ilvl w:val="0"/>
                <w:numId w:val="18"/>
              </w:numPr>
              <w:tabs>
                <w:tab w:val="clear" w:pos="708"/>
                <w:tab w:val="left" w:pos="720" w:leader="none"/>
              </w:tabs>
              <w:rPr>
                <w:sz w:val="22"/>
                <w:szCs w:val="22"/>
              </w:rPr>
            </w:pPr>
            <w:r>
              <w:rPr>
                <w:sz w:val="22"/>
                <w:szCs w:val="22"/>
              </w:rPr>
              <w:t>Volatilité du prix et de la disponibilité de la patate douce ;</w:t>
            </w:r>
          </w:p>
          <w:p>
            <w:pPr>
              <w:pStyle w:val="Normal"/>
              <w:numPr>
                <w:ilvl w:val="0"/>
                <w:numId w:val="18"/>
              </w:numPr>
              <w:tabs>
                <w:tab w:val="clear" w:pos="708"/>
                <w:tab w:val="left" w:pos="720" w:leader="none"/>
              </w:tabs>
              <w:rPr>
                <w:sz w:val="22"/>
                <w:szCs w:val="22"/>
              </w:rPr>
            </w:pPr>
            <w:r>
              <w:rPr>
                <w:sz w:val="22"/>
                <w:szCs w:val="22"/>
              </w:rPr>
              <w:t>Pannes d’équipements (friteuse, séchoir, broyeur) ;</w:t>
            </w:r>
          </w:p>
          <w:p>
            <w:pPr>
              <w:pStyle w:val="Normal"/>
              <w:numPr>
                <w:ilvl w:val="0"/>
                <w:numId w:val="18"/>
              </w:numPr>
              <w:tabs>
                <w:tab w:val="clear" w:pos="708"/>
                <w:tab w:val="left" w:pos="720" w:leader="none"/>
              </w:tabs>
              <w:rPr>
                <w:sz w:val="22"/>
                <w:szCs w:val="22"/>
              </w:rPr>
            </w:pPr>
            <w:r>
              <w:rPr>
                <w:sz w:val="22"/>
                <w:szCs w:val="22"/>
              </w:rPr>
              <w:t>Normes sanitaires et exigences de qualité ;</w:t>
            </w:r>
          </w:p>
          <w:p>
            <w:pPr>
              <w:pStyle w:val="Normal"/>
              <w:numPr>
                <w:ilvl w:val="0"/>
                <w:numId w:val="18"/>
              </w:numPr>
              <w:tabs>
                <w:tab w:val="clear" w:pos="708"/>
                <w:tab w:val="left" w:pos="720" w:leader="none"/>
              </w:tabs>
              <w:rPr>
                <w:sz w:val="22"/>
                <w:szCs w:val="22"/>
              </w:rPr>
            </w:pPr>
            <w:r>
              <w:rPr>
                <w:sz w:val="22"/>
                <w:szCs w:val="22"/>
              </w:rPr>
              <w:t>Aléas climatiques affectant la production de patate douce ;</w:t>
            </w:r>
          </w:p>
          <w:p>
            <w:pPr>
              <w:pStyle w:val="Normal"/>
              <w:numPr>
                <w:ilvl w:val="0"/>
                <w:numId w:val="18"/>
              </w:numPr>
              <w:tabs>
                <w:tab w:val="clear" w:pos="708"/>
                <w:tab w:val="left" w:pos="720" w:leader="none"/>
              </w:tabs>
              <w:rPr>
                <w:sz w:val="22"/>
                <w:szCs w:val="22"/>
              </w:rPr>
            </w:pPr>
            <w:r>
              <w:rPr>
                <w:sz w:val="22"/>
                <w:szCs w:val="22"/>
              </w:rPr>
              <w:t>Cherté des emballages et des équipements ;</w:t>
            </w:r>
          </w:p>
          <w:p>
            <w:pPr>
              <w:pStyle w:val="Normal"/>
              <w:numPr>
                <w:ilvl w:val="0"/>
                <w:numId w:val="18"/>
              </w:numPr>
              <w:tabs>
                <w:tab w:val="clear" w:pos="708"/>
                <w:tab w:val="left" w:pos="720" w:leader="none"/>
              </w:tabs>
              <w:rPr>
                <w:sz w:val="22"/>
                <w:szCs w:val="22"/>
              </w:rPr>
            </w:pPr>
            <w:r>
              <w:rPr>
                <w:sz w:val="22"/>
                <w:szCs w:val="22"/>
              </w:rPr>
              <w:t>Risque de mévente si la qualité ou la conservation n’est pas conforme ;</w:t>
            </w:r>
          </w:p>
          <w:p>
            <w:pPr>
              <w:pStyle w:val="Normal"/>
              <w:numPr>
                <w:ilvl w:val="0"/>
                <w:numId w:val="18"/>
              </w:numPr>
              <w:tabs>
                <w:tab w:val="clear" w:pos="708"/>
                <w:tab w:val="left" w:pos="720" w:leader="none"/>
              </w:tabs>
              <w:rPr>
                <w:sz w:val="22"/>
                <w:szCs w:val="22"/>
              </w:rPr>
            </w:pPr>
            <w:r>
              <w:rPr>
                <w:sz w:val="22"/>
                <w:szCs w:val="22"/>
              </w:rPr>
              <w:t>Risque de remboursement du crédit en cas d’aléa</w:t>
            </w:r>
          </w:p>
          <w:p>
            <w:pPr>
              <w:pStyle w:val="Normal"/>
              <w:ind w:left="720" w:right="0"/>
              <w:rPr>
                <w:sz w:val="22"/>
                <w:szCs w:val="22"/>
              </w:rPr>
            </w:pPr>
            <w:r>
              <w:rPr>
                <w:sz w:val="22"/>
                <w:szCs w:val="22"/>
              </w:rPr>
            </w:r>
          </w:p>
          <w:p>
            <w:pPr>
              <w:pStyle w:val="Normal"/>
              <w:rPr>
                <w:b/>
                <w:sz w:val="22"/>
                <w:szCs w:val="22"/>
              </w:rPr>
            </w:pPr>
            <w:r>
              <w:rPr>
                <w:b/>
                <w:sz w:val="22"/>
                <w:szCs w:val="22"/>
              </w:rPr>
            </w:r>
          </w:p>
        </w:tc>
      </w:tr>
    </w:tbl>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rPr>
          <w:sz w:val="22"/>
          <w:szCs w:val="22"/>
          <w:lang w:val="fr-CI"/>
        </w:rPr>
      </w:pPr>
      <w:r>
        <w:rPr>
          <w:sz w:val="22"/>
          <w:szCs w:val="22"/>
          <w:lang w:val="fr-CI"/>
        </w:rPr>
      </w:r>
    </w:p>
    <w:p>
      <w:pPr>
        <w:pStyle w:val="Normal"/>
        <w:jc w:val="center"/>
        <w:rPr>
          <w:sz w:val="22"/>
          <w:szCs w:val="22"/>
          <w:lang w:val="fr-CI" w:eastAsia="en-US"/>
        </w:rPr>
      </w:pPr>
      <w:r>
        <w:rPr>
          <w:sz w:val="22"/>
          <w:szCs w:val="22"/>
          <w:lang w:val="fr-CI" w:eastAsia="en-US"/>
        </w:rPr>
      </w:r>
    </w:p>
    <w:p>
      <w:pPr>
        <w:pStyle w:val="Heading1"/>
        <w:keepLines/>
        <w:numPr>
          <w:ilvl w:val="0"/>
          <w:numId w:val="4"/>
        </w:numPr>
        <w:spacing w:before="0" w:after="0"/>
        <w:ind w:hanging="431" w:left="431" w:right="0"/>
        <w:jc w:val="both"/>
        <w:rPr>
          <w:rFonts w:ascii="Times New Roman" w:hAnsi="Times New Roman" w:cs="Times New Roman"/>
          <w:caps/>
          <w:color w:val="166B7F"/>
          <w:kern w:val="0"/>
          <w:lang w:eastAsia="en-US"/>
        </w:rPr>
      </w:pPr>
      <w:bookmarkStart w:id="29" w:name="__RefHeading___Toc234831728"/>
      <w:bookmarkEnd w:id="29"/>
      <w:r>
        <w:rPr>
          <w:rFonts w:cs="Times New Roman" w:ascii="Times New Roman" w:hAnsi="Times New Roman"/>
          <w:caps/>
          <w:color w:val="166B7F"/>
          <w:kern w:val="0"/>
          <w:lang w:eastAsia="en-US"/>
        </w:rPr>
        <w:t>CONCLUSION</w:t>
      </w:r>
    </w:p>
    <w:p>
      <w:pPr>
        <w:pStyle w:val="Normal"/>
        <w:jc w:val="both"/>
        <w:rPr/>
      </w:pPr>
      <w:r>
        <w:rPr>
          <w:sz w:val="22"/>
          <w:szCs w:val="22"/>
        </w:rPr>
        <w:t xml:space="preserve">En examinant les ratios de rentabilité économique et financière, le présent projet apparaît rentable, sous réserve de l’obtention des autorisations sanitaires, de la correction des charges sous-évaluées et d’une montée en charge progressive et contribue à la création de cinq (5) emplois, dont deux (2) permanents et trois (3) saisonniers. Le taux de rentabilité interne, la valeur actuelle nette ainsi que le délai de récupération des capitaux investis corroborent la rentabilité du projet de création de l’entreprise </w:t>
      </w:r>
      <w:r>
        <w:rPr>
          <w:b/>
          <w:bCs/>
          <w:sz w:val="22"/>
          <w:szCs w:val="22"/>
        </w:rPr>
        <w:t>DIJA SAVEURS DE PATATE DOUCE</w:t>
      </w:r>
      <w:r>
        <w:rPr>
          <w:sz w:val="22"/>
          <w:szCs w:val="22"/>
        </w:rPr>
        <w:t xml:space="preserve"> dans la transformation et la commercialisation de produits à base de patate douce (chips, poudre, crêpes, jus et bouillie infantile). L’existence des structures d’accompagnement, notamment l’APEJ et l’OIT, permettra à la promotrice d’investir dans son unité de transformation et de rembourser les prêts contractés. Le seuil de rentabilité représente 49 % du chiffre d’affaires en année 3 (52 % en année 1). La mise en œuvre est conditionnée à la production de l’acte de mise à disposition du terrain, des factures pro forma des équipements et d’un échéancier de remboursement adapté au cycle de production.</w:t>
      </w:r>
    </w:p>
    <w:p>
      <w:pPr>
        <w:pStyle w:val="Normal"/>
        <w:rPr/>
      </w:pPr>
      <w:r>
        <w:rPr/>
      </w:r>
    </w:p>
    <w:p>
      <w:pPr>
        <w:pStyle w:val="Normal"/>
        <w:rPr/>
      </w:pPr>
      <w:r>
        <w:rPr>
          <w:b/>
          <w:sz w:val="22"/>
        </w:rPr>
        <w:t>Pièces à joindre au dossier</w:t>
      </w:r>
    </w:p>
    <w:p>
      <w:pPr>
        <w:pStyle w:val="Normal"/>
        <w:rPr/>
      </w:pPr>
      <w:r>
        <w:rPr>
          <w:b w:val="false"/>
          <w:sz w:val="20"/>
        </w:rPr>
        <w:t xml:space="preserve">– </w:t>
      </w:r>
      <w:r>
        <w:rPr>
          <w:b w:val="false"/>
          <w:sz w:val="20"/>
        </w:rPr>
        <w:t>Copie de la pièce d’identité du promoteur (justifiant la date et le lieu de naissance, condition d’éligibilité au dispositif APEJ) ;</w:t>
      </w:r>
    </w:p>
    <w:p>
      <w:pPr>
        <w:pStyle w:val="Normal"/>
        <w:rPr/>
      </w:pPr>
      <w:r>
        <w:rPr>
          <w:b w:val="false"/>
          <w:sz w:val="20"/>
        </w:rPr>
        <w:t xml:space="preserve">– </w:t>
      </w:r>
      <w:r>
        <w:rPr>
          <w:b w:val="false"/>
          <w:sz w:val="20"/>
        </w:rPr>
        <w:t>Attestation(s) de formation du promoteur ;</w:t>
      </w:r>
    </w:p>
    <w:p>
      <w:pPr>
        <w:pStyle w:val="Normal"/>
        <w:rPr/>
      </w:pPr>
      <w:r>
        <w:rPr>
          <w:b w:val="false"/>
          <w:sz w:val="20"/>
        </w:rPr>
        <w:t xml:space="preserve">– </w:t>
      </w:r>
      <w:r>
        <w:rPr>
          <w:b w:val="false"/>
          <w:sz w:val="20"/>
        </w:rPr>
        <w:t>Acte de mise à disposition du terrain ou du local, dûment signé et légalisé (condition préalable au décaissement) ;</w:t>
      </w:r>
    </w:p>
    <w:p>
      <w:pPr>
        <w:pStyle w:val="Normal"/>
        <w:rPr/>
      </w:pPr>
      <w:r>
        <w:rPr>
          <w:b w:val="false"/>
          <w:sz w:val="20"/>
        </w:rPr>
        <w:t xml:space="preserve">– </w:t>
      </w:r>
      <w:r>
        <w:rPr>
          <w:b w:val="false"/>
          <w:sz w:val="20"/>
        </w:rPr>
        <w:t>Lettres d’intention ou engagements d’achat de deux ou trois clients (grossistes, détaillants, collectivités) ;</w:t>
      </w:r>
    </w:p>
    <w:p>
      <w:pPr>
        <w:pStyle w:val="Normal"/>
        <w:rPr/>
      </w:pPr>
      <w:r>
        <w:rPr>
          <w:b w:val="false"/>
          <w:sz w:val="20"/>
        </w:rPr>
        <w:t xml:space="preserve">– </w:t>
      </w:r>
      <w:r>
        <w:rPr>
          <w:b w:val="false"/>
          <w:sz w:val="20"/>
        </w:rPr>
        <w:t>Calendrier de production (approvisionnement en matières premières et cycles de production).</w:t>
      </w:r>
    </w:p>
    <w:p>
      <w:pPr>
        <w:pStyle w:val="Normal"/>
        <w:rPr/>
      </w:pPr>
      <w:r>
        <w:rPr/>
      </w:r>
    </w:p>
    <w:p>
      <w:pPr>
        <w:pStyle w:val="Normal"/>
        <w:rPr/>
      </w:pPr>
      <w:r>
        <w:rPr>
          <w:b w:val="false"/>
          <w:sz w:val="20"/>
        </w:rPr>
        <w:t>Factures pro forma : la promotrice n’a pas fourni de factures pro forma à la date d’élaboration du présent plan d’affaires ; les montants retenus pour les équipements (équipements de transformation) sont des estimations.</w:t>
      </w:r>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417" w:right="849"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Aptos">
    <w:altName w:val="Arial"/>
    <w:charset w:val="01"/>
    <w:family w:val="roman"/>
    <w:pitch w:val="variable"/>
  </w:font>
  <w:font w:name="Aptos Display">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Tahoma">
    <w:charset w:val="01"/>
    <w:family w:val="roman"/>
    <w:pitch w:val="variable"/>
  </w:font>
  <w:font w:name="Liberation Sans">
    <w:altName w:val="Arial"/>
    <w:charset w:val="01"/>
    <w:family w:val="roman"/>
    <w:pitch w:val="variable"/>
  </w:font>
  <w:font w:name="Calibri">
    <w:charset w:val="01"/>
    <w:family w:val="roman"/>
    <w:pitch w:val="variable"/>
  </w:font>
  <w:font w:name="Trebuchet MS">
    <w:charset w:val="01"/>
    <w:family w:val="roman"/>
    <w:pitch w:val="variable"/>
  </w:font>
  <w:font w:name="Garamond">
    <w:charset w:val="01"/>
    <w:family w:val="roman"/>
    <w:pitch w:val="variable"/>
  </w:font>
  <w:font w:name="Segoe UI">
    <w:charset w:val="01"/>
    <w:family w:val="roman"/>
    <w:pitch w:val="variable"/>
  </w:font>
  <w:font w:name="Cambira">
    <w:altName w:val="Cambri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thinThickSmallGap" w:sz="24" w:space="1" w:color="622423"/>
      </w:pBdr>
      <w:tabs>
        <w:tab w:val="clear" w:pos="708"/>
      </w:tabs>
      <w:jc w:val="center"/>
      <w:rPr>
        <w:rFonts w:ascii="Cambria" w:hAnsi="Cambria" w:cs="Cambria"/>
        <w:sz w:val="20"/>
      </w:rPr>
    </w:pPr>
    <w:r>
      <w:rPr>
        <w:rFonts w:cs="Cambria" w:ascii="Cambria" w:hAnsi="Cambria"/>
      </w:rPr>
      <w:tab/>
      <w:t xml:space="preserve">Page </w:t>
    </w:r>
    <w:r>
      <w:rPr/>
      <w:fldChar w:fldCharType="begin"/>
    </w:r>
    <w:r>
      <w:rPr/>
      <w:instrText xml:space="preserve"> PAGE </w:instrText>
    </w:r>
    <w:r>
      <w:rPr/>
      <w:fldChar w:fldCharType="separate"/>
    </w:r>
    <w:r>
      <w:rPr/>
      <w:t>20</w:t>
    </w:r>
    <w:r>
      <w:rPr/>
      <w:fldChar w:fldCharType="end"/>
    </w:r>
  </w:p>
  <w:p>
    <w:pPr>
      <w:pStyle w:val="Footer"/>
      <w:rPr>
        <w:rFonts w:ascii="Cambria" w:hAnsi="Cambria" w:cs="Cambria"/>
        <w:sz w:val="20"/>
      </w:rPr>
    </w:pPr>
    <w:r>
      <w:rPr>
        <w:rFonts w:cs="Cambria" w:ascii="Cambria" w:hAnsi="Cambria"/>
        <w:sz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numPr>
        <w:ilvl w:val="0"/>
        <w:numId w:val="0"/>
      </w:numPr>
      <w:ind w:hanging="0" w:left="0"/>
      <w:outlineLvl w:val="3"/>
      <w:rPr>
        <w:sz w:val="20"/>
        <w:szCs w:val="20"/>
      </w:rPr>
    </w:pPr>
    <w:r>
      <w:rPr>
        <w:sz w:val="20"/>
        <w:szCs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08"/>
        <w:tab w:val="left" w:pos="3075" w:leader="none"/>
      </w:tabs>
      <w:rPr>
        <w:b/>
        <w:bCs/>
        <w:sz w:val="22"/>
        <w:szCs w:val="32"/>
      </w:rPr>
    </w:pPr>
    <w:r>
      <w:drawing>
        <wp:anchor behindDoc="1" distT="0" distB="0" distL="114935" distR="114935" simplePos="0" locked="0" layoutInCell="0" allowOverlap="1" relativeHeight="7">
          <wp:simplePos x="0" y="0"/>
          <wp:positionH relativeFrom="column">
            <wp:posOffset>2243455</wp:posOffset>
          </wp:positionH>
          <wp:positionV relativeFrom="paragraph">
            <wp:posOffset>64770</wp:posOffset>
          </wp:positionV>
          <wp:extent cx="1066800" cy="815340"/>
          <wp:effectExtent l="0" t="0" r="0" b="0"/>
          <wp:wrapSquare wrapText="bothSides"/>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
                  <a:srcRect l="-70" t="-53" r="-70" b="-53"/>
                  <a:stretch>
                    <a:fillRect/>
                  </a:stretch>
                </pic:blipFill>
                <pic:spPr bwMode="auto">
                  <a:xfrm>
                    <a:off x="0" y="0"/>
                    <a:ext cx="1066800" cy="815340"/>
                  </a:xfrm>
                  <a:prstGeom prst="rect">
                    <a:avLst/>
                  </a:prstGeom>
                </pic:spPr>
              </pic:pic>
            </a:graphicData>
          </a:graphic>
        </wp:anchor>
      </w:drawing>
    </w:r>
    <w:r>
      <w:rPr/>
      <w:drawing>
        <wp:inline distT="0" distB="0" distL="0" distR="0">
          <wp:extent cx="925830" cy="845820"/>
          <wp:effectExtent l="0" t="0" r="0" b="0"/>
          <wp:docPr id="7"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descr=""/>
                  <pic:cNvPicPr>
                    <a:picLocks noChangeAspect="1" noChangeArrowheads="1"/>
                  </pic:cNvPicPr>
                </pic:nvPicPr>
                <pic:blipFill>
                  <a:blip r:embed="rId2"/>
                  <a:srcRect l="-76" t="-76" r="-76" b="-76"/>
                  <a:stretch>
                    <a:fillRect/>
                  </a:stretch>
                </pic:blipFill>
                <pic:spPr bwMode="auto">
                  <a:xfrm>
                    <a:off x="0" y="0"/>
                    <a:ext cx="925830" cy="845820"/>
                  </a:xfrm>
                  <a:prstGeom prst="rect">
                    <a:avLst/>
                  </a:prstGeom>
                </pic:spPr>
              </pic:pic>
            </a:graphicData>
          </a:graphic>
        </wp:inline>
      </w:drawing>
    </w:r>
    <w:r>
      <w:rPr/>
      <w:tab/>
      <w:tab/>
      <w:tab/>
      <w:t xml:space="preserve">            </w:t>
    </w:r>
    <w:r>
      <w:rPr/>
      <w:drawing>
        <wp:inline distT="0" distB="0" distL="0" distR="0">
          <wp:extent cx="1003300" cy="77343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3"/>
                  <a:srcRect l="-270" t="-270" r="-270" b="-270"/>
                  <a:stretch>
                    <a:fillRect/>
                  </a:stretch>
                </pic:blipFill>
                <pic:spPr bwMode="auto">
                  <a:xfrm>
                    <a:off x="0" y="0"/>
                    <a:ext cx="1003300" cy="773430"/>
                  </a:xfrm>
                  <a:prstGeom prst="rect">
                    <a:avLst/>
                  </a:prstGeom>
                </pic:spPr>
              </pic:pic>
            </a:graphicData>
          </a:graphic>
        </wp:inline>
      </w:drawing>
    </w:r>
  </w:p>
  <w:p>
    <w:pPr>
      <w:pStyle w:val="Header"/>
      <w:rPr>
        <w:b/>
        <w:bCs/>
        <w:sz w:val="22"/>
        <w:szCs w:val="32"/>
      </w:rPr>
    </w:pPr>
    <w:r>
      <w:rPr>
        <w:b/>
        <w:bCs/>
        <w:sz w:val="22"/>
        <w:szCs w:val="3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4"/>
      <w:numFmt w:val="upperRoman"/>
      <w:lvlText w:val="%1."/>
      <w:lvlJc w:val="left"/>
      <w:pPr>
        <w:tabs>
          <w:tab w:val="num" w:pos="0"/>
        </w:tabs>
        <w:ind w:left="142" w:hanging="360"/>
      </w:pPr>
      <w:rPr/>
    </w:lvl>
    <w:lvl w:ilvl="1">
      <w:start w:val="1"/>
      <w:numFmt w:val="decimal"/>
      <w:lvlText w:val="%1.%2"/>
      <w:lvlJc w:val="left"/>
      <w:pPr>
        <w:tabs>
          <w:tab w:val="num" w:pos="0"/>
        </w:tabs>
        <w:ind w:left="502" w:hanging="360"/>
      </w:pPr>
      <w:rPr/>
    </w:lvl>
    <w:lvl w:ilvl="2">
      <w:start w:val="1"/>
      <w:numFmt w:val="decimal"/>
      <w:lvlText w:val="%1.%2.%3"/>
      <w:lvlJc w:val="left"/>
      <w:pPr>
        <w:tabs>
          <w:tab w:val="num" w:pos="0"/>
        </w:tabs>
        <w:ind w:left="502" w:hanging="720"/>
      </w:pPr>
      <w:rPr/>
    </w:lvl>
    <w:lvl w:ilvl="3">
      <w:start w:val="1"/>
      <w:numFmt w:val="decimal"/>
      <w:lvlText w:val="%1.%2.%3.%4"/>
      <w:lvlJc w:val="left"/>
      <w:pPr>
        <w:tabs>
          <w:tab w:val="num" w:pos="0"/>
        </w:tabs>
        <w:ind w:left="1942" w:hanging="1080"/>
      </w:pPr>
      <w:rPr/>
    </w:lvl>
    <w:lvl w:ilvl="4">
      <w:start w:val="1"/>
      <w:numFmt w:val="decimal"/>
      <w:lvlText w:val="%1.%2.%3.%4.%5"/>
      <w:lvlJc w:val="left"/>
      <w:pPr>
        <w:tabs>
          <w:tab w:val="num" w:pos="0"/>
        </w:tabs>
        <w:ind w:left="2302" w:hanging="1080"/>
      </w:pPr>
      <w:rPr/>
    </w:lvl>
    <w:lvl w:ilvl="5">
      <w:start w:val="1"/>
      <w:numFmt w:val="decimal"/>
      <w:lvlText w:val="%1.%2.%3.%4.%5.%6"/>
      <w:lvlJc w:val="left"/>
      <w:pPr>
        <w:tabs>
          <w:tab w:val="num" w:pos="0"/>
        </w:tabs>
        <w:ind w:left="3022" w:hanging="1440"/>
      </w:pPr>
      <w:rPr/>
    </w:lvl>
    <w:lvl w:ilvl="6">
      <w:start w:val="1"/>
      <w:numFmt w:val="decimal"/>
      <w:lvlText w:val="%1.%2.%3.%4.%5.%6.%7"/>
      <w:lvlJc w:val="left"/>
      <w:pPr>
        <w:tabs>
          <w:tab w:val="num" w:pos="0"/>
        </w:tabs>
        <w:ind w:left="3382" w:hanging="1440"/>
      </w:pPr>
      <w:rPr/>
    </w:lvl>
    <w:lvl w:ilvl="7">
      <w:start w:val="1"/>
      <w:numFmt w:val="decimal"/>
      <w:lvlText w:val="%1.%2.%3.%4.%5.%6.%7.%8"/>
      <w:lvlJc w:val="left"/>
      <w:pPr>
        <w:tabs>
          <w:tab w:val="num" w:pos="0"/>
        </w:tabs>
        <w:ind w:left="4102" w:hanging="1800"/>
      </w:pPr>
      <w:rPr/>
    </w:lvl>
    <w:lvl w:ilvl="8">
      <w:start w:val="1"/>
      <w:numFmt w:val="decimal"/>
      <w:lvlText w:val="%1.%2.%3.%4.%5.%6.%7.%8.%9"/>
      <w:lvlJc w:val="left"/>
      <w:pPr>
        <w:tabs>
          <w:tab w:val="num" w:pos="0"/>
        </w:tabs>
        <w:ind w:left="4462" w:hanging="1800"/>
      </w:pPr>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upperRoman"/>
      <w:lvlText w:val="%1."/>
      <w:lvlJc w:val="left"/>
      <w:pPr>
        <w:tabs>
          <w:tab w:val="num" w:pos="0"/>
        </w:tabs>
        <w:ind w:left="1080" w:hanging="720"/>
      </w:pPr>
      <w:rPr/>
    </w:lvl>
    <w:lvl w:ilvl="1">
      <w:start w:val="1"/>
      <w:isLgl/>
      <w:numFmt w:val="decimal"/>
      <w:lvlText w:val="%1.%2"/>
      <w:lvlJc w:val="left"/>
      <w:pPr>
        <w:tabs>
          <w:tab w:val="num" w:pos="0"/>
        </w:tabs>
        <w:ind w:left="720" w:hanging="36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440" w:hanging="1080"/>
      </w:pPr>
      <w:rPr/>
    </w:lvl>
    <w:lvl w:ilvl="5">
      <w:start w:val="1"/>
      <w:isLgl/>
      <w:numFmt w:val="decimal"/>
      <w:lvlText w:val="%1.%2.%3.%4.%5.%6"/>
      <w:lvlJc w:val="left"/>
      <w:pPr>
        <w:tabs>
          <w:tab w:val="num" w:pos="0"/>
        </w:tabs>
        <w:ind w:left="1800" w:hanging="1440"/>
      </w:pPr>
      <w:rPr/>
    </w:lvl>
    <w:lvl w:ilvl="6">
      <w:start w:val="1"/>
      <w:isLgl/>
      <w:numFmt w:val="decimal"/>
      <w:lvlText w:val="%1.%2.%3.%4.%5.%6.%7"/>
      <w:lvlJc w:val="left"/>
      <w:pPr>
        <w:tabs>
          <w:tab w:val="num" w:pos="0"/>
        </w:tabs>
        <w:ind w:left="1800" w:hanging="1440"/>
      </w:pPr>
      <w:rPr/>
    </w:lvl>
    <w:lvl w:ilvl="7">
      <w:start w:val="1"/>
      <w:isLgl/>
      <w:numFmt w:val="decimal"/>
      <w:lvlText w:val="%1.%2.%3.%4.%5.%6.%7.%8"/>
      <w:lvlJc w:val="left"/>
      <w:pPr>
        <w:tabs>
          <w:tab w:val="num" w:pos="0"/>
        </w:tabs>
        <w:ind w:left="2160" w:hanging="1800"/>
      </w:pPr>
      <w:rPr/>
    </w:lvl>
    <w:lvl w:ilvl="8">
      <w:start w:val="1"/>
      <w:isLgl/>
      <w:numFmt w:val="decimal"/>
      <w:lvlText w:val="%1.%2.%3.%4.%5.%6.%7.%8.%9"/>
      <w:lvlJc w:val="left"/>
      <w:pPr>
        <w:tabs>
          <w:tab w:val="num" w:pos="0"/>
        </w:tabs>
        <w:ind w:left="2160" w:hanging="1800"/>
      </w:pPr>
      <w:rPr/>
    </w:lvl>
  </w:abstractNum>
  <w:abstractNum w:abstractNumId="7">
    <w:lvl w:ilvl="0">
      <w:start w:val="1"/>
      <w:numFmt w:val="decimal"/>
      <w:lvlText w:val="%1."/>
      <w:lvlJc w:val="left"/>
      <w:pPr>
        <w:tabs>
          <w:tab w:val="num" w:pos="0"/>
        </w:tabs>
        <w:ind w:left="720" w:hanging="360"/>
      </w:pPr>
      <w:rPr/>
    </w:lvl>
    <w:lvl w:ilvl="1">
      <w:start w:val="1"/>
      <w:isLgl/>
      <w:numFmt w:val="decimal"/>
      <w:lvlText w:val="%1.%2"/>
      <w:lvlJc w:val="left"/>
      <w:pPr>
        <w:tabs>
          <w:tab w:val="num" w:pos="0"/>
        </w:tabs>
        <w:ind w:left="1080" w:hanging="720"/>
      </w:pPr>
      <w:rPr/>
    </w:lvl>
    <w:lvl w:ilvl="2">
      <w:start w:val="1"/>
      <w:isLgl/>
      <w:numFmt w:val="decimal"/>
      <w:lvlText w:val="%1.%2.%3"/>
      <w:lvlJc w:val="left"/>
      <w:pPr>
        <w:tabs>
          <w:tab w:val="num" w:pos="0"/>
        </w:tabs>
        <w:ind w:left="1080" w:hanging="720"/>
      </w:pPr>
      <w:rPr/>
    </w:lvl>
    <w:lvl w:ilvl="3">
      <w:start w:val="1"/>
      <w:isLgl/>
      <w:numFmt w:val="decimal"/>
      <w:lvlText w:val="%1.%2.%3.%4"/>
      <w:lvlJc w:val="left"/>
      <w:pPr>
        <w:tabs>
          <w:tab w:val="num" w:pos="0"/>
        </w:tabs>
        <w:ind w:left="1440" w:hanging="1080"/>
      </w:pPr>
      <w:rPr/>
    </w:lvl>
    <w:lvl w:ilvl="4">
      <w:start w:val="1"/>
      <w:isLgl/>
      <w:numFmt w:val="decimal"/>
      <w:lvlText w:val="%1.%2.%3.%4.%5"/>
      <w:lvlJc w:val="left"/>
      <w:pPr>
        <w:tabs>
          <w:tab w:val="num" w:pos="0"/>
        </w:tabs>
        <w:ind w:left="1800" w:hanging="1440"/>
      </w:pPr>
      <w:rPr/>
    </w:lvl>
    <w:lvl w:ilvl="5">
      <w:start w:val="1"/>
      <w:isLgl/>
      <w:numFmt w:val="decimal"/>
      <w:lvlText w:val="%1.%2.%3.%4.%5.%6"/>
      <w:lvlJc w:val="left"/>
      <w:pPr>
        <w:tabs>
          <w:tab w:val="num" w:pos="0"/>
        </w:tabs>
        <w:ind w:left="2160" w:hanging="1800"/>
      </w:pPr>
      <w:rPr/>
    </w:lvl>
    <w:lvl w:ilvl="6">
      <w:start w:val="1"/>
      <w:isLgl/>
      <w:numFmt w:val="decimal"/>
      <w:lvlText w:val="%1.%2.%3.%4.%5.%6.%7"/>
      <w:lvlJc w:val="left"/>
      <w:pPr>
        <w:tabs>
          <w:tab w:val="num" w:pos="0"/>
        </w:tabs>
        <w:ind w:left="2160" w:hanging="1800"/>
      </w:pPr>
      <w:rPr/>
    </w:lvl>
    <w:lvl w:ilvl="7">
      <w:start w:val="1"/>
      <w:isLgl/>
      <w:numFmt w:val="decimal"/>
      <w:lvlText w:val="%1.%2.%3.%4.%5.%6.%7.%8"/>
      <w:lvlJc w:val="left"/>
      <w:pPr>
        <w:tabs>
          <w:tab w:val="num" w:pos="0"/>
        </w:tabs>
        <w:ind w:left="2520" w:hanging="2160"/>
      </w:pPr>
      <w:rPr/>
    </w:lvl>
    <w:lvl w:ilvl="8">
      <w:start w:val="1"/>
      <w:isLgl/>
      <w:numFmt w:val="decimal"/>
      <w:lvlText w:val="%1.%2.%3.%4.%5.%6.%7.%8.%9"/>
      <w:lvlJc w:val="left"/>
      <w:pPr>
        <w:tabs>
          <w:tab w:val="num" w:pos="0"/>
        </w:tabs>
        <w:ind w:left="2880" w:hanging="2520"/>
      </w:pPr>
      <w:rPr/>
    </w:lvl>
  </w:abstractNum>
  <w:abstractNum w:abstractNumId="8">
    <w:lvl w:ilvl="0">
      <w:start w:val="2"/>
      <w:numFmt w:val="decimal"/>
      <w:lvlText w:val="%1"/>
      <w:lvlJc w:val="left"/>
      <w:pPr>
        <w:tabs>
          <w:tab w:val="num" w:pos="0"/>
        </w:tabs>
        <w:ind w:left="360" w:hanging="360"/>
      </w:pPr>
      <w:rPr/>
    </w:lvl>
    <w:lvl w:ilvl="1">
      <w:start w:val="1"/>
      <w:numFmt w:val="decimal"/>
      <w:lvlText w:val="%1.%2"/>
      <w:lvlJc w:val="left"/>
      <w:pPr>
        <w:tabs>
          <w:tab w:val="num" w:pos="0"/>
        </w:tabs>
        <w:ind w:left="1211" w:hanging="360"/>
      </w:pPr>
      <w:rPr/>
    </w:lvl>
    <w:lvl w:ilvl="2">
      <w:start w:val="1"/>
      <w:numFmt w:val="decimal"/>
      <w:lvlText w:val="%1.%2.%3"/>
      <w:lvlJc w:val="left"/>
      <w:pPr>
        <w:tabs>
          <w:tab w:val="num" w:pos="0"/>
        </w:tabs>
        <w:ind w:left="2422" w:hanging="720"/>
      </w:pPr>
      <w:rPr/>
    </w:lvl>
    <w:lvl w:ilvl="3">
      <w:start w:val="1"/>
      <w:numFmt w:val="decimal"/>
      <w:lvlText w:val="%1.%2.%3.%4"/>
      <w:lvlJc w:val="left"/>
      <w:pPr>
        <w:tabs>
          <w:tab w:val="num" w:pos="0"/>
        </w:tabs>
        <w:ind w:left="3633" w:hanging="1080"/>
      </w:pPr>
      <w:rPr/>
    </w:lvl>
    <w:lvl w:ilvl="4">
      <w:start w:val="1"/>
      <w:numFmt w:val="decimal"/>
      <w:lvlText w:val="%1.%2.%3.%4.%5"/>
      <w:lvlJc w:val="left"/>
      <w:pPr>
        <w:tabs>
          <w:tab w:val="num" w:pos="0"/>
        </w:tabs>
        <w:ind w:left="4484" w:hanging="1080"/>
      </w:pPr>
      <w:rPr/>
    </w:lvl>
    <w:lvl w:ilvl="5">
      <w:start w:val="1"/>
      <w:numFmt w:val="decimal"/>
      <w:lvlText w:val="%1.%2.%3.%4.%5.%6"/>
      <w:lvlJc w:val="left"/>
      <w:pPr>
        <w:tabs>
          <w:tab w:val="num" w:pos="0"/>
        </w:tabs>
        <w:ind w:left="5695" w:hanging="1440"/>
      </w:pPr>
      <w:rPr/>
    </w:lvl>
    <w:lvl w:ilvl="6">
      <w:start w:val="1"/>
      <w:numFmt w:val="decimal"/>
      <w:lvlText w:val="%1.%2.%3.%4.%5.%6.%7"/>
      <w:lvlJc w:val="left"/>
      <w:pPr>
        <w:tabs>
          <w:tab w:val="num" w:pos="0"/>
        </w:tabs>
        <w:ind w:left="6546" w:hanging="1440"/>
      </w:pPr>
      <w:rPr/>
    </w:lvl>
    <w:lvl w:ilvl="7">
      <w:start w:val="1"/>
      <w:numFmt w:val="decimal"/>
      <w:lvlText w:val="%1.%2.%3.%4.%5.%6.%7.%8"/>
      <w:lvlJc w:val="left"/>
      <w:pPr>
        <w:tabs>
          <w:tab w:val="num" w:pos="0"/>
        </w:tabs>
        <w:ind w:left="7757" w:hanging="1800"/>
      </w:pPr>
      <w:rPr/>
    </w:lvl>
    <w:lvl w:ilvl="8">
      <w:start w:val="1"/>
      <w:numFmt w:val="decimal"/>
      <w:lvlText w:val="%1.%2.%3.%4.%5.%6.%7.%8.%9"/>
      <w:lvlJc w:val="left"/>
      <w:pPr>
        <w:tabs>
          <w:tab w:val="num" w:pos="0"/>
        </w:tabs>
        <w:ind w:left="8608" w:hanging="1800"/>
      </w:pPr>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decimal"/>
      <w:lvlText w:val="%1"/>
      <w:lvlJc w:val="left"/>
      <w:pPr>
        <w:tabs>
          <w:tab w:val="num" w:pos="0"/>
        </w:tabs>
        <w:ind w:left="432" w:hanging="432"/>
      </w:pPr>
      <w:rPr/>
    </w:lvl>
    <w:lvl w:ilvl="1">
      <w:start w:val="1"/>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4" w:hanging="864"/>
      </w:pPr>
      <w:rPr/>
    </w:lvl>
    <w:lvl w:ilvl="4">
      <w:start w:val="1"/>
      <w:numFmt w:val="decimal"/>
      <w:lvlText w:val="%1.%2.%3.%4.%5"/>
      <w:lvlJc w:val="left"/>
      <w:pPr>
        <w:tabs>
          <w:tab w:val="num" w:pos="0"/>
        </w:tabs>
        <w:ind w:left="1008" w:hanging="1008"/>
      </w:pPr>
      <w:rPr/>
    </w:lvl>
    <w:lvl w:ilvl="5">
      <w:start w:val="1"/>
      <w:numFmt w:val="decimal"/>
      <w:lvlText w:val="%1.%2.%3.%4.%5.%6"/>
      <w:lvlJc w:val="left"/>
      <w:pPr>
        <w:tabs>
          <w:tab w:val="num" w:pos="0"/>
        </w:tabs>
        <w:ind w:left="1152" w:hanging="1152"/>
      </w:pPr>
      <w:rPr/>
    </w:lvl>
    <w:lvl w:ilvl="6">
      <w:start w:val="1"/>
      <w:numFmt w:val="decimal"/>
      <w:lvlText w:val="%1.%2.%3.%4.%5.%6.%7"/>
      <w:lvlJc w:val="left"/>
      <w:pPr>
        <w:tabs>
          <w:tab w:val="num" w:pos="0"/>
        </w:tabs>
        <w:ind w:left="1296" w:hanging="1296"/>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4" w:hanging="1584"/>
      </w:pPr>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decimal"/>
      <w:lvlText w:val="%1."/>
      <w:lvlJc w:val="left"/>
      <w:pPr>
        <w:tabs>
          <w:tab w:val="num" w:pos="0"/>
        </w:tabs>
        <w:ind w:left="720" w:hanging="360"/>
      </w:pPr>
      <w:rPr>
        <w:b/>
        <w:bCs w:val="false"/>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1"/>
      <w:numFmt w:val="bullet"/>
      <w:lvlText w:val=""/>
      <w:lvlJc w:val="left"/>
      <w:pPr>
        <w:tabs>
          <w:tab w:val="num" w:pos="567"/>
        </w:tabs>
        <w:ind w:left="567" w:hanging="283"/>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zh-CN"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tabs>
        <w:tab w:val="clear" w:pos="708"/>
        <w:tab w:val="left" w:pos="0" w:leader="none"/>
      </w:tabs>
      <w:spacing w:before="240" w:after="60"/>
      <w:ind w:hanging="432" w:left="432" w:right="0"/>
      <w:outlineLvl w:val="1"/>
    </w:pPr>
    <w:rPr>
      <w:rFonts w:ascii="Cambria" w:hAnsi="Cambria" w:cs="Cambria"/>
      <w:b/>
      <w:bCs/>
      <w:i/>
      <w:iCs/>
      <w:sz w:val="28"/>
      <w:szCs w:val="28"/>
    </w:rPr>
  </w:style>
  <w:style w:type="paragraph" w:styleId="Heading3">
    <w:name w:val="Heading 3"/>
    <w:basedOn w:val="Normal"/>
    <w:next w:val="Normal"/>
    <w:qFormat/>
    <w:pPr>
      <w:keepNext w:val="true"/>
      <w:tabs>
        <w:tab w:val="clear" w:pos="708"/>
        <w:tab w:val="left" w:pos="0" w:leader="none"/>
      </w:tabs>
      <w:spacing w:before="240" w:after="60"/>
      <w:ind w:hanging="432" w:left="432" w:right="0"/>
      <w:outlineLvl w:val="2"/>
    </w:pPr>
    <w:rPr>
      <w:rFonts w:ascii="Cambria" w:hAnsi="Cambria" w:cs="Cambria"/>
      <w:b/>
      <w:bCs/>
      <w:sz w:val="26"/>
      <w:szCs w:val="26"/>
    </w:rPr>
  </w:style>
  <w:style w:type="paragraph" w:styleId="Heading4">
    <w:name w:val="Heading 4"/>
    <w:basedOn w:val="Normal"/>
    <w:next w:val="Normal"/>
    <w:qFormat/>
    <w:pPr>
      <w:keepNext w:val="true"/>
      <w:tabs>
        <w:tab w:val="clear" w:pos="708"/>
        <w:tab w:val="left" w:pos="0" w:leader="none"/>
      </w:tabs>
      <w:spacing w:before="240" w:after="60"/>
      <w:ind w:hanging="432" w:left="432" w:right="0"/>
      <w:outlineLvl w:val="3"/>
    </w:pPr>
    <w:rPr>
      <w:rFonts w:ascii="Aptos;Arial" w:hAnsi="Aptos;Arial" w:cs="Aptos;Arial"/>
      <w:b/>
      <w:bCs/>
      <w:sz w:val="28"/>
      <w:szCs w:val="28"/>
    </w:rPr>
  </w:style>
  <w:style w:type="paragraph" w:styleId="Heading5">
    <w:name w:val="Heading 5"/>
    <w:basedOn w:val="Normal"/>
    <w:next w:val="Normal"/>
    <w:qFormat/>
    <w:pPr>
      <w:tabs>
        <w:tab w:val="clear" w:pos="708"/>
        <w:tab w:val="left" w:pos="0" w:leader="none"/>
      </w:tabs>
      <w:spacing w:before="240" w:after="60"/>
      <w:ind w:hanging="432" w:left="432" w:right="0"/>
      <w:outlineLvl w:val="4"/>
    </w:pPr>
    <w:rPr>
      <w:rFonts w:ascii="Aptos;Arial" w:hAnsi="Aptos;Arial" w:cs="Aptos;Arial"/>
      <w:b/>
      <w:bCs/>
      <w:i/>
      <w:iCs/>
      <w:sz w:val="26"/>
      <w:szCs w:val="26"/>
    </w:rPr>
  </w:style>
  <w:style w:type="paragraph" w:styleId="Heading6">
    <w:name w:val="Heading 6"/>
    <w:basedOn w:val="Normal"/>
    <w:next w:val="Normal"/>
    <w:qFormat/>
    <w:pPr>
      <w:tabs>
        <w:tab w:val="clear" w:pos="708"/>
        <w:tab w:val="left" w:pos="0" w:leader="none"/>
      </w:tabs>
      <w:spacing w:before="240" w:after="60"/>
      <w:ind w:hanging="432" w:left="432" w:right="0"/>
      <w:outlineLvl w:val="5"/>
    </w:pPr>
    <w:rPr>
      <w:rFonts w:ascii="Aptos;Arial" w:hAnsi="Aptos;Arial" w:cs="Aptos;Arial"/>
      <w:b/>
      <w:bCs/>
      <w:sz w:val="22"/>
      <w:szCs w:val="22"/>
    </w:rPr>
  </w:style>
  <w:style w:type="paragraph" w:styleId="Heading7">
    <w:name w:val="Heading 7"/>
    <w:basedOn w:val="Normal"/>
    <w:next w:val="Normal"/>
    <w:qFormat/>
    <w:pPr>
      <w:tabs>
        <w:tab w:val="clear" w:pos="708"/>
        <w:tab w:val="left" w:pos="0" w:leader="none"/>
      </w:tabs>
      <w:spacing w:before="240" w:after="60"/>
      <w:ind w:hanging="432" w:left="432" w:right="0"/>
      <w:outlineLvl w:val="6"/>
    </w:pPr>
    <w:rPr>
      <w:rFonts w:ascii="Aptos;Arial" w:hAnsi="Aptos;Arial" w:cs="Aptos;Arial"/>
    </w:rPr>
  </w:style>
  <w:style w:type="paragraph" w:styleId="Heading8">
    <w:name w:val="Heading 8"/>
    <w:basedOn w:val="Normal"/>
    <w:next w:val="Normal"/>
    <w:qFormat/>
    <w:pPr>
      <w:tabs>
        <w:tab w:val="clear" w:pos="708"/>
        <w:tab w:val="left" w:pos="0" w:leader="none"/>
      </w:tabs>
      <w:spacing w:before="240" w:after="60"/>
      <w:ind w:hanging="432" w:left="432" w:right="0"/>
      <w:outlineLvl w:val="7"/>
    </w:pPr>
    <w:rPr>
      <w:rFonts w:ascii="Aptos;Arial" w:hAnsi="Aptos;Arial" w:cs="Aptos;Arial"/>
      <w:i/>
      <w:iCs/>
    </w:rPr>
  </w:style>
  <w:style w:type="paragraph" w:styleId="Heading9">
    <w:name w:val="Heading 9"/>
    <w:basedOn w:val="Normal"/>
    <w:next w:val="Normal"/>
    <w:qFormat/>
    <w:pPr>
      <w:tabs>
        <w:tab w:val="clear" w:pos="708"/>
        <w:tab w:val="left" w:pos="0" w:leader="none"/>
      </w:tabs>
      <w:spacing w:before="240" w:after="60"/>
      <w:ind w:hanging="432" w:left="432" w:right="0"/>
      <w:outlineLvl w:val="8"/>
    </w:pPr>
    <w:rPr>
      <w:rFonts w:ascii="Aptos Display" w:hAnsi="Aptos Display" w:cs="Aptos Display"/>
      <w:sz w:val="22"/>
      <w:szCs w:val="22"/>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rFonts w:ascii="Symbol" w:hAnsi="Symbol" w:cs="Symbol"/>
      <w:sz w:val="20"/>
    </w:rPr>
  </w:style>
  <w:style w:type="character" w:styleId="WW8Num3z1">
    <w:name w:val="WW8Num3z1"/>
    <w:qFormat/>
    <w:rPr>
      <w:rFonts w:ascii="Courier New" w:hAnsi="Courier New" w:cs="Courier New"/>
      <w:sz w:val="20"/>
    </w:rPr>
  </w:style>
  <w:style w:type="character" w:styleId="WW8Num3z2">
    <w:name w:val="WW8Num3z2"/>
    <w:qFormat/>
    <w:rPr>
      <w:rFonts w:ascii="Wingdings" w:hAnsi="Wingdings" w:cs="Wingdings"/>
      <w:sz w:val="20"/>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11z0">
    <w:name w:val="WW8Num11z0"/>
    <w:qFormat/>
    <w:rPr>
      <w:rFonts w:ascii="Symbol" w:hAnsi="Symbol" w:cs="Symbol"/>
      <w:sz w:val="20"/>
    </w:rPr>
  </w:style>
  <w:style w:type="character" w:styleId="WW8Num11z1">
    <w:name w:val="WW8Num11z1"/>
    <w:qFormat/>
    <w:rPr>
      <w:rFonts w:ascii="Courier New" w:hAnsi="Courier New" w:cs="Courier New"/>
      <w:sz w:val="20"/>
    </w:rPr>
  </w:style>
  <w:style w:type="character" w:styleId="WW8Num11z2">
    <w:name w:val="WW8Num11z2"/>
    <w:qFormat/>
    <w:rPr>
      <w:rFonts w:ascii="Wingdings" w:hAnsi="Wingdings" w:cs="Wingdings"/>
      <w:sz w:val="20"/>
    </w:rPr>
  </w:style>
  <w:style w:type="character" w:styleId="WW8Num13z0">
    <w:name w:val="WW8Num13z0"/>
    <w:qFormat/>
    <w:rPr>
      <w:rFonts w:ascii="Symbol" w:hAnsi="Symbol" w:cs="Symbol"/>
      <w:sz w:val="20"/>
    </w:rPr>
  </w:style>
  <w:style w:type="character" w:styleId="WW8Num13z1">
    <w:name w:val="WW8Num13z1"/>
    <w:qFormat/>
    <w:rPr>
      <w:rFonts w:ascii="Courier New" w:hAnsi="Courier New" w:cs="Courier New"/>
      <w:sz w:val="20"/>
    </w:rPr>
  </w:style>
  <w:style w:type="character" w:styleId="WW8Num13z2">
    <w:name w:val="WW8Num13z2"/>
    <w:qFormat/>
    <w:rPr>
      <w:rFonts w:ascii="Wingdings" w:hAnsi="Wingdings" w:cs="Wingdings"/>
      <w:sz w:val="20"/>
    </w:rPr>
  </w:style>
  <w:style w:type="character" w:styleId="WW8Num14z0">
    <w:name w:val="WW8Num14z0"/>
    <w:qFormat/>
    <w:rPr>
      <w:rFonts w:ascii="Symbol" w:hAnsi="Symbol" w:cs="Symbol"/>
      <w:sz w:val="20"/>
    </w:rPr>
  </w:style>
  <w:style w:type="character" w:styleId="WW8Num14z1">
    <w:name w:val="WW8Num14z1"/>
    <w:qFormat/>
    <w:rPr>
      <w:rFonts w:ascii="Courier New" w:hAnsi="Courier New" w:cs="Courier New"/>
      <w:sz w:val="20"/>
    </w:rPr>
  </w:style>
  <w:style w:type="character" w:styleId="WW8Num14z2">
    <w:name w:val="WW8Num14z2"/>
    <w:qFormat/>
    <w:rPr>
      <w:rFonts w:ascii="Wingdings" w:hAnsi="Wingdings" w:cs="Wingdings"/>
      <w:sz w:val="20"/>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rPr>
  </w:style>
  <w:style w:type="character" w:styleId="WW8Num17z0">
    <w:name w:val="WW8Num17z0"/>
    <w:qFormat/>
    <w:rPr>
      <w:rFonts w:ascii="Symbol" w:hAnsi="Symbol" w:cs="Symbol"/>
      <w:sz w:val="20"/>
    </w:rPr>
  </w:style>
  <w:style w:type="character" w:styleId="WW8Num17z1">
    <w:name w:val="WW8Num17z1"/>
    <w:qFormat/>
    <w:rPr>
      <w:rFonts w:ascii="Courier New" w:hAnsi="Courier New" w:cs="Courier New"/>
      <w:sz w:val="20"/>
    </w:rPr>
  </w:style>
  <w:style w:type="character" w:styleId="WW8Num17z2">
    <w:name w:val="WW8Num17z2"/>
    <w:qFormat/>
    <w:rPr>
      <w:rFonts w:ascii="Wingdings" w:hAnsi="Wingdings" w:cs="Wingdings"/>
      <w:sz w:val="20"/>
    </w:rPr>
  </w:style>
  <w:style w:type="character" w:styleId="WW8Num18z0">
    <w:name w:val="WW8Num18z0"/>
    <w:qFormat/>
    <w:rPr>
      <w:rFonts w:ascii="Symbol" w:hAnsi="Symbol" w:cs="Symbol"/>
      <w:sz w:val="20"/>
    </w:rPr>
  </w:style>
  <w:style w:type="character" w:styleId="WW8Num18z1">
    <w:name w:val="WW8Num18z1"/>
    <w:qFormat/>
    <w:rPr>
      <w:rFonts w:ascii="Courier New" w:hAnsi="Courier New" w:cs="Courier New"/>
      <w:sz w:val="20"/>
    </w:rPr>
  </w:style>
  <w:style w:type="character" w:styleId="WW8Num18z2">
    <w:name w:val="WW8Num18z2"/>
    <w:qFormat/>
    <w:rPr>
      <w:rFonts w:ascii="Wingdings" w:hAnsi="Wingdings" w:cs="Wingdings"/>
      <w:sz w:val="20"/>
    </w:rPr>
  </w:style>
  <w:style w:type="character" w:styleId="WW8Num19z0">
    <w:name w:val="WW8Num19z0"/>
    <w:qFormat/>
    <w:rPr>
      <w:rFonts w:ascii="Symbol" w:hAnsi="Symbol" w:cs="Symbol"/>
      <w:sz w:val="20"/>
    </w:rPr>
  </w:style>
  <w:style w:type="character" w:styleId="WW8Num19z1">
    <w:name w:val="WW8Num19z1"/>
    <w:qFormat/>
    <w:rPr>
      <w:rFonts w:ascii="Courier New" w:hAnsi="Courier New" w:cs="Courier New"/>
      <w:sz w:val="20"/>
    </w:rPr>
  </w:style>
  <w:style w:type="character" w:styleId="WW8Num19z2">
    <w:name w:val="WW8Num19z2"/>
    <w:qFormat/>
    <w:rPr>
      <w:rFonts w:ascii="Wingdings" w:hAnsi="Wingdings" w:cs="Wingdings"/>
      <w:sz w:val="20"/>
    </w:rPr>
  </w:style>
  <w:style w:type="character" w:styleId="WW8Num20z0">
    <w:name w:val="WW8Num20z0"/>
    <w:qFormat/>
    <w:rPr>
      <w:rFonts w:ascii="Symbol" w:hAnsi="Symbol" w:cs="Symbol"/>
      <w:sz w:val="20"/>
    </w:rPr>
  </w:style>
  <w:style w:type="character" w:styleId="WW8Num20z1">
    <w:name w:val="WW8Num20z1"/>
    <w:qFormat/>
    <w:rPr>
      <w:rFonts w:ascii="Courier New" w:hAnsi="Courier New" w:cs="Courier New"/>
      <w:sz w:val="20"/>
    </w:rPr>
  </w:style>
  <w:style w:type="character" w:styleId="WW8Num20z2">
    <w:name w:val="WW8Num20z2"/>
    <w:qFormat/>
    <w:rPr>
      <w:rFonts w:ascii="Wingdings" w:hAnsi="Wingdings" w:cs="Wingdings"/>
      <w:sz w:val="20"/>
    </w:rPr>
  </w:style>
  <w:style w:type="character" w:styleId="WW8Num21z0">
    <w:name w:val="WW8Num21z0"/>
    <w:qFormat/>
    <w:rPr>
      <w:rFonts w:ascii="Symbol" w:hAnsi="Symbol" w:cs="Symbol"/>
      <w:sz w:val="20"/>
    </w:rPr>
  </w:style>
  <w:style w:type="character" w:styleId="WW8Num21z1">
    <w:name w:val="WW8Num21z1"/>
    <w:qFormat/>
    <w:rPr>
      <w:rFonts w:ascii="Courier New" w:hAnsi="Courier New" w:cs="Courier New"/>
      <w:sz w:val="20"/>
    </w:rPr>
  </w:style>
  <w:style w:type="character" w:styleId="WW8Num21z2">
    <w:name w:val="WW8Num21z2"/>
    <w:qFormat/>
    <w:rPr>
      <w:rFonts w:ascii="Wingdings" w:hAnsi="Wingdings" w:cs="Wingdings"/>
      <w:sz w:val="20"/>
    </w:rPr>
  </w:style>
  <w:style w:type="character" w:styleId="WW8Num22z0">
    <w:name w:val="WW8Num22z0"/>
    <w:qFormat/>
    <w:rPr>
      <w:rFonts w:ascii="Symbol" w:hAnsi="Symbol" w:cs="Symbol"/>
      <w:sz w:val="20"/>
    </w:rPr>
  </w:style>
  <w:style w:type="character" w:styleId="WW8Num22z1">
    <w:name w:val="WW8Num22z1"/>
    <w:qFormat/>
    <w:rPr>
      <w:rFonts w:ascii="Courier New" w:hAnsi="Courier New" w:cs="Courier New"/>
      <w:sz w:val="20"/>
    </w:rPr>
  </w:style>
  <w:style w:type="character" w:styleId="WW8Num22z2">
    <w:name w:val="WW8Num22z2"/>
    <w:qFormat/>
    <w:rPr>
      <w:rFonts w:ascii="Wingdings" w:hAnsi="Wingdings" w:cs="Wingdings"/>
      <w:sz w:val="20"/>
    </w:rPr>
  </w:style>
  <w:style w:type="character" w:styleId="WW8Num23z0">
    <w:name w:val="WW8Num23z0"/>
    <w:qFormat/>
    <w:rPr>
      <w:rFonts w:ascii="Symbol" w:hAnsi="Symbol" w:cs="Symbol"/>
      <w:sz w:val="20"/>
    </w:rPr>
  </w:style>
  <w:style w:type="character" w:styleId="WW8Num23z1">
    <w:name w:val="WW8Num23z1"/>
    <w:qFormat/>
    <w:rPr>
      <w:rFonts w:ascii="Courier New" w:hAnsi="Courier New" w:cs="Courier New"/>
      <w:sz w:val="20"/>
    </w:rPr>
  </w:style>
  <w:style w:type="character" w:styleId="WW8Num23z2">
    <w:name w:val="WW8Num23z2"/>
    <w:qFormat/>
    <w:rPr>
      <w:rFonts w:ascii="Wingdings" w:hAnsi="Wingdings" w:cs="Wingdings"/>
      <w:sz w:val="20"/>
    </w:rPr>
  </w:style>
  <w:style w:type="character" w:styleId="WW8Num24z0">
    <w:name w:val="WW8Num24z0"/>
    <w:qFormat/>
    <w:rPr>
      <w:rFonts w:ascii="Symbol" w:hAnsi="Symbol" w:cs="Symbol"/>
    </w:rPr>
  </w:style>
  <w:style w:type="character" w:styleId="WW8Num26z0">
    <w:name w:val="WW8Num26z0"/>
    <w:qFormat/>
    <w:rPr>
      <w:rFonts w:ascii="Symbol" w:hAnsi="Symbol" w:cs="Symbol"/>
      <w:sz w:val="20"/>
    </w:rPr>
  </w:style>
  <w:style w:type="character" w:styleId="WW8Num26z1">
    <w:name w:val="WW8Num26z1"/>
    <w:qFormat/>
    <w:rPr>
      <w:rFonts w:ascii="Courier New" w:hAnsi="Courier New" w:cs="Courier New"/>
      <w:sz w:val="20"/>
    </w:rPr>
  </w:style>
  <w:style w:type="character" w:styleId="WW8Num26z2">
    <w:name w:val="WW8Num26z2"/>
    <w:qFormat/>
    <w:rPr>
      <w:rFonts w:ascii="Wingdings" w:hAnsi="Wingdings" w:cs="Wingdings"/>
      <w:sz w:val="20"/>
    </w:rPr>
  </w:style>
  <w:style w:type="character" w:styleId="WW8Num27z0">
    <w:name w:val="WW8Num27z0"/>
    <w:qFormat/>
    <w:rPr>
      <w:rFonts w:ascii="Symbol" w:hAnsi="Symbol" w:cs="Symbol"/>
    </w:rPr>
  </w:style>
  <w:style w:type="character" w:styleId="WW8Num28z0">
    <w:name w:val="WW8Num28z0"/>
    <w:qFormat/>
    <w:rPr>
      <w:rFonts w:ascii="Symbol" w:hAnsi="Symbol" w:cs="Symbol"/>
      <w:sz w:val="20"/>
    </w:rPr>
  </w:style>
  <w:style w:type="character" w:styleId="WW8Num28z1">
    <w:name w:val="WW8Num28z1"/>
    <w:qFormat/>
    <w:rPr>
      <w:rFonts w:ascii="Courier New" w:hAnsi="Courier New" w:cs="Courier New"/>
      <w:sz w:val="20"/>
    </w:rPr>
  </w:style>
  <w:style w:type="character" w:styleId="WW8Num28z2">
    <w:name w:val="WW8Num28z2"/>
    <w:qFormat/>
    <w:rPr>
      <w:rFonts w:ascii="Wingdings" w:hAnsi="Wingdings" w:cs="Wingdings"/>
      <w:sz w:val="20"/>
    </w:rPr>
  </w:style>
  <w:style w:type="character" w:styleId="WW8Num30z0">
    <w:name w:val="WW8Num30z0"/>
    <w:qFormat/>
    <w:rPr>
      <w:rFonts w:ascii="Symbol" w:hAnsi="Symbol" w:cs="Symbol"/>
      <w:sz w:val="20"/>
    </w:rPr>
  </w:style>
  <w:style w:type="character" w:styleId="WW8Num30z1">
    <w:name w:val="WW8Num30z1"/>
    <w:qFormat/>
    <w:rPr>
      <w:rFonts w:ascii="Courier New" w:hAnsi="Courier New" w:cs="Courier New"/>
      <w:sz w:val="20"/>
    </w:rPr>
  </w:style>
  <w:style w:type="character" w:styleId="WW8Num30z2">
    <w:name w:val="WW8Num30z2"/>
    <w:qFormat/>
    <w:rPr>
      <w:rFonts w:ascii="Wingdings" w:hAnsi="Wingdings" w:cs="Wingdings"/>
      <w:sz w:val="20"/>
    </w:rPr>
  </w:style>
  <w:style w:type="character" w:styleId="WW8Num31z0">
    <w:name w:val="WW8Num31z0"/>
    <w:qFormat/>
    <w:rPr>
      <w:rFonts w:ascii="Symbol" w:hAnsi="Symbol" w:cs="Symbol"/>
      <w:sz w:val="20"/>
    </w:rPr>
  </w:style>
  <w:style w:type="character" w:styleId="WW8Num31z1">
    <w:name w:val="WW8Num31z1"/>
    <w:qFormat/>
    <w:rPr>
      <w:rFonts w:ascii="Courier New" w:hAnsi="Courier New" w:cs="Courier New"/>
      <w:sz w:val="20"/>
    </w:rPr>
  </w:style>
  <w:style w:type="character" w:styleId="WW8Num31z2">
    <w:name w:val="WW8Num31z2"/>
    <w:qFormat/>
    <w:rPr>
      <w:rFonts w:ascii="Wingdings" w:hAnsi="Wingdings" w:cs="Wingdings"/>
      <w:sz w:val="20"/>
    </w:rPr>
  </w:style>
  <w:style w:type="character" w:styleId="WW8Num32z0">
    <w:name w:val="WW8Num32z0"/>
    <w:qFormat/>
    <w:rPr>
      <w:rFonts w:ascii="Symbol" w:hAnsi="Symbol" w:cs="Symbol"/>
      <w:sz w:val="20"/>
    </w:rPr>
  </w:style>
  <w:style w:type="character" w:styleId="WW8Num32z1">
    <w:name w:val="WW8Num32z1"/>
    <w:qFormat/>
    <w:rPr>
      <w:rFonts w:ascii="Courier New" w:hAnsi="Courier New" w:cs="Courier New"/>
      <w:sz w:val="20"/>
    </w:rPr>
  </w:style>
  <w:style w:type="character" w:styleId="WW8Num32z2">
    <w:name w:val="WW8Num32z2"/>
    <w:qFormat/>
    <w:rPr>
      <w:rFonts w:ascii="Wingdings" w:hAnsi="Wingdings" w:cs="Wingdings"/>
      <w:sz w:val="20"/>
    </w:rPr>
  </w:style>
  <w:style w:type="character" w:styleId="WW8Num33z0">
    <w:name w:val="WW8Num33z0"/>
    <w:qFormat/>
    <w:rPr>
      <w:rFonts w:ascii="Symbol" w:hAnsi="Symbol" w:cs="Symbol"/>
      <w:sz w:val="20"/>
    </w:rPr>
  </w:style>
  <w:style w:type="character" w:styleId="WW8Num33z1">
    <w:name w:val="WW8Num33z1"/>
    <w:qFormat/>
    <w:rPr>
      <w:rFonts w:ascii="Courier New" w:hAnsi="Courier New" w:cs="Courier New"/>
      <w:sz w:val="20"/>
    </w:rPr>
  </w:style>
  <w:style w:type="character" w:styleId="WW8Num33z2">
    <w:name w:val="WW8Num33z2"/>
    <w:qFormat/>
    <w:rPr>
      <w:rFonts w:ascii="Wingdings" w:hAnsi="Wingdings" w:cs="Wingdings"/>
      <w:sz w:val="20"/>
    </w:rPr>
  </w:style>
  <w:style w:type="character" w:styleId="WW8Num35z0">
    <w:name w:val="WW8Num35z0"/>
    <w:qFormat/>
    <w:rPr>
      <w:rFonts w:ascii="Symbol" w:hAnsi="Symbol" w:cs="Symbol"/>
      <w:sz w:val="20"/>
    </w:rPr>
  </w:style>
  <w:style w:type="character" w:styleId="WW8Num35z1">
    <w:name w:val="WW8Num35z1"/>
    <w:qFormat/>
    <w:rPr>
      <w:rFonts w:ascii="Courier New" w:hAnsi="Courier New" w:cs="Courier New"/>
      <w:sz w:val="20"/>
    </w:rPr>
  </w:style>
  <w:style w:type="character" w:styleId="WW8Num35z2">
    <w:name w:val="WW8Num35z2"/>
    <w:qFormat/>
    <w:rPr>
      <w:rFonts w:ascii="Wingdings" w:hAnsi="Wingdings" w:cs="Wingdings"/>
      <w:sz w:val="20"/>
    </w:rPr>
  </w:style>
  <w:style w:type="character" w:styleId="WW8Num36z0">
    <w:name w:val="WW8Num36z0"/>
    <w:qFormat/>
    <w:rPr>
      <w:rFonts w:ascii="Symbol" w:hAnsi="Symbol" w:cs="Symbol"/>
      <w:sz w:val="20"/>
    </w:rPr>
  </w:style>
  <w:style w:type="character" w:styleId="WW8Num36z1">
    <w:name w:val="WW8Num36z1"/>
    <w:qFormat/>
    <w:rPr>
      <w:rFonts w:ascii="Courier New" w:hAnsi="Courier New" w:cs="Courier New"/>
      <w:sz w:val="20"/>
    </w:rPr>
  </w:style>
  <w:style w:type="character" w:styleId="WW8Num36z2">
    <w:name w:val="WW8Num36z2"/>
    <w:qFormat/>
    <w:rPr>
      <w:rFonts w:ascii="Wingdings" w:hAnsi="Wingdings" w:cs="Wingdings"/>
      <w:sz w:val="20"/>
    </w:rPr>
  </w:style>
  <w:style w:type="character" w:styleId="WW8Num37z0">
    <w:name w:val="WW8Num37z0"/>
    <w:qFormat/>
    <w:rPr>
      <w:rFonts w:ascii="Symbol" w:hAnsi="Symbol" w:cs="Symbol"/>
      <w:sz w:val="20"/>
    </w:rPr>
  </w:style>
  <w:style w:type="character" w:styleId="WW8Num37z1">
    <w:name w:val="WW8Num37z1"/>
    <w:qFormat/>
    <w:rPr>
      <w:rFonts w:ascii="Courier New" w:hAnsi="Courier New" w:cs="Courier New"/>
      <w:sz w:val="20"/>
    </w:rPr>
  </w:style>
  <w:style w:type="character" w:styleId="WW8Num37z2">
    <w:name w:val="WW8Num37z2"/>
    <w:qFormat/>
    <w:rPr>
      <w:rFonts w:ascii="Wingdings" w:hAnsi="Wingdings" w:cs="Wingdings"/>
      <w:sz w:val="20"/>
    </w:rPr>
  </w:style>
  <w:style w:type="character" w:styleId="WW8Num38z0">
    <w:name w:val="WW8Num38z0"/>
    <w:qFormat/>
    <w:rPr>
      <w:rFonts w:ascii="Symbol" w:hAnsi="Symbol" w:cs="Symbol"/>
      <w:sz w:val="20"/>
    </w:rPr>
  </w:style>
  <w:style w:type="character" w:styleId="WW8Num38z1">
    <w:name w:val="WW8Num38z1"/>
    <w:qFormat/>
    <w:rPr>
      <w:rFonts w:ascii="Courier New" w:hAnsi="Courier New" w:cs="Courier New"/>
      <w:sz w:val="20"/>
    </w:rPr>
  </w:style>
  <w:style w:type="character" w:styleId="WW8Num38z2">
    <w:name w:val="WW8Num38z2"/>
    <w:qFormat/>
    <w:rPr>
      <w:rFonts w:ascii="Wingdings" w:hAnsi="Wingdings" w:cs="Wingdings"/>
      <w:sz w:val="20"/>
    </w:rPr>
  </w:style>
  <w:style w:type="character" w:styleId="WW8Num39z0">
    <w:name w:val="WW8Num39z0"/>
    <w:qFormat/>
    <w:rPr>
      <w:rFonts w:ascii="Symbol" w:hAnsi="Symbol" w:cs="Symbol"/>
      <w:sz w:val="20"/>
    </w:rPr>
  </w:style>
  <w:style w:type="character" w:styleId="WW8Num39z1">
    <w:name w:val="WW8Num39z1"/>
    <w:qFormat/>
    <w:rPr>
      <w:rFonts w:ascii="Courier New" w:hAnsi="Courier New" w:cs="Courier New"/>
      <w:sz w:val="20"/>
    </w:rPr>
  </w:style>
  <w:style w:type="character" w:styleId="WW8Num39z2">
    <w:name w:val="WW8Num39z2"/>
    <w:qFormat/>
    <w:rPr>
      <w:rFonts w:ascii="Wingdings" w:hAnsi="Wingdings" w:cs="Wingdings"/>
      <w:sz w:val="20"/>
    </w:rPr>
  </w:style>
  <w:style w:type="character" w:styleId="WW8Num40z0">
    <w:name w:val="WW8Num40z0"/>
    <w:qFormat/>
    <w:rPr>
      <w:rFonts w:ascii="Symbol" w:hAnsi="Symbol" w:cs="Symbol"/>
      <w:sz w:val="20"/>
    </w:rPr>
  </w:style>
  <w:style w:type="character" w:styleId="WW8Num40z1">
    <w:name w:val="WW8Num40z1"/>
    <w:qFormat/>
    <w:rPr>
      <w:rFonts w:ascii="Courier New" w:hAnsi="Courier New" w:cs="Courier New"/>
      <w:sz w:val="20"/>
    </w:rPr>
  </w:style>
  <w:style w:type="character" w:styleId="WW8Num40z2">
    <w:name w:val="WW8Num40z2"/>
    <w:qFormat/>
    <w:rPr>
      <w:rFonts w:ascii="Wingdings" w:hAnsi="Wingdings" w:cs="Wingdings"/>
      <w:sz w:val="20"/>
    </w:rPr>
  </w:style>
  <w:style w:type="character" w:styleId="WW8Num43z0">
    <w:name w:val="WW8Num43z0"/>
    <w:qFormat/>
    <w:rPr>
      <w:rFonts w:ascii="Symbol" w:hAnsi="Symbol" w:cs="Symbol"/>
      <w:sz w:val="20"/>
    </w:rPr>
  </w:style>
  <w:style w:type="character" w:styleId="WW8Num43z1">
    <w:name w:val="WW8Num43z1"/>
    <w:qFormat/>
    <w:rPr>
      <w:rFonts w:ascii="Courier New" w:hAnsi="Courier New" w:cs="Courier New"/>
      <w:sz w:val="20"/>
    </w:rPr>
  </w:style>
  <w:style w:type="character" w:styleId="WW8Num43z2">
    <w:name w:val="WW8Num43z2"/>
    <w:qFormat/>
    <w:rPr>
      <w:rFonts w:ascii="Wingdings" w:hAnsi="Wingdings" w:cs="Wingdings"/>
      <w:sz w:val="20"/>
    </w:rPr>
  </w:style>
  <w:style w:type="character" w:styleId="WW8Num44z0">
    <w:name w:val="WW8Num44z0"/>
    <w:qFormat/>
    <w:rPr>
      <w:rFonts w:ascii="Symbol" w:hAnsi="Symbol" w:cs="Symbol"/>
      <w:sz w:val="20"/>
    </w:rPr>
  </w:style>
  <w:style w:type="character" w:styleId="WW8Num44z1">
    <w:name w:val="WW8Num44z1"/>
    <w:qFormat/>
    <w:rPr>
      <w:rFonts w:ascii="Courier New" w:hAnsi="Courier New" w:cs="Courier New"/>
      <w:sz w:val="20"/>
    </w:rPr>
  </w:style>
  <w:style w:type="character" w:styleId="WW8Num44z2">
    <w:name w:val="WW8Num44z2"/>
    <w:qFormat/>
    <w:rPr>
      <w:rFonts w:ascii="Wingdings" w:hAnsi="Wingdings" w:cs="Wingdings"/>
      <w:sz w:val="20"/>
    </w:rPr>
  </w:style>
  <w:style w:type="character" w:styleId="WW8Num45z0">
    <w:name w:val="WW8Num45z0"/>
    <w:qFormat/>
    <w:rPr>
      <w:b/>
      <w:bCs w:val="false"/>
    </w:rPr>
  </w:style>
  <w:style w:type="character" w:styleId="WW8Num46z0">
    <w:name w:val="WW8Num46z0"/>
    <w:qFormat/>
    <w:rPr>
      <w:rFonts w:ascii="Symbol" w:hAnsi="Symbol" w:cs="Symbol"/>
    </w:rPr>
  </w:style>
  <w:style w:type="character" w:styleId="WW8Num47z0">
    <w:name w:val="WW8Num47z0"/>
    <w:qFormat/>
    <w:rPr>
      <w:rFonts w:ascii="Symbol" w:hAnsi="Symbol" w:cs="Symbol"/>
      <w:sz w:val="20"/>
    </w:rPr>
  </w:style>
  <w:style w:type="character" w:styleId="WW8Num47z1">
    <w:name w:val="WW8Num47z1"/>
    <w:qFormat/>
    <w:rPr>
      <w:rFonts w:ascii="Courier New" w:hAnsi="Courier New" w:cs="Courier New"/>
      <w:sz w:val="20"/>
    </w:rPr>
  </w:style>
  <w:style w:type="character" w:styleId="WW8Num47z2">
    <w:name w:val="WW8Num47z2"/>
    <w:qFormat/>
    <w:rPr>
      <w:rFonts w:ascii="Wingdings" w:hAnsi="Wingdings" w:cs="Wingdings"/>
      <w:sz w:val="20"/>
    </w:rPr>
  </w:style>
  <w:style w:type="character" w:styleId="WW8Num48z0">
    <w:name w:val="WW8Num48z0"/>
    <w:qFormat/>
    <w:rPr>
      <w:rFonts w:ascii="Symbol" w:hAnsi="Symbol" w:cs="Symbol"/>
      <w:sz w:val="20"/>
    </w:rPr>
  </w:style>
  <w:style w:type="character" w:styleId="WW8Num48z1">
    <w:name w:val="WW8Num48z1"/>
    <w:qFormat/>
    <w:rPr>
      <w:rFonts w:ascii="Courier New" w:hAnsi="Courier New" w:cs="Courier New"/>
      <w:sz w:val="20"/>
    </w:rPr>
  </w:style>
  <w:style w:type="character" w:styleId="WW8Num48z2">
    <w:name w:val="WW8Num48z2"/>
    <w:qFormat/>
    <w:rPr>
      <w:rFonts w:ascii="Wingdings" w:hAnsi="Wingdings" w:cs="Wingdings"/>
      <w:sz w:val="20"/>
    </w:rPr>
  </w:style>
  <w:style w:type="character" w:styleId="WW8Num49z0">
    <w:name w:val="WW8Num49z0"/>
    <w:qFormat/>
    <w:rPr>
      <w:rFonts w:ascii="Symbol" w:hAnsi="Symbol" w:cs="Symbol"/>
    </w:rPr>
  </w:style>
  <w:style w:type="character" w:styleId="WW8Num50z0">
    <w:name w:val="WW8Num50z0"/>
    <w:qFormat/>
    <w:rPr>
      <w:rFonts w:ascii="Symbol" w:hAnsi="Symbol" w:cs="Symbol"/>
    </w:rPr>
  </w:style>
  <w:style w:type="character" w:styleId="Policepardfaut">
    <w:name w:val="Police par défaut"/>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2z0">
    <w:name w:val="WW8Num12z0"/>
    <w:qFormat/>
    <w:rPr/>
  </w:style>
  <w:style w:type="character" w:styleId="CorpsdetexteCar">
    <w:name w:val="Corps de texte Car"/>
    <w:qFormat/>
    <w:rPr>
      <w:sz w:val="24"/>
    </w:rPr>
  </w:style>
  <w:style w:type="character" w:styleId="Corpsdetexte3Car">
    <w:name w:val="Corps de texte 3 Car"/>
    <w:qFormat/>
    <w:rPr>
      <w:sz w:val="16"/>
      <w:szCs w:val="16"/>
    </w:rPr>
  </w:style>
  <w:style w:type="character" w:styleId="TextedebullesCar">
    <w:name w:val="Texte de bulles Car"/>
    <w:qFormat/>
    <w:rPr>
      <w:rFonts w:ascii="Tahoma" w:hAnsi="Tahoma" w:cs="Tahoma"/>
      <w:sz w:val="16"/>
      <w:szCs w:val="16"/>
    </w:rPr>
  </w:style>
  <w:style w:type="character" w:styleId="NotedebasdepageCar">
    <w:name w:val="Note de bas de page Car"/>
    <w:basedOn w:val="Policepardfaut"/>
    <w:qFormat/>
    <w:rPr/>
  </w:style>
  <w:style w:type="character" w:styleId="FootnoteCharacters">
    <w:name w:val="Footnote Characters"/>
    <w:qFormat/>
    <w:rPr>
      <w:vertAlign w:val="superscript"/>
    </w:rPr>
  </w:style>
  <w:style w:type="character" w:styleId="Titre2Car">
    <w:name w:val="Titre 2 Car"/>
    <w:qFormat/>
    <w:rPr>
      <w:rFonts w:ascii="Cambria" w:hAnsi="Cambria" w:cs="Cambria"/>
      <w:b/>
      <w:bCs/>
      <w:i/>
      <w:iCs/>
      <w:sz w:val="28"/>
      <w:szCs w:val="28"/>
      <w:lang w:val="fr-FR"/>
    </w:rPr>
  </w:style>
  <w:style w:type="character" w:styleId="En-tteCar">
    <w:name w:val="En-tête Car"/>
    <w:qFormat/>
    <w:rPr>
      <w:sz w:val="24"/>
      <w:szCs w:val="24"/>
    </w:rPr>
  </w:style>
  <w:style w:type="character" w:styleId="PieddepageCar">
    <w:name w:val="Pied de page Car"/>
    <w:qFormat/>
    <w:rPr>
      <w:rFonts w:ascii="Arial" w:hAnsi="Arial" w:cs="Arial"/>
      <w:sz w:val="24"/>
      <w:szCs w:val="24"/>
    </w:rPr>
  </w:style>
  <w:style w:type="character" w:styleId="Titre3Car">
    <w:name w:val="Titre 3 Car"/>
    <w:qFormat/>
    <w:rPr>
      <w:rFonts w:ascii="Cambria" w:hAnsi="Cambria" w:cs="Cambria"/>
      <w:b/>
      <w:bCs/>
      <w:sz w:val="26"/>
      <w:szCs w:val="26"/>
      <w:lang w:val="fr-FR"/>
    </w:rPr>
  </w:style>
  <w:style w:type="character" w:styleId="Hyperlink">
    <w:name w:val="Hyperlink"/>
    <w:rPr>
      <w:color w:val="0000FF"/>
      <w:u w:val="single"/>
    </w:rPr>
  </w:style>
  <w:style w:type="character" w:styleId="SansinterligneCar">
    <w:name w:val="Sans interligne Car"/>
    <w:qFormat/>
    <w:rPr>
      <w:rFonts w:ascii="Aptos;Arial" w:hAnsi="Aptos;Arial" w:cs="Aptos;Arial"/>
      <w:sz w:val="22"/>
      <w:szCs w:val="22"/>
      <w:lang w:bidi="ar-SA"/>
    </w:rPr>
  </w:style>
  <w:style w:type="character" w:styleId="Titre1Car">
    <w:name w:val="Titre 1 Car"/>
    <w:qFormat/>
    <w:rPr>
      <w:rFonts w:ascii="Arial" w:hAnsi="Arial" w:cs="Arial"/>
      <w:b/>
      <w:bCs/>
      <w:kern w:val="2"/>
      <w:sz w:val="32"/>
      <w:szCs w:val="32"/>
      <w:lang w:val="fr-FR"/>
    </w:rPr>
  </w:style>
  <w:style w:type="character" w:styleId="Titre5Car">
    <w:name w:val="Titre 5 Car"/>
    <w:qFormat/>
    <w:rPr>
      <w:rFonts w:ascii="Aptos;Arial" w:hAnsi="Aptos;Arial" w:cs="Aptos;Arial"/>
      <w:b/>
      <w:bCs/>
      <w:i/>
      <w:iCs/>
      <w:sz w:val="26"/>
      <w:szCs w:val="26"/>
      <w:lang w:val="fr-FR"/>
    </w:rPr>
  </w:style>
  <w:style w:type="character" w:styleId="Titre4Car">
    <w:name w:val="Titre 4 Car"/>
    <w:qFormat/>
    <w:rPr>
      <w:rFonts w:ascii="Aptos;Arial" w:hAnsi="Aptos;Arial" w:cs="Aptos;Arial"/>
      <w:b/>
      <w:bCs/>
      <w:sz w:val="28"/>
      <w:szCs w:val="28"/>
      <w:lang w:val="fr-FR"/>
    </w:rPr>
  </w:style>
  <w:style w:type="character" w:styleId="Titre6Car">
    <w:name w:val="Titre 6 Car"/>
    <w:qFormat/>
    <w:rPr>
      <w:rFonts w:ascii="Aptos;Arial" w:hAnsi="Aptos;Arial" w:cs="Aptos;Arial"/>
      <w:b/>
      <w:bCs/>
      <w:sz w:val="22"/>
      <w:szCs w:val="22"/>
      <w:lang w:val="fr-FR"/>
    </w:rPr>
  </w:style>
  <w:style w:type="character" w:styleId="Titre7Car">
    <w:name w:val="Titre 7 Car"/>
    <w:qFormat/>
    <w:rPr>
      <w:rFonts w:ascii="Aptos;Arial" w:hAnsi="Aptos;Arial" w:cs="Aptos;Arial"/>
      <w:sz w:val="24"/>
      <w:szCs w:val="24"/>
      <w:lang w:val="fr-FR"/>
    </w:rPr>
  </w:style>
  <w:style w:type="character" w:styleId="Titre8Car">
    <w:name w:val="Titre 8 Car"/>
    <w:qFormat/>
    <w:rPr>
      <w:rFonts w:ascii="Aptos;Arial" w:hAnsi="Aptos;Arial" w:cs="Aptos;Arial"/>
      <w:i/>
      <w:iCs/>
      <w:sz w:val="24"/>
      <w:szCs w:val="24"/>
      <w:lang w:val="fr-FR"/>
    </w:rPr>
  </w:style>
  <w:style w:type="character" w:styleId="Titre9Car">
    <w:name w:val="Titre 9 Car"/>
    <w:qFormat/>
    <w:rPr>
      <w:rFonts w:ascii="Aptos Display" w:hAnsi="Aptos Display" w:cs="Aptos Display"/>
      <w:sz w:val="22"/>
      <w:szCs w:val="22"/>
      <w:lang w:val="fr-FR"/>
    </w:rPr>
  </w:style>
  <w:style w:type="character" w:styleId="whitespace-nowrap">
    <w:name w:val="whitespace-nowrap"/>
    <w:qFormat/>
    <w:rPr/>
  </w:style>
  <w:style w:type="character" w:styleId="relative">
    <w:name w:val="relative"/>
    <w:qFormat/>
    <w:rPr/>
  </w:style>
  <w:style w:type="character" w:styleId="Strong">
    <w:name w:val="Strong"/>
    <w:qFormat/>
    <w:rPr>
      <w:b/>
      <w:bCs/>
    </w:rPr>
  </w:style>
  <w:style w:type="character" w:styleId="hoverbg-super">
    <w:name w:val="hover:bg-super"/>
    <w:qFormat/>
    <w:rPr/>
  </w:style>
  <w:style w:type="character" w:styleId="IndexLink">
    <w:name w:val="Index Link"/>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Arial" w:hAnsi="Liberation Sans;Arial" w:eastAsia="Noto Sans CJK SC" w:cs="DejaVu Sans;Times New Roman"/>
      <w:sz w:val="28"/>
      <w:szCs w:val="28"/>
    </w:rPr>
  </w:style>
  <w:style w:type="paragraph" w:styleId="BodyText">
    <w:name w:val="Body Text"/>
    <w:basedOn w:val="Normal"/>
    <w:pPr>
      <w:jc w:val="both"/>
    </w:pPr>
    <w:rPr>
      <w:szCs w:val="20"/>
      <w:lang w:val="en-US"/>
    </w:rPr>
  </w:style>
  <w:style w:type="paragraph" w:styleId="List">
    <w:name w:val="List"/>
    <w:basedOn w:val="BodyText"/>
    <w:pPr/>
    <w:rPr>
      <w:rFonts w:cs="DejaVu Sans;Times New Roman"/>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DejaVu Sans;Times New Roman"/>
    </w:rPr>
  </w:style>
  <w:style w:type="paragraph" w:styleId="Lgende">
    <w:name w:val="Légende"/>
    <w:basedOn w:val="Normal"/>
    <w:next w:val="Normal"/>
    <w:qFormat/>
    <w:pPr/>
    <w:rPr>
      <w:rFonts w:ascii="Arial" w:hAnsi="Arial" w:cs="Arial"/>
      <w:b/>
      <w:bCs/>
      <w:sz w:val="20"/>
      <w:szCs w:val="20"/>
    </w:rPr>
  </w:style>
  <w:style w:type="paragraph" w:styleId="HeaderandFooter">
    <w:name w:val="Header and Footer"/>
    <w:basedOn w:val="Normal"/>
    <w:qFormat/>
    <w:pPr>
      <w:suppressLineNumbers/>
    </w:pPr>
    <w:rPr/>
  </w:style>
  <w:style w:type="paragraph" w:styleId="Footer">
    <w:name w:val="Footer"/>
    <w:basedOn w:val="Normal"/>
    <w:pPr/>
    <w:rPr>
      <w:rFonts w:ascii="Arial" w:hAnsi="Arial" w:cs="Arial"/>
      <w:lang w:val="en-US"/>
    </w:rPr>
  </w:style>
  <w:style w:type="paragraph" w:styleId="Header">
    <w:name w:val="Header"/>
    <w:basedOn w:val="Normal"/>
    <w:pPr/>
    <w:rPr>
      <w:lang w:val="en-US"/>
    </w:rPr>
  </w:style>
  <w:style w:type="paragraph" w:styleId="spip">
    <w:name w:val="spip"/>
    <w:basedOn w:val="Normal"/>
    <w:qFormat/>
    <w:pPr>
      <w:spacing w:before="280" w:after="280"/>
    </w:pPr>
    <w:rPr/>
  </w:style>
  <w:style w:type="paragraph" w:styleId="Paragraphedeliste">
    <w:name w:val="Paragraphe de liste"/>
    <w:basedOn w:val="Normal"/>
    <w:qFormat/>
    <w:pPr>
      <w:spacing w:lineRule="auto" w:line="276" w:before="0" w:after="200"/>
      <w:ind w:hanging="0" w:left="720" w:right="0"/>
      <w:contextualSpacing/>
    </w:pPr>
    <w:rPr>
      <w:rFonts w:ascii="Calibri" w:hAnsi="Calibri" w:eastAsia="Calibri" w:cs="Calibri"/>
      <w:sz w:val="22"/>
      <w:szCs w:val="22"/>
    </w:rPr>
  </w:style>
  <w:style w:type="paragraph" w:styleId="Corpsdetexte3">
    <w:name w:val="Corps de texte 3"/>
    <w:basedOn w:val="Normal"/>
    <w:qFormat/>
    <w:pPr>
      <w:spacing w:before="0" w:after="120"/>
    </w:pPr>
    <w:rPr>
      <w:sz w:val="16"/>
      <w:szCs w:val="16"/>
      <w:lang w:val="en-US"/>
    </w:rPr>
  </w:style>
  <w:style w:type="paragraph" w:styleId="NormalWeb">
    <w:name w:val="Normal (Web)"/>
    <w:basedOn w:val="Normal"/>
    <w:qFormat/>
    <w:pPr>
      <w:spacing w:before="280" w:after="280"/>
    </w:pPr>
    <w:rPr/>
  </w:style>
  <w:style w:type="paragraph" w:styleId="xl24">
    <w:name w:val="xl24"/>
    <w:basedOn w:val="Normal"/>
    <w:qFormat/>
    <w:pPr>
      <w:spacing w:before="100" w:after="100"/>
    </w:pPr>
    <w:rPr>
      <w:rFonts w:ascii="Arial" w:hAnsi="Arial" w:cs="Arial"/>
      <w:sz w:val="16"/>
      <w:szCs w:val="20"/>
      <w:lang w:val="en-US"/>
    </w:rPr>
  </w:style>
  <w:style w:type="paragraph" w:styleId="Textedebulles">
    <w:name w:val="Texte de bulles"/>
    <w:basedOn w:val="Normal"/>
    <w:qFormat/>
    <w:pPr/>
    <w:rPr>
      <w:rFonts w:ascii="Tahoma" w:hAnsi="Tahoma" w:cs="Tahoma"/>
      <w:sz w:val="16"/>
      <w:szCs w:val="16"/>
      <w:lang w:val="en-US"/>
    </w:rPr>
  </w:style>
  <w:style w:type="paragraph" w:styleId="Rvision">
    <w:name w:val="Révision"/>
    <w:qFormat/>
    <w:pPr>
      <w:widowControl/>
      <w:suppressAutoHyphens w:val="true"/>
      <w:bidi w:val="0"/>
      <w:spacing w:before="0" w:after="0"/>
      <w:jc w:val="left"/>
    </w:pPr>
    <w:rPr>
      <w:rFonts w:ascii="Times New Roman" w:hAnsi="Times New Roman" w:eastAsia="Times New Roman" w:cs="Times New Roman"/>
      <w:color w:val="auto"/>
      <w:kern w:val="0"/>
      <w:sz w:val="24"/>
      <w:szCs w:val="24"/>
      <w:lang w:val="fr-FR" w:eastAsia="zh-CN" w:bidi="ar-SA"/>
    </w:rPr>
  </w:style>
  <w:style w:type="paragraph" w:styleId="FootnoteText">
    <w:name w:val="Footnote Text"/>
    <w:basedOn w:val="Normal"/>
    <w:pPr/>
    <w:rPr>
      <w:sz w:val="20"/>
      <w:szCs w:val="20"/>
    </w:rPr>
  </w:style>
  <w:style w:type="paragraph" w:styleId="5F6AEA512CC74B80B78940AC4F74C285">
    <w:name w:val="5F6AEA512CC74B80B78940AC4F74C285"/>
    <w:qFormat/>
    <w:pPr>
      <w:widowControl/>
      <w:suppressAutoHyphens w:val="true"/>
      <w:bidi w:val="0"/>
      <w:spacing w:lineRule="auto" w:line="276" w:before="0" w:after="200"/>
      <w:jc w:val="left"/>
    </w:pPr>
    <w:rPr>
      <w:rFonts w:ascii="Calibri" w:hAnsi="Calibri" w:eastAsia="Times New Roman" w:cs="Calibri"/>
      <w:color w:val="auto"/>
      <w:kern w:val="0"/>
      <w:sz w:val="22"/>
      <w:szCs w:val="22"/>
      <w:lang w:val="en-US" w:eastAsia="zh-CN" w:bidi="ar-SA"/>
    </w:rPr>
  </w:style>
  <w:style w:type="paragraph" w:styleId="En-ttedetabledesmatires">
    <w:name w:val="En-tête de table des matières"/>
    <w:basedOn w:val="Heading1"/>
    <w:next w:val="Normal"/>
    <w:qFormat/>
    <w:pPr>
      <w:keepLines/>
      <w:numPr>
        <w:ilvl w:val="0"/>
        <w:numId w:val="14"/>
      </w:numPr>
      <w:spacing w:lineRule="auto" w:line="276" w:before="480" w:after="0"/>
      <w:outlineLvl w:val="9"/>
    </w:pPr>
    <w:rPr>
      <w:rFonts w:ascii="Cambria" w:hAnsi="Cambria" w:eastAsia="Times New Roman" w:cs="Times New Roman"/>
      <w:color w:val="365F91"/>
      <w:kern w:val="0"/>
      <w:sz w:val="28"/>
      <w:szCs w:val="28"/>
    </w:rPr>
  </w:style>
  <w:style w:type="paragraph" w:styleId="TOC1">
    <w:name w:val="TOC 1"/>
    <w:basedOn w:val="Normal"/>
    <w:next w:val="Normal"/>
    <w:pPr>
      <w:spacing w:before="120" w:after="120"/>
    </w:pPr>
    <w:rPr>
      <w:rFonts w:ascii="Cambria" w:hAnsi="Cambria" w:eastAsia="Times New Roman" w:cs="Times New Roman"/>
      <w:b/>
      <w:bCs/>
      <w:caps/>
      <w:lang w:val="en-US"/>
    </w:rPr>
  </w:style>
  <w:style w:type="paragraph" w:styleId="TOC2">
    <w:name w:val="TOC 2"/>
    <w:basedOn w:val="Normal"/>
    <w:next w:val="Normal"/>
    <w:pPr>
      <w:ind w:hanging="0" w:left="240" w:right="0"/>
    </w:pPr>
    <w:rPr>
      <w:rFonts w:ascii="Trebuchet MS" w:hAnsi="Trebuchet MS" w:cs="Trebuchet MS"/>
      <w:lang w:val="en-US"/>
    </w:rPr>
  </w:style>
  <w:style w:type="paragraph" w:styleId="TOC3">
    <w:name w:val="TOC 3"/>
    <w:basedOn w:val="Normal"/>
    <w:next w:val="Normal"/>
    <w:pPr>
      <w:ind w:hanging="0" w:left="480" w:right="0"/>
    </w:pPr>
    <w:rPr>
      <w:rFonts w:ascii="Trebuchet MS" w:hAnsi="Trebuchet MS" w:cs="Trebuchet MS"/>
      <w:lang w:val="en-US"/>
    </w:rPr>
  </w:style>
  <w:style w:type="paragraph" w:styleId="Sansinterligne">
    <w:name w:val="Sans interligne"/>
    <w:qFormat/>
    <w:pPr>
      <w:widowControl/>
      <w:suppressAutoHyphens w:val="true"/>
      <w:bidi w:val="0"/>
      <w:spacing w:before="0" w:after="0"/>
      <w:jc w:val="left"/>
    </w:pPr>
    <w:rPr>
      <w:rFonts w:ascii="Aptos;Arial" w:hAnsi="Aptos;Arial" w:eastAsia="Times New Roman" w:cs="Aptos;Arial"/>
      <w:color w:val="auto"/>
      <w:kern w:val="0"/>
      <w:sz w:val="22"/>
      <w:szCs w:val="22"/>
      <w:lang w:val="en-US" w:eastAsia="zh-CN" w:bidi="ar-SA"/>
    </w:rPr>
  </w:style>
  <w:style w:type="paragraph" w:styleId="Informationsdecontact">
    <w:name w:val="Informations de contact"/>
    <w:basedOn w:val="Sansinterligne"/>
    <w:qFormat/>
    <w:pPr/>
    <w:rPr>
      <w:rFonts w:ascii="Garamond" w:hAnsi="Garamond" w:eastAsia="Times New Roman" w:cs="Times New Roman"/>
      <w:color w:val="FFFFFF"/>
      <w:lang w:eastAsia="ja-JP"/>
    </w:rPr>
  </w:style>
  <w:style w:type="paragraph" w:styleId="Espacedutableau">
    <w:name w:val="Espace du tableau"/>
    <w:basedOn w:val="Sansinterligne"/>
    <w:qFormat/>
    <w:pPr>
      <w:spacing w:lineRule="exact" w:line="14"/>
    </w:pPr>
    <w:rPr>
      <w:rFonts w:ascii="Garamond" w:hAnsi="Garamond" w:eastAsia="Times New Roman" w:cs="Times New Roman"/>
      <w:color w:val="44546A"/>
      <w:sz w:val="20"/>
      <w:szCs w:val="20"/>
      <w:lang w:eastAsia="ja-JP"/>
    </w:rPr>
  </w:style>
  <w:style w:type="paragraph" w:styleId="my-0">
    <w:name w:val="my-0"/>
    <w:basedOn w:val="Normal"/>
    <w:qFormat/>
    <w:pPr>
      <w:spacing w:before="280" w:after="280"/>
    </w:pPr>
    <w:rPr>
      <w:lang w:val="fr-C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ds-markdown-paragraph">
    <w:name w:val="ds-markdown-paragraph"/>
    <w:basedOn w:val="Normal"/>
    <w:qFormat/>
    <w:pPr>
      <w:suppressAutoHyphens w:val="false"/>
      <w:spacing w:before="280" w:after="280"/>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 Id="rId3"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104</TotalTime>
  <Application>LibreOffice/24.2.7.2$Linux_X86_64 LibreOffice_project/420$Build-2</Application>
  <AppVersion>15.0000</AppVersion>
  <Pages>20</Pages>
  <Words>6729</Words>
  <Characters>31656</Characters>
  <CharactersWithSpaces>36786</CharactersWithSpaces>
  <Paragraphs>1575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2026-10-07T20:43:00Z</dcterms:created>
  <dc:creator>STEP</dc:creator>
  <dc:description/>
  <dc:language>en-US</dc:language>
  <cp:lastModifiedBy/>
  <cp:lastPrinted>2025-07-23T09:16:00Z</cp:lastPrinted>
  <dcterms:modified xsi:type="dcterms:W3CDTF">2026-10-15T16:58:43Z</dcterms:modified>
  <cp:revision>5</cp:revision>
  <dc:subject/>
  <dc:title>DATE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deb7872d-a8b8-4298-b807-425d0acd600d</vt:lpwstr>
  </property>
  <property fmtid="{D5CDD505-2E9C-101B-9397-08002B2CF9AE}" pid="3" name="TaxCatchAll">
    <vt:lpwstr/>
  </property>
  <property fmtid="{D5CDD505-2E9C-101B-9397-08002B2CF9AE}" pid="4" name="lcf76f155ced4ddcb4097134ff3c332f">
    <vt:lpwstr/>
  </property>
</Properties>
</file>