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r>
    </w:p>
    <w:p>
      <w:pPr>
        <w:pStyle w:val="Normal"/>
        <w:pBdr>
          <w:bottom w:val="double" w:sz="4" w:space="1" w:color="000000"/>
        </w:pBdr>
        <w:rPr>
          <w:sz w:val="2"/>
          <w:szCs w:val="2"/>
        </w:rPr>
      </w:pPr>
      <w:r>
        <w:rPr>
          <w:sz w:val="2"/>
          <w:szCs w:val="2"/>
        </w:rPr>
      </w:r>
    </w:p>
    <w:p>
      <w:pPr>
        <w:pStyle w:val="Normal"/>
        <w:rPr>
          <w:sz w:val="2"/>
          <w:szCs w:val="2"/>
        </w:rPr>
      </w:pPr>
      <w:r>
        <w:rPr>
          <w:sz w:val="2"/>
          <w:szCs w:val="2"/>
        </w:rPr>
      </w:r>
    </w:p>
    <w:p>
      <w:pPr>
        <w:pStyle w:val="Normal"/>
        <w:rPr>
          <w:b/>
          <w:i/>
          <w:i/>
          <w:sz w:val="52"/>
          <w:szCs w:val="32"/>
        </w:rPr>
      </w:pPr>
      <w:r>
        <w:rPr>
          <w:b/>
          <w:i/>
          <w:sz w:val="52"/>
          <w:szCs w:val="32"/>
        </w:rPr>
        <w:t xml:space="preserve">         </w:t>
      </w:r>
      <w:r>
        <w:rPr>
          <w:b/>
          <w:i/>
          <w:sz w:val="52"/>
          <w:szCs w:val="32"/>
        </w:rPr>
        <mc:AlternateContent>
          <mc:Choice Requires="wps">
            <w:drawing>
              <wp:anchor behindDoc="0" distT="0" distB="0" distL="176530" distR="177165" simplePos="0" locked="0" layoutInCell="0" allowOverlap="1" relativeHeight="10">
                <wp:simplePos x="0" y="0"/>
                <wp:positionH relativeFrom="margin">
                  <wp:posOffset>-453390</wp:posOffset>
                </wp:positionH>
                <wp:positionV relativeFrom="page">
                  <wp:posOffset>3394710</wp:posOffset>
                </wp:positionV>
                <wp:extent cx="6863080" cy="1239520"/>
                <wp:effectExtent l="6350" t="6350" r="81915" b="81915"/>
                <wp:wrapSquare wrapText="bothSides"/>
                <wp:docPr id="1" name="Frame1"/>
                <a:graphic xmlns:a="http://schemas.openxmlformats.org/drawingml/2006/main">
                  <a:graphicData uri="http://schemas.microsoft.com/office/word/2010/wordprocessingShape">
                    <wps:wsp>
                      <wps:cNvSpPr/>
                      <wps:spPr>
                        <a:xfrm>
                          <a:off x="0" y="0"/>
                          <a:ext cx="6863040" cy="1239480"/>
                        </a:xfrm>
                        <a:prstGeom prst="rect">
                          <a:avLst/>
                        </a:prstGeom>
                        <a:gradFill rotWithShape="0">
                          <a:gsLst>
                            <a:gs pos="0">
                              <a:srgbClr val="ffffff"/>
                            </a:gs>
                            <a:gs pos="100000">
                              <a:srgbClr val="95dcf7"/>
                            </a:gs>
                          </a:gsLst>
                          <a:lin ang="5400000"/>
                        </a:gradFill>
                        <a:ln w="12700">
                          <a:solidFill>
                            <a:srgbClr val="60caf3"/>
                          </a:solidFill>
                          <a:round/>
                        </a:ln>
                        <a:effectLst>
                          <a:outerShdw dir="2700000" dist="106914">
                            <a:srgbClr val="074e69"/>
                          </a:outerShdw>
                        </a:effectLst>
                      </wps:spPr>
                      <wps:style>
                        <a:lnRef idx="0"/>
                        <a:fillRef idx="0"/>
                        <a:effectRef idx="0"/>
                        <a:fontRef idx="minor"/>
                      </wps:style>
                      <wps:txbx>
                        <w:txbxContent>
                          <w:p>
                            <w:pPr>
                              <w:pStyle w:val="Sansinterligne"/>
                              <w:spacing w:lineRule="auto" w:line="216" w:before="40" w:after="560"/>
                              <w:jc w:val="center"/>
                              <w:rPr>
                                <w:rFonts w:ascii="Cambria" w:hAnsi="Cambria" w:cs="Cambria"/>
                                <w:b/>
                                <w:bCs/>
                                <w:color w:val="156082"/>
                                <w:sz w:val="36"/>
                                <w:szCs w:val="36"/>
                                <w:lang w:val="fr-FR"/>
                              </w:rPr>
                            </w:pPr>
                            <w:r>
                              <w:rPr>
                                <w:rFonts w:cs="Times New Roman" w:ascii="Times New Roman" w:hAnsi="Times New Roman"/>
                                <w:b/>
                                <w:bCs/>
                                <w:sz w:val="36"/>
                                <w:szCs w:val="36"/>
                                <w:lang w:val="fr-FR"/>
                              </w:rPr>
                              <w:t>ZÉRÉ DÉLICE D’ISSA</w:t>
                            </w:r>
                            <w:r>
                              <w:rPr>
                                <w:rFonts w:cs="Cambria" w:ascii="Cambria" w:hAnsi="Cambria"/>
                                <w:b/>
                                <w:bCs/>
                                <w:color w:val="156082"/>
                                <w:sz w:val="36"/>
                                <w:szCs w:val="36"/>
                                <w:lang w:val="fr-FR"/>
                              </w:rPr>
                              <w:t xml:space="preserve"> </w:t>
                            </w:r>
                          </w:p>
                          <w:p>
                            <w:pPr>
                              <w:pStyle w:val="Sansinterligne"/>
                              <w:spacing w:lineRule="auto" w:line="216" w:before="40" w:after="560"/>
                              <w:jc w:val="center"/>
                              <w:rPr>
                                <w:rFonts w:ascii="Times New Roman" w:hAnsi="Times New Roman" w:cs="Times New Roman"/>
                                <w:b/>
                                <w:bCs/>
                                <w:sz w:val="36"/>
                                <w:szCs w:val="36"/>
                                <w:lang w:val="fr-FR"/>
                              </w:rPr>
                            </w:pPr>
                            <w:r>
                              <w:rPr>
                                <w:rFonts w:cs="Cambria" w:ascii="Cambria" w:hAnsi="Cambria"/>
                                <w:b/>
                                <w:bCs/>
                                <w:color w:val="156082"/>
                                <w:sz w:val="36"/>
                                <w:szCs w:val="36"/>
                                <w:lang w:val="fr-FR"/>
                              </w:rPr>
                              <w:t xml:space="preserve">Création d’une Entreprise de </w:t>
                            </w:r>
                            <w:r>
                              <w:rPr>
                                <w:b/>
                                <w:bCs/>
                                <w:color w:val="156082"/>
                                <w:sz w:val="36"/>
                                <w:szCs w:val="36"/>
                                <w:lang w:val="fr-FR"/>
                              </w:rPr>
                              <w:t>Production et commercialisation de pastèque</w:t>
                            </w:r>
                          </w:p>
                          <w:p>
                            <w:pPr>
                              <w:pStyle w:val="Sansinterligne"/>
                              <w:spacing w:lineRule="auto" w:line="216" w:before="40" w:after="560"/>
                              <w:jc w:val="center"/>
                              <w:rPr>
                                <w:rFonts w:ascii="Cambria" w:hAnsi="Cambria" w:cs="Cambria"/>
                                <w:b/>
                                <w:bCs/>
                                <w:color w:val="156082"/>
                                <w:sz w:val="36"/>
                                <w:szCs w:val="36"/>
                                <w:lang w:val="fr-FR"/>
                              </w:rPr>
                            </w:pPr>
                            <w:r>
                              <w:rPr>
                                <w:rFonts w:cs="Cambria" w:ascii="Cambria" w:hAnsi="Cambria"/>
                                <w:b/>
                                <w:bCs/>
                                <w:color w:val="156082"/>
                                <w:sz w:val="36"/>
                                <w:szCs w:val="36"/>
                                <w:lang w:val="fr-FR"/>
                              </w:rPr>
                            </w:r>
                          </w:p>
                          <w:p>
                            <w:pPr>
                              <w:pStyle w:val="Sansinterligne"/>
                              <w:spacing w:before="40" w:after="40"/>
                              <w:rPr>
                                <w:rFonts w:ascii="Cambria" w:hAnsi="Cambria" w:cs="Cambria"/>
                                <w:b/>
                                <w:bCs/>
                                <w:caps/>
                                <w:color w:val="501549"/>
                                <w:sz w:val="28"/>
                                <w:szCs w:val="28"/>
                                <w:lang w:val="fr-FR"/>
                              </w:rPr>
                            </w:pPr>
                            <w:r>
                              <w:rPr/>
                            </w:r>
                          </w:p>
                        </w:txbxContent>
                      </wps:txbx>
                      <wps:bodyPr lIns="0" rIns="0" tIns="0" bIns="0" anchor="t">
                        <a:noAutofit/>
                      </wps:bodyPr>
                    </wps:wsp>
                  </a:graphicData>
                </a:graphic>
              </wp:anchor>
            </w:drawing>
          </mc:Choice>
          <mc:Fallback>
            <w:pict>
              <v:rect id="shape_0" ID="Frame1" path="m0,0l-2147483645,0l-2147483645,-2147483646l0,-2147483646xe" fillcolor="#95dcf7" stroked="t" o:allowincell="f" style="position:absolute;margin-left:-35.7pt;margin-top:267.3pt;width:540.35pt;height:97.55pt;mso-wrap-style:square;v-text-anchor:top;mso-position-horizontal-relative:margin;mso-position-vertical-relative:page">
                <v:fill o:detectmouseclick="t" color2="white"/>
                <v:stroke color="#60caf3" weight="12600" joinstyle="round" endcap="flat"/>
                <v:shadow on="t" obscured="f" color="#074e69"/>
                <v:textbox>
                  <w:txbxContent>
                    <w:p>
                      <w:pPr>
                        <w:pStyle w:val="Sansinterligne"/>
                        <w:spacing w:lineRule="auto" w:line="216" w:before="40" w:after="560"/>
                        <w:jc w:val="center"/>
                        <w:rPr>
                          <w:rFonts w:ascii="Cambria" w:hAnsi="Cambria" w:cs="Cambria"/>
                          <w:b/>
                          <w:bCs/>
                          <w:color w:val="156082"/>
                          <w:sz w:val="36"/>
                          <w:szCs w:val="36"/>
                          <w:lang w:val="fr-FR"/>
                        </w:rPr>
                      </w:pPr>
                      <w:r>
                        <w:rPr>
                          <w:rFonts w:cs="Times New Roman" w:ascii="Times New Roman" w:hAnsi="Times New Roman"/>
                          <w:b/>
                          <w:bCs/>
                          <w:sz w:val="36"/>
                          <w:szCs w:val="36"/>
                          <w:lang w:val="fr-FR"/>
                        </w:rPr>
                        <w:t>ZÉRÉ DÉLICE D’ISSA</w:t>
                      </w:r>
                      <w:r>
                        <w:rPr>
                          <w:rFonts w:cs="Cambria" w:ascii="Cambria" w:hAnsi="Cambria"/>
                          <w:b/>
                          <w:bCs/>
                          <w:color w:val="156082"/>
                          <w:sz w:val="36"/>
                          <w:szCs w:val="36"/>
                          <w:lang w:val="fr-FR"/>
                        </w:rPr>
                        <w:t xml:space="preserve"> </w:t>
                      </w:r>
                    </w:p>
                    <w:p>
                      <w:pPr>
                        <w:pStyle w:val="Sansinterligne"/>
                        <w:spacing w:lineRule="auto" w:line="216" w:before="40" w:after="560"/>
                        <w:jc w:val="center"/>
                        <w:rPr>
                          <w:rFonts w:ascii="Times New Roman" w:hAnsi="Times New Roman" w:cs="Times New Roman"/>
                          <w:b/>
                          <w:bCs/>
                          <w:sz w:val="36"/>
                          <w:szCs w:val="36"/>
                          <w:lang w:val="fr-FR"/>
                        </w:rPr>
                      </w:pPr>
                      <w:r>
                        <w:rPr>
                          <w:rFonts w:cs="Cambria" w:ascii="Cambria" w:hAnsi="Cambria"/>
                          <w:b/>
                          <w:bCs/>
                          <w:color w:val="156082"/>
                          <w:sz w:val="36"/>
                          <w:szCs w:val="36"/>
                          <w:lang w:val="fr-FR"/>
                        </w:rPr>
                        <w:t xml:space="preserve">Création d’une Entreprise de </w:t>
                      </w:r>
                      <w:r>
                        <w:rPr>
                          <w:b/>
                          <w:bCs/>
                          <w:color w:val="156082"/>
                          <w:sz w:val="36"/>
                          <w:szCs w:val="36"/>
                          <w:lang w:val="fr-FR"/>
                        </w:rPr>
                        <w:t>Production et commercialisation de pastèque</w:t>
                      </w:r>
                    </w:p>
                    <w:p>
                      <w:pPr>
                        <w:pStyle w:val="Sansinterligne"/>
                        <w:spacing w:lineRule="auto" w:line="216" w:before="40" w:after="560"/>
                        <w:jc w:val="center"/>
                        <w:rPr>
                          <w:rFonts w:ascii="Cambria" w:hAnsi="Cambria" w:cs="Cambria"/>
                          <w:b/>
                          <w:bCs/>
                          <w:color w:val="156082"/>
                          <w:sz w:val="36"/>
                          <w:szCs w:val="36"/>
                          <w:lang w:val="fr-FR"/>
                        </w:rPr>
                      </w:pPr>
                      <w:r>
                        <w:rPr>
                          <w:rFonts w:cs="Cambria" w:ascii="Cambria" w:hAnsi="Cambria"/>
                          <w:b/>
                          <w:bCs/>
                          <w:color w:val="156082"/>
                          <w:sz w:val="36"/>
                          <w:szCs w:val="36"/>
                          <w:lang w:val="fr-FR"/>
                        </w:rPr>
                      </w:r>
                    </w:p>
                    <w:p>
                      <w:pPr>
                        <w:pStyle w:val="Sansinterligne"/>
                        <w:spacing w:before="40" w:after="40"/>
                        <w:rPr>
                          <w:rFonts w:ascii="Cambria" w:hAnsi="Cambria" w:cs="Cambria"/>
                          <w:b/>
                          <w:bCs/>
                          <w:caps/>
                          <w:color w:val="501549"/>
                          <w:sz w:val="28"/>
                          <w:szCs w:val="28"/>
                          <w:lang w:val="fr-FR"/>
                        </w:rPr>
                      </w:pPr>
                      <w:r>
                        <w:rPr/>
                      </w:r>
                    </w:p>
                  </w:txbxContent>
                </v:textbox>
                <w10:wrap type="square"/>
              </v:rect>
            </w:pict>
          </mc:Fallback>
        </mc:AlternateContent>
      </w:r>
      <w:r>
        <w:rPr>
          <w:b/>
          <w:i/>
          <w:sz w:val="52"/>
          <w:szCs w:val="32"/>
        </w:rPr>
        <w:t>PLAN D’AFFAIRES</w:t>
      </w:r>
    </w:p>
    <w:tbl>
      <w:tblPr>
        <w:tblW w:w="10056" w:type="dxa"/>
        <w:jc w:val="left"/>
        <w:tblInd w:w="0" w:type="dxa"/>
        <w:tblLayout w:type="fixed"/>
        <w:tblCellMar>
          <w:top w:w="0" w:type="dxa"/>
          <w:left w:w="108" w:type="dxa"/>
          <w:bottom w:w="0" w:type="dxa"/>
          <w:right w:w="108" w:type="dxa"/>
        </w:tblCellMar>
      </w:tblPr>
      <w:tblGrid>
        <w:gridCol w:w="5140"/>
        <w:gridCol w:w="1690"/>
        <w:gridCol w:w="3226"/>
      </w:tblGrid>
      <w:tr>
        <w:trPr>
          <w:trHeight w:val="432" w:hRule="atLeast"/>
        </w:trPr>
        <w:tc>
          <w:tcPr>
            <w:tcW w:w="5140" w:type="dxa"/>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rPr/>
            </w:pPr>
            <w:r>
              <w:rPr/>
              <w:t>Elaboré avec l’appui de</w:t>
            </w:r>
          </w:p>
        </w:tc>
        <w:tc>
          <w:tcPr>
            <w:tcW w:w="4916" w:type="dxa"/>
            <w:gridSpan w:val="2"/>
            <w:tcBorders>
              <w:top w:val="dotted" w:sz="4" w:space="0" w:color="000000"/>
              <w:left w:val="dotted" w:sz="4" w:space="0" w:color="000000"/>
              <w:bottom w:val="dotted" w:sz="4" w:space="0" w:color="000000"/>
              <w:right w:val="dotted" w:sz="4" w:space="0" w:color="000000"/>
            </w:tcBorders>
            <w:vAlign w:val="center"/>
          </w:tcPr>
          <w:p>
            <w:pPr>
              <w:pStyle w:val="Normal"/>
              <w:rPr>
                <w:i/>
                <w:i/>
                <w:iCs/>
              </w:rPr>
            </w:pPr>
            <w:r>
              <w:rPr>
                <w:b/>
                <w:bCs/>
                <w:i/>
                <w:iCs/>
              </w:rPr>
              <w:t>APEJ</w:t>
            </w:r>
          </w:p>
        </w:tc>
      </w:tr>
      <w:tr>
        <w:trPr>
          <w:trHeight w:val="432" w:hRule="atLeast"/>
        </w:trPr>
        <w:tc>
          <w:tcPr>
            <w:tcW w:w="5140"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Nom(s) et prénom(s) du promoteur</w:t>
            </w:r>
          </w:p>
        </w:tc>
        <w:tc>
          <w:tcPr>
            <w:tcW w:w="4916"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 xml:space="preserve"> </w:t>
            </w:r>
            <w:r>
              <w:rPr/>
              <w:t>Issa TRAORÉ</w:t>
            </w:r>
          </w:p>
        </w:tc>
      </w:tr>
      <w:tr>
        <w:trPr>
          <w:trHeight w:val="432" w:hRule="atLeast"/>
        </w:trPr>
        <w:tc>
          <w:tcPr>
            <w:tcW w:w="5140"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Contact du promoteur</w:t>
            </w:r>
          </w:p>
        </w:tc>
        <w:tc>
          <w:tcPr>
            <w:tcW w:w="4916"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lang w:val="en-CA"/>
              </w:rPr>
            </w:pPr>
            <w:r>
              <w:rPr>
                <w:lang w:val="en-CA"/>
              </w:rPr>
              <w:t xml:space="preserve">Cell: </w:t>
            </w:r>
            <w:r>
              <w:rPr/>
              <w:t>79 02 10 65</w:t>
            </w:r>
          </w:p>
        </w:tc>
      </w:tr>
      <w:tr>
        <w:trPr>
          <w:trHeight w:val="432" w:hRule="atLeast"/>
        </w:trPr>
        <w:tc>
          <w:tcPr>
            <w:tcW w:w="5140"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Adresse</w:t>
            </w:r>
          </w:p>
        </w:tc>
        <w:tc>
          <w:tcPr>
            <w:tcW w:w="4916"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Bamako-Chôdo, commune de Safo – Koulikoro</w:t>
            </w:r>
          </w:p>
        </w:tc>
      </w:tr>
      <w:tr>
        <w:trPr>
          <w:trHeight w:val="375" w:hRule="atLeast"/>
        </w:trPr>
        <w:tc>
          <w:tcPr>
            <w:tcW w:w="5140"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Secteur d’activité</w:t>
            </w:r>
          </w:p>
        </w:tc>
        <w:tc>
          <w:tcPr>
            <w:tcW w:w="4916"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Maraîchage – pastèque</w:t>
            </w:r>
          </w:p>
        </w:tc>
      </w:tr>
      <w:tr>
        <w:trPr>
          <w:trHeight w:val="182" w:hRule="atLeast"/>
        </w:trPr>
        <w:tc>
          <w:tcPr>
            <w:tcW w:w="5140" w:type="dxa"/>
            <w:vMerge w:val="restart"/>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rPr/>
            </w:pPr>
            <w:r>
              <w:rPr/>
              <w:t>Type de guichet</w:t>
            </w:r>
          </w:p>
        </w:tc>
        <w:tc>
          <w:tcPr>
            <w:tcW w:w="1690" w:type="dxa"/>
            <w:tcBorders>
              <w:top w:val="dotted" w:sz="4" w:space="0" w:color="000000"/>
              <w:left w:val="dotted" w:sz="4" w:space="0" w:color="000000"/>
              <w:bottom w:val="dotted" w:sz="4" w:space="0" w:color="000000"/>
              <w:right w:val="dotted" w:sz="4" w:space="0" w:color="000000"/>
            </w:tcBorders>
            <w:vAlign w:val="center"/>
          </w:tcPr>
          <w:p>
            <w:pPr>
              <w:pStyle w:val="Normal"/>
              <w:spacing w:lineRule="auto" w:line="360"/>
              <w:rPr/>
            </w:pPr>
            <w:r>
              <w:rPr/>
              <w:t>En création</w:t>
            </w:r>
          </w:p>
        </w:tc>
        <w:tc>
          <w:tcPr>
            <w:tcW w:w="3226" w:type="dxa"/>
            <w:tcBorders>
              <w:top w:val="dotted" w:sz="4" w:space="0" w:color="000000"/>
              <w:left w:val="dotted" w:sz="4" w:space="0" w:color="000000"/>
              <w:bottom w:val="dotted" w:sz="4" w:space="0" w:color="000000"/>
              <w:right w:val="dotted" w:sz="4" w:space="0" w:color="000000"/>
            </w:tcBorders>
            <w:vAlign w:val="center"/>
          </w:tcPr>
          <w:p>
            <w:pPr>
              <w:pStyle w:val="Normal"/>
              <w:spacing w:lineRule="auto" w:line="360"/>
              <w:jc w:val="center"/>
              <w:rPr>
                <w:b/>
                <w:bCs/>
              </w:rPr>
            </w:pPr>
            <w:r>
              <w:rPr>
                <w:b/>
                <w:bCs/>
                <w:lang w:val="en-US" w:eastAsia="en-US"/>
              </w:rPr>
              <w:t>X</w:t>
            </w:r>
          </w:p>
        </w:tc>
      </w:tr>
      <w:tr>
        <w:trPr>
          <w:trHeight w:val="182" w:hRule="atLeast"/>
        </w:trPr>
        <w:tc>
          <w:tcPr>
            <w:tcW w:w="5140" w:type="dxa"/>
            <w:vMerge w:val="continue"/>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snapToGrid w:val="false"/>
              <w:rPr>
                <w:b/>
                <w:bCs/>
              </w:rPr>
            </w:pPr>
            <w:r>
              <w:rPr>
                <w:b/>
                <w:bCs/>
              </w:rPr>
            </w:r>
          </w:p>
        </w:tc>
        <w:tc>
          <w:tcPr>
            <w:tcW w:w="1690"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spacing w:lineRule="auto" w:line="360"/>
              <w:rPr/>
            </w:pPr>
            <w:r>
              <w:rPr/>
              <w:t>En croissance</w:t>
            </w:r>
          </w:p>
        </w:tc>
        <w:tc>
          <w:tcPr>
            <w:tcW w:w="322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snapToGrid w:val="false"/>
              <w:spacing w:lineRule="auto" w:line="360"/>
              <w:jc w:val="center"/>
              <w:rPr>
                <w:b/>
                <w:bCs/>
                <w:lang w:val="en-US" w:eastAsia="en-US"/>
              </w:rPr>
            </w:pPr>
            <w:r>
              <w:rPr>
                <w:b/>
                <w:bCs/>
                <w:lang w:val="en-US" w:eastAsia="en-US"/>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
          <w:bCs/>
        </w:rPr>
        <w:t>Slogan :</w:t>
      </w:r>
      <w:r>
        <w:rPr/>
        <w:t xml:space="preserve"> </w:t>
      </w:r>
      <w:r>
        <w:rPr>
          <w:i/>
          <w:iCs/>
        </w:rPr>
        <w:t>Les saveurs douces de la patate douce malienne</w:t>
      </w:r>
      <w:r>
        <w:br w:type="page"/>
      </w:r>
    </w:p>
    <w:p>
      <w:pPr>
        <w:pStyle w:val="Normal"/>
        <w:spacing w:before="0" w:after="0"/>
        <w:rPr>
          <w:lang w:val="en-US" w:eastAsia="en-US"/>
        </w:rPr>
      </w:pPr>
      <w:r>
        <w:rPr>
          <w:lang w:val="en-US" w:eastAsia="en-US"/>
        </w:rPr>
        <mc:AlternateContent>
          <mc:Choice Requires="wps">
            <w:drawing>
              <wp:anchor behindDoc="0" distT="0" distB="0" distL="0" distR="0" simplePos="0" locked="0" layoutInCell="0" allowOverlap="1" relativeHeight="8">
                <wp:simplePos x="0" y="0"/>
                <wp:positionH relativeFrom="margin">
                  <wp:posOffset>4903470</wp:posOffset>
                </wp:positionH>
                <wp:positionV relativeFrom="page">
                  <wp:posOffset>9514840</wp:posOffset>
                </wp:positionV>
                <wp:extent cx="1353185" cy="266700"/>
                <wp:effectExtent l="0" t="0" r="0" b="0"/>
                <wp:wrapNone/>
                <wp:docPr id="2" name="Frame2"/>
                <a:graphic xmlns:a="http://schemas.openxmlformats.org/drawingml/2006/main">
                  <a:graphicData uri="http://schemas.microsoft.com/office/word/2010/wordprocessingShape">
                    <wps:wsp>
                      <wps:cNvSpPr/>
                      <wps:spPr>
                        <a:xfrm>
                          <a:off x="0" y="0"/>
                          <a:ext cx="1353240" cy="266760"/>
                        </a:xfrm>
                        <a:prstGeom prst="rect">
                          <a:avLst/>
                        </a:prstGeom>
                        <a:solidFill>
                          <a:srgbClr val="156082"/>
                        </a:solidFill>
                        <a:ln w="0">
                          <a:noFill/>
                        </a:ln>
                      </wps:spPr>
                      <wps:style>
                        <a:lnRef idx="0"/>
                        <a:fillRef idx="0"/>
                        <a:effectRef idx="0"/>
                        <a:fontRef idx="minor"/>
                      </wps:style>
                      <wps:txbx>
                        <w:txbxContent>
                          <w:p>
                            <w:pPr>
                              <w:pStyle w:val="Sansinterligne"/>
                              <w:jc w:val="center"/>
                              <w:rPr>
                                <w:rFonts w:ascii="Cambria" w:hAnsi="Cambria" w:cs="Cambria"/>
                                <w:b/>
                                <w:bCs/>
                                <w:color w:val="FFFFFF"/>
                                <w:sz w:val="24"/>
                                <w:szCs w:val="24"/>
                              </w:rPr>
                            </w:pPr>
                            <w:r>
                              <w:rPr>
                                <w:rFonts w:cs="Cambria" w:ascii="Cambria" w:hAnsi="Cambria"/>
                                <w:b/>
                                <w:bCs/>
                                <w:color w:val="FFFFFF"/>
                                <w:sz w:val="24"/>
                                <w:szCs w:val="24"/>
                              </w:rPr>
                              <w:t>Juin 2025</w:t>
                            </w:r>
                          </w:p>
                        </w:txbxContent>
                      </wps:txbx>
                      <wps:bodyPr lIns="47160" rIns="47160" tIns="47160" bIns="47160" anchor="t">
                        <a:noAutofit/>
                      </wps:bodyPr>
                    </wps:wsp>
                  </a:graphicData>
                </a:graphic>
              </wp:anchor>
            </w:drawing>
          </mc:Choice>
          <mc:Fallback>
            <w:pict>
              <v:rect id="shape_0" ID="Frame2" path="m0,0l-2147483645,0l-2147483645,-2147483646l0,-2147483646xe" fillcolor="#156082" stroked="f" o:allowincell="f" style="position:absolute;margin-left:386.1pt;margin-top:749.2pt;width:106.5pt;height:20.95pt;mso-wrap-style:square;v-text-anchor:top;mso-position-horizontal-relative:margin;mso-position-vertical-relative:page">
                <v:fill o:detectmouseclick="t" type="solid" color2="#ea9f7d"/>
                <v:stroke color="#3465a4" joinstyle="round" endcap="flat"/>
                <v:textbox>
                  <w:txbxContent>
                    <w:p>
                      <w:pPr>
                        <w:pStyle w:val="Sansinterligne"/>
                        <w:jc w:val="center"/>
                        <w:rPr>
                          <w:rFonts w:ascii="Cambria" w:hAnsi="Cambria" w:cs="Cambria"/>
                          <w:b/>
                          <w:bCs/>
                          <w:color w:val="FFFFFF"/>
                          <w:sz w:val="24"/>
                          <w:szCs w:val="24"/>
                        </w:rPr>
                      </w:pPr>
                      <w:r>
                        <w:rPr>
                          <w:rFonts w:cs="Cambria" w:ascii="Cambria" w:hAnsi="Cambria"/>
                          <w:b/>
                          <w:bCs/>
                          <w:color w:val="FFFFFF"/>
                          <w:sz w:val="24"/>
                          <w:szCs w:val="24"/>
                        </w:rPr>
                        <w:t>Juin 2025</w:t>
                      </w:r>
                    </w:p>
                  </w:txbxContent>
                </v:textbox>
                <w10:wrap type="none"/>
              </v:rect>
            </w:pict>
          </mc:Fallback>
        </mc:AlternateContent>
      </w:r>
    </w:p>
    <w:p>
      <w:pPr>
        <w:pStyle w:val="Normal"/>
        <w:jc w:val="center"/>
        <w:rPr>
          <w:b/>
          <w:i/>
          <w:i/>
          <w:sz w:val="28"/>
          <w:szCs w:val="20"/>
        </w:rPr>
      </w:pPr>
      <w:r>
        <w:rPr>
          <w:b/>
          <w:i/>
          <w:sz w:val="28"/>
          <w:szCs w:val="20"/>
        </w:rPr>
        <w:t>Table des matières</w:t>
      </w:r>
    </w:p>
    <w:sdt>
      <w:sdtPr>
        <w:docPartObj>
          <w:docPartGallery w:val="Table of Contents"/>
          <w:docPartUnique w:val="true"/>
        </w:docPartObj>
      </w:sdtPr>
      <w:sdtContent>
        <w:p>
          <w:pPr>
            <w:pStyle w:val="TOC1"/>
            <w:tabs>
              <w:tab w:val="clear" w:pos="708"/>
              <w:tab w:val="right" w:pos="9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34831690">
            <w:r>
              <w:rPr>
                <w:webHidden/>
                <w:rStyle w:val="IndexLink"/>
              </w:rPr>
              <w:t>I. FICHE SIGNALÉTIQUE</w:t>
              <w:tab/>
              <w:t>3</w:t>
            </w:r>
          </w:hyperlink>
        </w:p>
        <w:p>
          <w:pPr>
            <w:pStyle w:val="TOC1"/>
            <w:tabs>
              <w:tab w:val="clear" w:pos="708"/>
              <w:tab w:val="right" w:pos="9639" w:leader="dot"/>
            </w:tabs>
            <w:rPr/>
          </w:pPr>
          <w:hyperlink w:anchor="__RefHeading___Toc18080_4017987919">
            <w:r>
              <w:rPr>
                <w:webHidden/>
                <w:rStyle w:val="IndexLink"/>
              </w:rPr>
              <w:t>II. APERÇU GÉNÉRAL</w:t>
              <w:tab/>
              <w:t>4</w:t>
            </w:r>
          </w:hyperlink>
        </w:p>
        <w:p>
          <w:pPr>
            <w:pStyle w:val="TOC2"/>
            <w:tabs>
              <w:tab w:val="clear" w:pos="708"/>
              <w:tab w:val="right" w:pos="9639" w:leader="dot"/>
            </w:tabs>
            <w:rPr/>
          </w:pPr>
          <w:hyperlink w:anchor="__RefHeading___Toc234831692">
            <w:r>
              <w:rPr>
                <w:webHidden/>
                <w:rStyle w:val="IndexLink"/>
              </w:rPr>
              <w:t xml:space="preserve">1. </w:t>
            </w:r>
            <w:r>
              <w:rPr>
                <w:rStyle w:val="IndexLink"/>
                <w:i w:val="false"/>
                <w:iCs w:val="false"/>
              </w:rPr>
              <w:t>Présentation du Promoteur :</w:t>
            </w:r>
            <w:r>
              <w:rPr>
                <w:rStyle w:val="IndexLink"/>
              </w:rPr>
              <w:tab/>
              <w:t>4</w:t>
            </w:r>
          </w:hyperlink>
        </w:p>
        <w:p>
          <w:pPr>
            <w:pStyle w:val="TOC2"/>
            <w:tabs>
              <w:tab w:val="clear" w:pos="708"/>
              <w:tab w:val="right" w:pos="9639" w:leader="dot"/>
            </w:tabs>
            <w:rPr/>
          </w:pPr>
          <w:hyperlink w:anchor="__RefHeading___Toc234831693">
            <w:r>
              <w:rPr>
                <w:webHidden/>
                <w:rStyle w:val="IndexLink"/>
              </w:rPr>
              <w:t xml:space="preserve">2. </w:t>
            </w:r>
            <w:r>
              <w:rPr>
                <w:rStyle w:val="IndexLink"/>
                <w:i w:val="false"/>
                <w:iCs w:val="false"/>
              </w:rPr>
              <w:t>Description du projet :</w:t>
            </w:r>
            <w:r>
              <w:rPr>
                <w:rStyle w:val="IndexLink"/>
              </w:rPr>
              <w:tab/>
              <w:t>5</w:t>
            </w:r>
          </w:hyperlink>
        </w:p>
        <w:p>
          <w:pPr>
            <w:pStyle w:val="TOC2"/>
            <w:tabs>
              <w:tab w:val="clear" w:pos="708"/>
              <w:tab w:val="right" w:pos="9639" w:leader="dot"/>
            </w:tabs>
            <w:rPr/>
          </w:pPr>
          <w:hyperlink w:anchor="__RefHeading___Toc234831694">
            <w:r>
              <w:rPr>
                <w:webHidden/>
                <w:rStyle w:val="IndexLink"/>
              </w:rPr>
              <w:t xml:space="preserve">3. </w:t>
            </w:r>
            <w:r>
              <w:rPr>
                <w:rStyle w:val="IndexLink"/>
                <w:i w:val="false"/>
                <w:iCs w:val="false"/>
              </w:rPr>
              <w:t>Objectifs du projet :</w:t>
            </w:r>
            <w:r>
              <w:rPr>
                <w:rStyle w:val="IndexLink"/>
              </w:rPr>
              <w:tab/>
              <w:t>5</w:t>
            </w:r>
          </w:hyperlink>
        </w:p>
        <w:p>
          <w:pPr>
            <w:pStyle w:val="TOC2"/>
            <w:tabs>
              <w:tab w:val="clear" w:pos="708"/>
              <w:tab w:val="right" w:pos="9639" w:leader="dot"/>
            </w:tabs>
            <w:rPr/>
          </w:pPr>
          <w:hyperlink w:anchor="__RefHeading___Toc234831695">
            <w:r>
              <w:rPr>
                <w:webHidden/>
                <w:rStyle w:val="IndexLink"/>
              </w:rPr>
              <w:t xml:space="preserve">4. </w:t>
            </w:r>
            <w:r>
              <w:rPr>
                <w:rStyle w:val="IndexLink"/>
                <w:i w:val="false"/>
                <w:iCs w:val="false"/>
              </w:rPr>
              <w:t>Localisation du projet</w:t>
            </w:r>
            <w:r>
              <w:rPr>
                <w:rStyle w:val="IndexLink"/>
              </w:rPr>
              <w:tab/>
              <w:t>5</w:t>
            </w:r>
          </w:hyperlink>
        </w:p>
        <w:p>
          <w:pPr>
            <w:pStyle w:val="TOC1"/>
            <w:tabs>
              <w:tab w:val="clear" w:pos="708"/>
              <w:tab w:val="right" w:pos="9639" w:leader="dot"/>
            </w:tabs>
            <w:rPr/>
          </w:pPr>
          <w:hyperlink w:anchor="__RefHeading___Toc234831696">
            <w:r>
              <w:rPr>
                <w:webHidden/>
                <w:rStyle w:val="IndexLink"/>
              </w:rPr>
              <w:t>III. ÉTUDE DE MARCHÉ</w:t>
              <w:tab/>
              <w:t>5</w:t>
            </w:r>
          </w:hyperlink>
        </w:p>
        <w:p>
          <w:pPr>
            <w:pStyle w:val="TOC1"/>
            <w:tabs>
              <w:tab w:val="clear" w:pos="708"/>
              <w:tab w:val="right" w:pos="9639" w:leader="dot"/>
            </w:tabs>
            <w:rPr/>
          </w:pPr>
          <w:hyperlink w:anchor="__RefHeading___Toc234831707">
            <w:r>
              <w:rPr>
                <w:webHidden/>
                <w:rStyle w:val="IndexLink"/>
              </w:rPr>
              <w:t>IV. ÉTUDE TECHNIQUE</w:t>
              <w:tab/>
              <w:t>8</w:t>
            </w:r>
          </w:hyperlink>
        </w:p>
        <w:p>
          <w:pPr>
            <w:pStyle w:val="TOC2"/>
            <w:tabs>
              <w:tab w:val="clear" w:pos="708"/>
              <w:tab w:val="right" w:pos="9639" w:leader="dot"/>
            </w:tabs>
            <w:rPr/>
          </w:pPr>
          <w:hyperlink w:anchor="__RefHeading___Toc234831708">
            <w:r>
              <w:rPr>
                <w:webHidden/>
                <w:rStyle w:val="IndexLink"/>
              </w:rPr>
              <w:t xml:space="preserve">1. </w:t>
            </w:r>
            <w:r>
              <w:rPr>
                <w:rStyle w:val="IndexLink"/>
                <w:i w:val="false"/>
                <w:iCs w:val="false"/>
              </w:rPr>
              <w:t>Site d’implantation :</w:t>
            </w:r>
            <w:r>
              <w:rPr>
                <w:rStyle w:val="IndexLink"/>
              </w:rPr>
              <w:tab/>
              <w:t>8</w:t>
            </w:r>
          </w:hyperlink>
        </w:p>
        <w:p>
          <w:pPr>
            <w:pStyle w:val="TOC2"/>
            <w:tabs>
              <w:tab w:val="clear" w:pos="708"/>
              <w:tab w:val="right" w:pos="9639" w:leader="dot"/>
            </w:tabs>
            <w:rPr/>
          </w:pPr>
          <w:hyperlink w:anchor="__RefHeading___Toc234831709">
            <w:r>
              <w:rPr>
                <w:webHidden/>
                <w:rStyle w:val="IndexLink"/>
              </w:rPr>
              <w:t xml:space="preserve">3. </w:t>
            </w:r>
            <w:r>
              <w:rPr>
                <w:rStyle w:val="IndexLink"/>
                <w:i w:val="false"/>
                <w:iCs w:val="false"/>
              </w:rPr>
              <w:t>Locaux, aménagements / installations et équipements</w:t>
            </w:r>
            <w:r>
              <w:rPr>
                <w:rStyle w:val="IndexLink"/>
              </w:rPr>
              <w:tab/>
              <w:t>8</w:t>
            </w:r>
          </w:hyperlink>
        </w:p>
        <w:p>
          <w:pPr>
            <w:pStyle w:val="TOC3"/>
            <w:tabs>
              <w:tab w:val="clear" w:pos="708"/>
              <w:tab w:val="right" w:pos="9639" w:leader="dot"/>
            </w:tabs>
            <w:rPr/>
          </w:pPr>
          <w:hyperlink w:anchor="__RefHeading___Toc234831710">
            <w:r>
              <w:rPr>
                <w:webHidden/>
                <w:rStyle w:val="IndexLink"/>
              </w:rPr>
              <w:t>2.1 Equipements de production :</w:t>
              <w:tab/>
              <w:t>9</w:t>
            </w:r>
          </w:hyperlink>
        </w:p>
        <w:p>
          <w:pPr>
            <w:pStyle w:val="TOC2"/>
            <w:tabs>
              <w:tab w:val="clear" w:pos="708"/>
              <w:tab w:val="right" w:pos="9639" w:leader="dot"/>
            </w:tabs>
            <w:rPr/>
          </w:pPr>
          <w:hyperlink w:anchor="__RefHeading___Toc234831711">
            <w:r>
              <w:rPr>
                <w:webHidden/>
                <w:rStyle w:val="IndexLink"/>
              </w:rPr>
              <w:t xml:space="preserve">4. </w:t>
            </w:r>
            <w:r>
              <w:rPr>
                <w:rStyle w:val="IndexLink"/>
                <w:i w:val="false"/>
                <w:iCs w:val="false"/>
              </w:rPr>
              <w:t>Le processus de production :</w:t>
            </w:r>
            <w:r>
              <w:rPr>
                <w:rStyle w:val="IndexLink"/>
              </w:rPr>
              <w:tab/>
              <w:t>9</w:t>
            </w:r>
          </w:hyperlink>
        </w:p>
        <w:p>
          <w:pPr>
            <w:pStyle w:val="TOC2"/>
            <w:tabs>
              <w:tab w:val="clear" w:pos="708"/>
              <w:tab w:val="right" w:pos="9639" w:leader="dot"/>
            </w:tabs>
            <w:rPr/>
          </w:pPr>
          <w:hyperlink w:anchor="__RefHeading___Toc234831712">
            <w:r>
              <w:rPr>
                <w:webHidden/>
                <w:rStyle w:val="IndexLink"/>
              </w:rPr>
              <w:t xml:space="preserve">5. </w:t>
            </w:r>
            <w:r>
              <w:rPr>
                <w:rStyle w:val="IndexLink"/>
                <w:i w:val="false"/>
                <w:iCs w:val="false"/>
              </w:rPr>
              <w:t xml:space="preserve">Le personnel : </w:t>
            </w:r>
            <w:r>
              <w:rPr>
                <w:rStyle w:val="IndexLink"/>
              </w:rPr>
              <w:t>(profil et compétences)</w:t>
              <w:tab/>
              <w:t>10</w:t>
            </w:r>
          </w:hyperlink>
        </w:p>
        <w:p>
          <w:pPr>
            <w:pStyle w:val="TOC1"/>
            <w:tabs>
              <w:tab w:val="clear" w:pos="708"/>
              <w:tab w:val="right" w:pos="9639" w:leader="dot"/>
            </w:tabs>
            <w:rPr/>
          </w:pPr>
          <w:hyperlink w:anchor="__RefHeading___Toc234831713">
            <w:r>
              <w:rPr>
                <w:webHidden/>
                <w:rStyle w:val="IndexLink"/>
              </w:rPr>
              <w:t>V. ÉTUDE ÉCONOMIQUE ET FINANCIÈRE</w:t>
              <w:tab/>
              <w:t>10</w:t>
            </w:r>
          </w:hyperlink>
        </w:p>
        <w:p>
          <w:pPr>
            <w:pStyle w:val="TOC2"/>
            <w:tabs>
              <w:tab w:val="clear" w:pos="708"/>
              <w:tab w:val="right" w:pos="9639" w:leader="dot"/>
            </w:tabs>
            <w:rPr/>
          </w:pPr>
          <w:hyperlink w:anchor="__RefHeading___Toc234831714">
            <w:r>
              <w:rPr>
                <w:webHidden/>
                <w:rStyle w:val="IndexLink"/>
              </w:rPr>
              <w:t xml:space="preserve">V.1 </w:t>
            </w:r>
            <w:r>
              <w:rPr>
                <w:rStyle w:val="IndexLink"/>
                <w:i w:val="false"/>
                <w:iCs w:val="false"/>
              </w:rPr>
              <w:t>Hypothèses de base</w:t>
            </w:r>
            <w:r>
              <w:rPr>
                <w:rStyle w:val="IndexLink"/>
              </w:rPr>
              <w:tab/>
              <w:t>10</w:t>
            </w:r>
          </w:hyperlink>
        </w:p>
        <w:p>
          <w:pPr>
            <w:pStyle w:val="TOC3"/>
            <w:tabs>
              <w:tab w:val="clear" w:pos="708"/>
              <w:tab w:val="right" w:pos="9639" w:leader="dot"/>
            </w:tabs>
            <w:rPr/>
          </w:pPr>
          <w:hyperlink w:anchor="__RefHeading___Toc234831715">
            <w:r>
              <w:rPr>
                <w:webHidden/>
                <w:rStyle w:val="IndexLink"/>
              </w:rPr>
              <w:t>V.1.1 Recettes prévisionnelles annuelles</w:t>
              <w:tab/>
              <w:t>10</w:t>
            </w:r>
          </w:hyperlink>
        </w:p>
        <w:p>
          <w:pPr>
            <w:pStyle w:val="TOC3"/>
            <w:tabs>
              <w:tab w:val="clear" w:pos="708"/>
              <w:tab w:val="right" w:pos="9639" w:leader="dot"/>
            </w:tabs>
            <w:rPr/>
          </w:pPr>
          <w:hyperlink w:anchor="__RefHeading___Toc234831716">
            <w:r>
              <w:rPr>
                <w:webHidden/>
                <w:rStyle w:val="IndexLink"/>
              </w:rPr>
              <w:t>V.1.2 Données prévisionnelles sur les achats</w:t>
              <w:tab/>
              <w:t>11</w:t>
            </w:r>
          </w:hyperlink>
        </w:p>
        <w:p>
          <w:pPr>
            <w:pStyle w:val="TOC3"/>
            <w:tabs>
              <w:tab w:val="clear" w:pos="708"/>
              <w:tab w:val="right" w:pos="9639" w:leader="dot"/>
            </w:tabs>
            <w:rPr/>
          </w:pPr>
          <w:hyperlink w:anchor="__RefHeading___Toc234831717">
            <w:r>
              <w:rPr>
                <w:webHidden/>
                <w:rStyle w:val="IndexLink"/>
              </w:rPr>
              <w:t>Achats de matières premières</w:t>
              <w:tab/>
              <w:t>11</w:t>
            </w:r>
          </w:hyperlink>
        </w:p>
        <w:p>
          <w:pPr>
            <w:pStyle w:val="TOC3"/>
            <w:tabs>
              <w:tab w:val="clear" w:pos="708"/>
              <w:tab w:val="right" w:pos="9639" w:leader="dot"/>
            </w:tabs>
            <w:rPr/>
          </w:pPr>
          <w:hyperlink w:anchor="__RefHeading___Toc234831718">
            <w:r>
              <w:rPr>
                <w:webHidden/>
                <w:rStyle w:val="IndexLink"/>
              </w:rPr>
              <w:t>V.1.3 Frais Généraux</w:t>
              <w:tab/>
              <w:t>11</w:t>
            </w:r>
          </w:hyperlink>
        </w:p>
        <w:p>
          <w:pPr>
            <w:pStyle w:val="TOC3"/>
            <w:tabs>
              <w:tab w:val="clear" w:pos="708"/>
              <w:tab w:val="right" w:pos="9639" w:leader="dot"/>
            </w:tabs>
            <w:rPr/>
          </w:pPr>
          <w:hyperlink w:anchor="__RefHeading___Toc234831719">
            <w:r>
              <w:rPr>
                <w:webHidden/>
                <w:rStyle w:val="IndexLink"/>
              </w:rPr>
              <w:t>V.1.4 Dotations aux amortissements</w:t>
              <w:tab/>
              <w:t>11</w:t>
            </w:r>
          </w:hyperlink>
        </w:p>
        <w:p>
          <w:pPr>
            <w:pStyle w:val="TOC3"/>
            <w:tabs>
              <w:tab w:val="clear" w:pos="708"/>
              <w:tab w:val="right" w:pos="9639" w:leader="dot"/>
            </w:tabs>
            <w:rPr/>
          </w:pPr>
          <w:hyperlink w:anchor="__RefHeading___Toc234831720">
            <w:r>
              <w:rPr>
                <w:webHidden/>
                <w:rStyle w:val="IndexLink"/>
              </w:rPr>
              <w:t>V.1.5 Echéancier de remboursement</w:t>
              <w:tab/>
              <w:t>12</w:t>
            </w:r>
          </w:hyperlink>
        </w:p>
        <w:p>
          <w:pPr>
            <w:pStyle w:val="TOC2"/>
            <w:tabs>
              <w:tab w:val="clear" w:pos="708"/>
              <w:tab w:val="right" w:pos="9639" w:leader="dot"/>
            </w:tabs>
            <w:rPr/>
          </w:pPr>
          <w:hyperlink w:anchor="__RefHeading___Toc234831721">
            <w:r>
              <w:rPr>
                <w:webHidden/>
                <w:rStyle w:val="IndexLink"/>
              </w:rPr>
              <w:t xml:space="preserve">V.2 </w:t>
            </w:r>
            <w:r>
              <w:rPr>
                <w:rStyle w:val="IndexLink"/>
                <w:i w:val="false"/>
                <w:iCs w:val="false"/>
              </w:rPr>
              <w:t>Coût total du projet</w:t>
            </w:r>
            <w:r>
              <w:rPr>
                <w:rStyle w:val="IndexLink"/>
              </w:rPr>
              <w:tab/>
              <w:t>13</w:t>
            </w:r>
          </w:hyperlink>
        </w:p>
        <w:p>
          <w:pPr>
            <w:pStyle w:val="TOC2"/>
            <w:tabs>
              <w:tab w:val="clear" w:pos="708"/>
              <w:tab w:val="right" w:pos="9639" w:leader="dot"/>
            </w:tabs>
            <w:rPr/>
          </w:pPr>
          <w:hyperlink w:anchor="__RefHeading___Toc234831722">
            <w:r>
              <w:rPr>
                <w:webHidden/>
                <w:rStyle w:val="IndexLink"/>
              </w:rPr>
              <w:t xml:space="preserve">V.3 </w:t>
            </w:r>
            <w:r>
              <w:rPr>
                <w:rStyle w:val="IndexLink"/>
                <w:i w:val="false"/>
                <w:iCs w:val="false"/>
              </w:rPr>
              <w:t>Plan de financement</w:t>
            </w:r>
            <w:r>
              <w:rPr>
                <w:rStyle w:val="IndexLink"/>
              </w:rPr>
              <w:tab/>
              <w:t>14</w:t>
            </w:r>
          </w:hyperlink>
        </w:p>
        <w:p>
          <w:pPr>
            <w:pStyle w:val="TOC2"/>
            <w:tabs>
              <w:tab w:val="clear" w:pos="708"/>
              <w:tab w:val="right" w:pos="9639" w:leader="dot"/>
            </w:tabs>
            <w:rPr/>
          </w:pPr>
          <w:hyperlink w:anchor="__RefHeading___Toc234831723">
            <w:r>
              <w:rPr>
                <w:webHidden/>
                <w:rStyle w:val="IndexLink"/>
              </w:rPr>
              <w:t xml:space="preserve">V.4 </w:t>
            </w:r>
            <w:r>
              <w:rPr>
                <w:rStyle w:val="IndexLink"/>
                <w:i w:val="false"/>
                <w:iCs w:val="false"/>
              </w:rPr>
              <w:t>Compte d'exploitation prévisionnel</w:t>
            </w:r>
            <w:r>
              <w:rPr>
                <w:rStyle w:val="IndexLink"/>
              </w:rPr>
              <w:tab/>
              <w:t>15</w:t>
            </w:r>
          </w:hyperlink>
        </w:p>
        <w:p>
          <w:pPr>
            <w:pStyle w:val="TOC2"/>
            <w:tabs>
              <w:tab w:val="clear" w:pos="708"/>
              <w:tab w:val="right" w:pos="9639" w:leader="dot"/>
            </w:tabs>
            <w:rPr/>
          </w:pPr>
          <w:hyperlink w:anchor="__RefHeading___Toc234831724">
            <w:r>
              <w:rPr>
                <w:webHidden/>
                <w:rStyle w:val="IndexLink"/>
              </w:rPr>
              <w:t xml:space="preserve">V.5 </w:t>
            </w:r>
            <w:r>
              <w:rPr>
                <w:rStyle w:val="IndexLink"/>
                <w:i w:val="false"/>
                <w:iCs w:val="false"/>
              </w:rPr>
              <w:t>Tableau de financement annuel</w:t>
            </w:r>
            <w:r>
              <w:rPr>
                <w:rStyle w:val="IndexLink"/>
              </w:rPr>
              <w:tab/>
              <w:t>16</w:t>
            </w:r>
          </w:hyperlink>
        </w:p>
        <w:p>
          <w:pPr>
            <w:pStyle w:val="TOC2"/>
            <w:tabs>
              <w:tab w:val="clear" w:pos="708"/>
              <w:tab w:val="right" w:pos="9639" w:leader="dot"/>
            </w:tabs>
            <w:rPr/>
          </w:pPr>
          <w:hyperlink w:anchor="__RefHeading___Toc234831725">
            <w:r>
              <w:rPr>
                <w:webHidden/>
                <w:rStyle w:val="IndexLink"/>
              </w:rPr>
              <w:t xml:space="preserve">V.6 </w:t>
            </w:r>
            <w:r>
              <w:rPr>
                <w:rStyle w:val="IndexLink"/>
                <w:i w:val="false"/>
                <w:iCs w:val="false"/>
              </w:rPr>
              <w:t>Bilan de départ</w:t>
            </w:r>
            <w:r>
              <w:rPr>
                <w:rStyle w:val="IndexLink"/>
              </w:rPr>
              <w:tab/>
              <w:t>17</w:t>
            </w:r>
          </w:hyperlink>
        </w:p>
        <w:p>
          <w:pPr>
            <w:pStyle w:val="TOC2"/>
            <w:tabs>
              <w:tab w:val="clear" w:pos="708"/>
              <w:tab w:val="right" w:pos="9639" w:leader="dot"/>
            </w:tabs>
            <w:rPr/>
          </w:pPr>
          <w:hyperlink w:anchor="__RefHeading___Toc234831726">
            <w:r>
              <w:rPr>
                <w:webHidden/>
                <w:rStyle w:val="IndexLink"/>
              </w:rPr>
              <w:t xml:space="preserve">V.7 </w:t>
            </w:r>
            <w:r>
              <w:rPr>
                <w:rStyle w:val="IndexLink"/>
                <w:i w:val="false"/>
                <w:iCs w:val="false"/>
              </w:rPr>
              <w:t>Calcul de rentabilité</w:t>
            </w:r>
            <w:r>
              <w:rPr>
                <w:rStyle w:val="IndexLink"/>
              </w:rPr>
              <w:tab/>
              <w:t>18</w:t>
            </w:r>
          </w:hyperlink>
        </w:p>
        <w:p>
          <w:pPr>
            <w:pStyle w:val="TOC1"/>
            <w:tabs>
              <w:tab w:val="clear" w:pos="708"/>
              <w:tab w:val="right" w:pos="9639" w:leader="dot"/>
            </w:tabs>
            <w:rPr/>
          </w:pPr>
          <w:hyperlink w:anchor="__RefHeading___Toc234831727">
            <w:r>
              <w:rPr>
                <w:webHidden/>
                <w:rStyle w:val="IndexLink"/>
              </w:rPr>
              <w:t>VI. ANALYSE DES FORCES, FAIBLESSES, OPPORTUNITÉS ET MENACES</w:t>
              <w:tab/>
              <w:t>19</w:t>
            </w:r>
          </w:hyperlink>
        </w:p>
        <w:p>
          <w:pPr>
            <w:pStyle w:val="TOC1"/>
            <w:tabs>
              <w:tab w:val="clear" w:pos="708"/>
              <w:tab w:val="right" w:pos="9639" w:leader="dot"/>
            </w:tabs>
            <w:rPr/>
          </w:pPr>
          <w:hyperlink w:anchor="__RefHeading___Toc234831728">
            <w:r>
              <w:rPr>
                <w:webHidden/>
                <w:rStyle w:val="IndexLink"/>
              </w:rPr>
              <w:t>VII. CONCLUSION</w:t>
              <w:tab/>
              <w:t>21</w:t>
            </w:r>
          </w:hyperlink>
          <w:r>
            <w:rPr>
              <w:rStyle w:val="IndexLink"/>
            </w:rPr>
            <w:fldChar w:fldCharType="end"/>
          </w:r>
        </w:p>
      </w:sdtContent>
    </w:sdt>
    <w:p>
      <w:pPr>
        <w:pStyle w:val="TOC1"/>
        <w:rPr>
          <w:rStyle w:val="IndexLink"/>
          <w:rFonts w:ascii="Calibri" w:hAnsi="Calibri" w:cs="Calibri"/>
          <w:b/>
          <w:bCs/>
          <w:caps/>
          <w:sz w:val="22"/>
          <w:szCs w:val="22"/>
        </w:rPr>
      </w:pPr>
      <w:r>
        <w:rPr>
          <w:rFonts w:cs="Calibri" w:ascii="Calibri" w:hAnsi="Calibri"/>
          <w:b/>
          <w:bCs/>
          <w:caps/>
          <w:sz w:val="22"/>
          <w:szCs w:val="22"/>
        </w:rPr>
      </w:r>
    </w:p>
    <w:p>
      <w:pPr>
        <w:pStyle w:val="Normal"/>
        <w:jc w:val="both"/>
        <w:rPr>
          <w:rFonts w:ascii="Calibri" w:hAnsi="Calibri" w:cs="Calibri"/>
          <w:b/>
          <w:bCs/>
          <w:caps/>
          <w:sz w:val="20"/>
          <w:szCs w:val="20"/>
        </w:rPr>
      </w:pPr>
      <w:r>
        <w:rPr>
          <w:rFonts w:cs="Calibri" w:ascii="Calibri" w:hAnsi="Calibri"/>
          <w:b/>
          <w:bCs/>
          <w:caps/>
          <w:sz w:val="20"/>
          <w:szCs w:val="20"/>
        </w:rPr>
      </w:r>
    </w:p>
    <w:p>
      <w:pPr>
        <w:pStyle w:val="Heading1"/>
        <w:keepLines/>
        <w:numPr>
          <w:ilvl w:val="0"/>
          <w:numId w:val="6"/>
        </w:numPr>
        <w:spacing w:before="240" w:after="120"/>
        <w:ind w:hanging="431" w:left="431" w:right="0"/>
        <w:jc w:val="both"/>
        <w:rPr>
          <w:rFonts w:ascii="Times New Roman" w:hAnsi="Times New Roman" w:cs="Times New Roman"/>
          <w:caps/>
          <w:color w:val="166B7F"/>
          <w:kern w:val="0"/>
          <w:lang w:eastAsia="en-US"/>
        </w:rPr>
      </w:pPr>
      <w:bookmarkStart w:id="0" w:name="__RefHeading___Toc234831690"/>
      <w:bookmarkEnd w:id="0"/>
      <w:r>
        <w:rPr>
          <w:rFonts w:cs="Times New Roman" w:ascii="Times New Roman" w:hAnsi="Times New Roman"/>
          <w:caps/>
          <w:color w:val="166B7F"/>
          <w:kern w:val="0"/>
          <w:lang w:eastAsia="en-US"/>
        </w:rPr>
        <w:t>FICHE SIGNALÉTIQUE</w:t>
      </w:r>
    </w:p>
    <w:tbl>
      <w:tblPr>
        <w:tblW w:w="9781" w:type="dxa"/>
        <w:jc w:val="left"/>
        <w:tblInd w:w="70" w:type="dxa"/>
        <w:tblLayout w:type="fixed"/>
        <w:tblCellMar>
          <w:top w:w="0" w:type="dxa"/>
          <w:left w:w="70" w:type="dxa"/>
          <w:bottom w:w="0" w:type="dxa"/>
          <w:right w:w="70" w:type="dxa"/>
        </w:tblCellMar>
      </w:tblPr>
      <w:tblGrid>
        <w:gridCol w:w="3543"/>
        <w:gridCol w:w="2695"/>
        <w:gridCol w:w="282"/>
        <w:gridCol w:w="992"/>
        <w:gridCol w:w="851"/>
        <w:gridCol w:w="899"/>
        <w:gridCol w:w="196"/>
        <w:gridCol w:w="322"/>
      </w:tblGrid>
      <w:tr>
        <w:trPr>
          <w:trHeight w:val="405" w:hRule="atLeast"/>
        </w:trPr>
        <w:tc>
          <w:tcPr>
            <w:tcW w:w="9780" w:type="dxa"/>
            <w:gridSpan w:val="8"/>
            <w:tcBorders/>
            <w:shd w:fill="166B7F" w:val="clear"/>
            <w:vAlign w:val="bottom"/>
          </w:tcPr>
          <w:p>
            <w:pPr>
              <w:pStyle w:val="Normal"/>
              <w:jc w:val="center"/>
              <w:rPr>
                <w:b/>
                <w:bCs/>
                <w:color w:val="FFFFFF"/>
                <w:sz w:val="22"/>
                <w:szCs w:val="22"/>
              </w:rPr>
            </w:pPr>
            <w:r>
              <w:rPr>
                <w:b/>
                <w:bCs/>
                <w:color w:val="FFFFFF"/>
                <w:sz w:val="22"/>
                <w:szCs w:val="22"/>
              </w:rPr>
              <w:t>FICHE SIGNALETIQUE</w:t>
            </w:r>
          </w:p>
        </w:tc>
      </w:tr>
      <w:tr>
        <w:trPr>
          <w:trHeight w:val="315" w:hRule="atLeast"/>
        </w:trPr>
        <w:tc>
          <w:tcPr>
            <w:tcW w:w="35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8"/>
                <w:tab w:val="left" w:pos="780" w:leader="none"/>
                <w:tab w:val="left" w:pos="1455" w:leader="none"/>
                <w:tab w:val="center" w:pos="2195" w:leader="none"/>
              </w:tabs>
              <w:rPr/>
            </w:pPr>
            <w:r>
              <w:rPr/>
              <w:t>Nom(s) et prénom(s) du promoteur</w:t>
            </w:r>
          </w:p>
        </w:tc>
        <w:tc>
          <w:tcPr>
            <w:tcW w:w="5719"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pPr>
            <w:r>
              <w:rPr/>
              <w:t>Issa Traoré</w:t>
            </w:r>
          </w:p>
          <w:p>
            <w:pPr>
              <w:pStyle w:val="Normal"/>
              <w:rPr/>
            </w:pPr>
            <w:r>
              <w:rPr/>
            </w:r>
          </w:p>
        </w:tc>
        <w:tc>
          <w:tcPr>
            <w:tcW w:w="196" w:type="dxa"/>
            <w:tcBorders>
              <w:left w:val="single" w:sz="4" w:space="0" w:color="000000"/>
            </w:tcBorders>
            <w:vAlign w:val="bottom"/>
          </w:tcPr>
          <w:p>
            <w:pPr>
              <w:pStyle w:val="Normal"/>
              <w:rPr>
                <w:color w:val="000000"/>
                <w:sz w:val="22"/>
                <w:szCs w:val="22"/>
              </w:rPr>
            </w:pPr>
            <w:r>
              <w:rPr/>
            </w:r>
          </w:p>
        </w:tc>
        <w:tc>
          <w:tcPr>
            <w:tcW w:w="322" w:type="dxa"/>
            <w:tcBorders/>
            <w:vAlign w:val="bottom"/>
          </w:tcPr>
          <w:p>
            <w:pPr>
              <w:pStyle w:val="Normal"/>
              <w:rPr>
                <w:color w:val="000000"/>
                <w:sz w:val="22"/>
                <w:szCs w:val="22"/>
              </w:rPr>
            </w:pPr>
            <w:r>
              <w:rPr/>
            </w:r>
          </w:p>
        </w:tc>
      </w:tr>
      <w:tr>
        <w:trPr>
          <w:trHeight w:val="315" w:hRule="atLeast"/>
        </w:trPr>
        <w:tc>
          <w:tcPr>
            <w:tcW w:w="35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8"/>
                <w:tab w:val="left" w:pos="780" w:leader="none"/>
                <w:tab w:val="left" w:pos="1455" w:leader="none"/>
                <w:tab w:val="center" w:pos="2195" w:leader="none"/>
              </w:tabs>
              <w:rPr/>
            </w:pPr>
            <w:r>
              <w:rPr/>
              <w:t>Date de naissance du promoteur</w:t>
            </w:r>
          </w:p>
        </w:tc>
        <w:tc>
          <w:tcPr>
            <w:tcW w:w="5719"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pPr>
            <w:r>
              <w:rPr/>
              <w:t>Né le 23 juillet 1997 à Safo</w:t>
            </w:r>
          </w:p>
        </w:tc>
        <w:tc>
          <w:tcPr>
            <w:tcW w:w="196" w:type="dxa"/>
            <w:tcBorders>
              <w:left w:val="single" w:sz="4" w:space="0" w:color="000000"/>
            </w:tcBorders>
            <w:vAlign w:val="bottom"/>
          </w:tcPr>
          <w:p>
            <w:pPr>
              <w:pStyle w:val="Normal"/>
              <w:snapToGrid w:val="false"/>
              <w:rPr>
                <w:color w:val="000000"/>
                <w:sz w:val="22"/>
                <w:szCs w:val="22"/>
              </w:rPr>
            </w:pPr>
            <w:r>
              <w:rPr>
                <w:color w:val="000000"/>
                <w:sz w:val="22"/>
                <w:szCs w:val="22"/>
              </w:rPr>
            </w:r>
          </w:p>
        </w:tc>
        <w:tc>
          <w:tcPr>
            <w:tcW w:w="322" w:type="dxa"/>
            <w:tcBorders/>
            <w:vAlign w:val="bottom"/>
          </w:tcPr>
          <w:p>
            <w:pPr>
              <w:pStyle w:val="Normal"/>
              <w:snapToGrid w:val="false"/>
              <w:rPr>
                <w:color w:val="000000"/>
                <w:sz w:val="22"/>
                <w:szCs w:val="22"/>
              </w:rPr>
            </w:pPr>
            <w:r>
              <w:rPr>
                <w:color w:val="000000"/>
                <w:sz w:val="22"/>
                <w:szCs w:val="22"/>
              </w:rPr>
            </w:r>
          </w:p>
        </w:tc>
      </w:tr>
      <w:tr>
        <w:trPr>
          <w:trHeight w:val="300" w:hRule="atLeast"/>
        </w:trPr>
        <w:tc>
          <w:tcPr>
            <w:tcW w:w="3543" w:type="dxa"/>
            <w:tcBorders>
              <w:top w:val="single" w:sz="8" w:space="0" w:color="000000"/>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 Financement du Projet</w:t>
            </w:r>
          </w:p>
        </w:tc>
        <w:tc>
          <w:tcPr>
            <w:tcW w:w="3969" w:type="dxa"/>
            <w:gridSpan w:val="3"/>
            <w:tcBorders>
              <w:top w:val="single" w:sz="8" w:space="0" w:color="000000"/>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2268" w:type="dxa"/>
            <w:gridSpan w:val="4"/>
            <w:tcBorders>
              <w:top w:val="single" w:sz="8" w:space="0" w:color="000000"/>
              <w:bottom w:val="single" w:sz="4" w:space="0" w:color="000000"/>
              <w:right w:val="single" w:sz="8" w:space="0" w:color="000000"/>
            </w:tcBorders>
            <w:shd w:fill="166B7F" w:val="clear"/>
            <w:vAlign w:val="center"/>
          </w:tcPr>
          <w:p>
            <w:pPr>
              <w:pStyle w:val="Normal"/>
              <w:jc w:val="center"/>
              <w:rPr>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shd w:fill="FFFFFF" w:val="clear"/>
            <w:vAlign w:val="center"/>
          </w:tcPr>
          <w:p>
            <w:pPr>
              <w:pStyle w:val="Normal"/>
              <w:rPr>
                <w:b/>
                <w:bCs/>
                <w:color w:val="000000"/>
                <w:sz w:val="22"/>
                <w:szCs w:val="22"/>
              </w:rPr>
            </w:pPr>
            <w:r>
              <w:rPr>
                <w:b/>
                <w:bCs/>
                <w:color w:val="000000"/>
                <w:sz w:val="22"/>
                <w:szCs w:val="22"/>
              </w:rPr>
              <w:t>Coût Total du projet</w:t>
            </w:r>
          </w:p>
        </w:tc>
        <w:tc>
          <w:tcPr>
            <w:tcW w:w="2695" w:type="dxa"/>
            <w:tcBorders>
              <w:bottom w:val="single" w:sz="4" w:space="0" w:color="000000"/>
              <w:right w:val="single" w:sz="4" w:space="0" w:color="000000"/>
            </w:tcBorders>
            <w:vAlign w:val="center"/>
          </w:tcPr>
          <w:p>
            <w:pPr>
              <w:pStyle w:val="Normal"/>
              <w:rPr>
                <w:color w:val="000000"/>
                <w:sz w:val="22"/>
                <w:szCs w:val="22"/>
              </w:rPr>
            </w:pPr>
            <w:r>
              <w:rPr/>
            </w:r>
          </w:p>
        </w:tc>
        <w:tc>
          <w:tcPr>
            <w:tcW w:w="1274"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100%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5 000 000 F</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Montant de l’apport personnel</w:t>
            </w:r>
          </w:p>
        </w:tc>
        <w:tc>
          <w:tcPr>
            <w:tcW w:w="2695" w:type="dxa"/>
            <w:tcBorders>
              <w:bottom w:val="single" w:sz="4" w:space="0" w:color="000000"/>
              <w:right w:val="single" w:sz="4" w:space="0" w:color="000000"/>
            </w:tcBorders>
            <w:vAlign w:val="center"/>
          </w:tcPr>
          <w:p>
            <w:pPr>
              <w:pStyle w:val="Normal"/>
              <w:rPr>
                <w:color w:val="000000"/>
                <w:sz w:val="22"/>
                <w:szCs w:val="22"/>
              </w:rPr>
            </w:pPr>
            <w:r>
              <w:rPr/>
            </w:r>
          </w:p>
        </w:tc>
        <w:tc>
          <w:tcPr>
            <w:tcW w:w="1274" w:type="dxa"/>
            <w:gridSpan w:val="2"/>
            <w:tcBorders>
              <w:bottom w:val="single" w:sz="4" w:space="0" w:color="000000"/>
              <w:right w:val="single" w:sz="4" w:space="0" w:color="000000"/>
            </w:tcBorders>
            <w:vAlign w:val="center"/>
          </w:tcPr>
          <w:p>
            <w:pPr>
              <w:pStyle w:val="Normal"/>
              <w:jc w:val="center"/>
              <w:rPr>
                <w:i/>
                <w:i/>
                <w:iCs/>
                <w:color w:val="000000"/>
                <w:sz w:val="22"/>
                <w:szCs w:val="22"/>
              </w:rPr>
            </w:pPr>
            <w:r>
              <w:rPr>
                <w:i/>
                <w:iCs/>
                <w:color w:val="000000"/>
                <w:sz w:val="22"/>
                <w:szCs w:val="22"/>
              </w:rPr>
              <w:t>10%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500 000 F</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Montant du crédit de financement sollicité</w:t>
            </w:r>
          </w:p>
        </w:tc>
        <w:tc>
          <w:tcPr>
            <w:tcW w:w="2695" w:type="dxa"/>
            <w:tcBorders>
              <w:bottom w:val="single" w:sz="4" w:space="0" w:color="000000"/>
              <w:right w:val="single" w:sz="4" w:space="0" w:color="000000"/>
            </w:tcBorders>
            <w:vAlign w:val="center"/>
          </w:tcPr>
          <w:p>
            <w:pPr>
              <w:pStyle w:val="Normal"/>
              <w:rPr>
                <w:color w:val="000000"/>
                <w:sz w:val="22"/>
                <w:szCs w:val="22"/>
              </w:rPr>
            </w:pPr>
            <w:r>
              <w:rPr>
                <w:color w:val="000000"/>
                <w:sz w:val="22"/>
                <w:szCs w:val="22"/>
              </w:rPr>
              <w:t>Crédit Moyen Terme</w:t>
            </w:r>
          </w:p>
        </w:tc>
        <w:tc>
          <w:tcPr>
            <w:tcW w:w="1274" w:type="dxa"/>
            <w:gridSpan w:val="2"/>
            <w:tcBorders>
              <w:bottom w:val="single" w:sz="4" w:space="0" w:color="000000"/>
              <w:right w:val="single" w:sz="4" w:space="0" w:color="000000"/>
            </w:tcBorders>
            <w:vAlign w:val="center"/>
          </w:tcPr>
          <w:p>
            <w:pPr>
              <w:pStyle w:val="Normal"/>
              <w:jc w:val="center"/>
              <w:rPr>
                <w:i/>
                <w:i/>
                <w:iCs/>
                <w:color w:val="000000"/>
                <w:sz w:val="22"/>
                <w:szCs w:val="22"/>
              </w:rPr>
            </w:pPr>
            <w:r>
              <w:rPr>
                <w:i/>
                <w:iCs/>
                <w:color w:val="000000"/>
                <w:sz w:val="22"/>
                <w:szCs w:val="22"/>
              </w:rPr>
              <w:t>90%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4 500 000 F CFA</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sz w:val="22"/>
                <w:szCs w:val="22"/>
              </w:rPr>
            </w:pPr>
            <w:r>
              <w:rPr>
                <w:b/>
                <w:bCs/>
                <w:color w:val="000000"/>
                <w:sz w:val="22"/>
                <w:szCs w:val="22"/>
              </w:rPr>
            </w:r>
          </w:p>
        </w:tc>
        <w:tc>
          <w:tcPr>
            <w:tcW w:w="2695" w:type="dxa"/>
            <w:tcBorders>
              <w:bottom w:val="single" w:sz="4" w:space="0" w:color="000000"/>
              <w:right w:val="single" w:sz="4" w:space="0" w:color="000000"/>
            </w:tcBorders>
            <w:vAlign w:val="center"/>
          </w:tcPr>
          <w:p>
            <w:pPr>
              <w:pStyle w:val="Normal"/>
              <w:rPr>
                <w:color w:val="000000"/>
                <w:sz w:val="22"/>
                <w:szCs w:val="22"/>
              </w:rPr>
            </w:pPr>
            <w:r>
              <w:rPr>
                <w:color w:val="000000"/>
                <w:sz w:val="22"/>
                <w:szCs w:val="22"/>
              </w:rPr>
              <w:t>Crédit Court Terme</w:t>
            </w:r>
          </w:p>
        </w:tc>
        <w:tc>
          <w:tcPr>
            <w:tcW w:w="1274" w:type="dxa"/>
            <w:gridSpan w:val="2"/>
            <w:tcBorders>
              <w:bottom w:val="single" w:sz="4" w:space="0" w:color="000000"/>
              <w:right w:val="single" w:sz="4" w:space="0" w:color="000000"/>
            </w:tcBorders>
            <w:vAlign w:val="center"/>
          </w:tcPr>
          <w:p>
            <w:pPr>
              <w:pStyle w:val="Normal"/>
              <w:jc w:val="center"/>
              <w:rPr>
                <w:i/>
                <w:i/>
                <w:iCs/>
                <w:color w:val="000000"/>
                <w:sz w:val="22"/>
                <w:szCs w:val="22"/>
              </w:rPr>
            </w:pPr>
            <w:r>
              <w:rPr>
                <w:i/>
                <w:iCs/>
                <w:color w:val="000000"/>
                <w:sz w:val="22"/>
                <w:szCs w:val="22"/>
              </w:rPr>
              <w:t>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II. Conditions de financement du crédit</w:t>
            </w:r>
          </w:p>
        </w:tc>
        <w:tc>
          <w:tcPr>
            <w:tcW w:w="2695" w:type="dxa"/>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274"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2268" w:type="dxa"/>
            <w:gridSpan w:val="4"/>
            <w:tcBorders>
              <w:bottom w:val="single" w:sz="4" w:space="0" w:color="000000"/>
              <w:right w:val="single" w:sz="8" w:space="0" w:color="000000"/>
            </w:tcBorders>
            <w:shd w:fill="166B7F" w:val="clear"/>
            <w:vAlign w:val="center"/>
          </w:tcPr>
          <w:p>
            <w:pPr>
              <w:pStyle w:val="Normal"/>
              <w:jc w:val="center"/>
              <w:rPr>
                <w:b/>
                <w:bCs/>
                <w:color w:val="FFFFFF"/>
                <w:sz w:val="22"/>
                <w:szCs w:val="22"/>
              </w:rPr>
            </w:pPr>
            <w:r>
              <w:rPr/>
            </w:r>
          </w:p>
        </w:tc>
      </w:tr>
      <w:tr>
        <w:trPr>
          <w:trHeight w:val="454"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Institution financière (IFP)</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(à renseigner)</w:t>
            </w:r>
          </w:p>
        </w:tc>
      </w:tr>
      <w:tr>
        <w:trPr>
          <w:trHeight w:val="454"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Durée du prêt</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(Années et mois)</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36 mois (3 ans), dont 3 mois de différé</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Taux du prêt</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Taux du crédit Moyen terme</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8%</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sz w:val="22"/>
                <w:szCs w:val="22"/>
              </w:rPr>
            </w:pPr>
            <w:r>
              <w:rPr>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Taux du crédit Court terme</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Sans objet</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III. Données économiques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Chiffre d’affaires de référence (Entreprise en croissance)</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(Année 0)</w:t>
            </w:r>
          </w:p>
        </w:tc>
        <w:tc>
          <w:tcPr>
            <w:tcW w:w="1843" w:type="dxa"/>
            <w:gridSpan w:val="2"/>
            <w:tcBorders>
              <w:bottom w:val="single" w:sz="4" w:space="0" w:color="000000"/>
              <w:right w:val="single" w:sz="4" w:space="0" w:color="000000"/>
            </w:tcBorders>
            <w:shd w:fill="A9D18D" w:val="clear"/>
            <w:vAlign w:val="center"/>
          </w:tcPr>
          <w:p>
            <w:pPr>
              <w:pStyle w:val="Normal"/>
              <w:jc w:val="center"/>
              <w:rPr>
                <w:color w:val="000000"/>
                <w:sz w:val="22"/>
                <w:szCs w:val="22"/>
              </w:rPr>
            </w:pPr>
            <w:r>
              <w:rPr/>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Chiffres d’affaires prévisionnels</w:t>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1</w:t>
            </w:r>
            <w:r>
              <w:rPr>
                <w:color w:val="000000"/>
                <w:sz w:val="22"/>
                <w:szCs w:val="22"/>
                <w:vertAlign w:val="superscript"/>
              </w:rPr>
              <w:t>ère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sz w:val="22"/>
              </w:rPr>
            </w:pPr>
            <w:r>
              <w:rPr>
                <w:sz w:val="22"/>
              </w:rPr>
              <w:t>6 000 000</w:t>
            </w:r>
          </w:p>
        </w:tc>
        <w:tc>
          <w:tcPr>
            <w:tcW w:w="1417" w:type="dxa"/>
            <w:gridSpan w:val="3"/>
            <w:tcBorders>
              <w:bottom w:val="single" w:sz="4" w:space="0" w:color="000000"/>
              <w:right w:val="single" w:sz="8" w:space="0" w:color="000000"/>
            </w:tcBorders>
            <w:vAlign w:val="center"/>
          </w:tcPr>
          <w:p>
            <w:pPr>
              <w:pStyle w:val="Normal"/>
              <w:jc w:val="center"/>
              <w:rPr>
                <w:sz w:val="22"/>
              </w:rPr>
            </w:pPr>
            <w:r>
              <w:rPr>
                <w:sz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2</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6 120 000</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3</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6 242 400</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Résultats Nets</w:t>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1</w:t>
            </w:r>
            <w:r>
              <w:rPr>
                <w:color w:val="000000"/>
                <w:sz w:val="22"/>
                <w:szCs w:val="22"/>
                <w:vertAlign w:val="superscript"/>
              </w:rPr>
              <w:t>ère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983 174</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2</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1 067 206</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3</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1 242 706</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Capacité d’autofinancement</w:t>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1</w:t>
            </w:r>
            <w:r>
              <w:rPr>
                <w:color w:val="000000"/>
                <w:sz w:val="22"/>
                <w:szCs w:val="22"/>
                <w:vertAlign w:val="superscript"/>
              </w:rPr>
              <w:t>ère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1 898 091</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2</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1 967 123</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3</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2 142 622</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IV. Quelques ratios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Seuil de Rentabilité</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73 (année 3) – 78 (année 1)</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Valeur ajoutée</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75</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TRI</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30</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Délai de récupération</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Sans actualisation</w:t>
            </w:r>
          </w:p>
        </w:tc>
        <w:tc>
          <w:tcPr>
            <w:tcW w:w="3260" w:type="dxa"/>
            <w:gridSpan w:val="5"/>
            <w:tcBorders>
              <w:top w:val="single" w:sz="4" w:space="0" w:color="000000"/>
              <w:bottom w:val="single" w:sz="4" w:space="0" w:color="000000"/>
              <w:right w:val="single" w:sz="8" w:space="0" w:color="000000"/>
            </w:tcBorders>
            <w:vAlign w:val="center"/>
          </w:tcPr>
          <w:p>
            <w:pPr>
              <w:pStyle w:val="Normal"/>
              <w:jc w:val="center"/>
              <w:rPr>
                <w:color w:val="000000"/>
                <w:sz w:val="22"/>
                <w:szCs w:val="22"/>
              </w:rPr>
            </w:pPr>
            <w:r>
              <w:rPr>
                <w:sz w:val="22"/>
              </w:rPr>
              <w:t>2 ans et 6 mois</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sz w:val="22"/>
                <w:szCs w:val="22"/>
              </w:rPr>
            </w:pPr>
            <w:r>
              <w:rPr>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Avec actualisation</w:t>
            </w:r>
          </w:p>
        </w:tc>
        <w:tc>
          <w:tcPr>
            <w:tcW w:w="3260" w:type="dxa"/>
            <w:gridSpan w:val="5"/>
            <w:tcBorders>
              <w:top w:val="single" w:sz="4" w:space="0" w:color="000000"/>
              <w:bottom w:val="single" w:sz="4" w:space="0" w:color="000000"/>
              <w:right w:val="single" w:sz="8" w:space="0" w:color="000000"/>
            </w:tcBorders>
            <w:vAlign w:val="center"/>
          </w:tcPr>
          <w:p>
            <w:pPr>
              <w:pStyle w:val="Normal"/>
              <w:jc w:val="center"/>
              <w:rPr>
                <w:color w:val="000000"/>
                <w:sz w:val="22"/>
                <w:szCs w:val="22"/>
              </w:rPr>
            </w:pPr>
            <w:r>
              <w:rPr>
                <w:sz w:val="22"/>
              </w:rPr>
              <w:t>2 ans et 11 mois</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V. Emplois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Nombre d’emploi existant</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vMerge w:val="restart"/>
            <w:tcBorders>
              <w:left w:val="single" w:sz="8" w:space="0" w:color="000000"/>
              <w:bottom w:val="single" w:sz="8" w:space="0" w:color="000000"/>
              <w:right w:val="single" w:sz="4" w:space="0" w:color="000000"/>
            </w:tcBorders>
            <w:vAlign w:val="center"/>
          </w:tcPr>
          <w:p>
            <w:pPr>
              <w:pStyle w:val="Normal"/>
              <w:rPr>
                <w:b/>
                <w:bCs/>
                <w:color w:val="000000"/>
                <w:sz w:val="22"/>
                <w:szCs w:val="22"/>
              </w:rPr>
            </w:pPr>
            <w:r>
              <w:rPr>
                <w:b/>
                <w:bCs/>
                <w:color w:val="000000"/>
                <w:sz w:val="22"/>
                <w:szCs w:val="22"/>
              </w:rPr>
              <w:t>Création de nouveaux emplois</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Type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Hommes</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Femmes</w:t>
            </w:r>
          </w:p>
        </w:tc>
      </w:tr>
      <w:tr>
        <w:trPr>
          <w:trHeight w:val="300" w:hRule="atLeast"/>
        </w:trPr>
        <w:tc>
          <w:tcPr>
            <w:tcW w:w="3543" w:type="dxa"/>
            <w:vMerge w:val="continue"/>
            <w:tcBorders>
              <w:left w:val="single" w:sz="8" w:space="0" w:color="000000"/>
              <w:bottom w:val="single" w:sz="8"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Permanent</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2</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0</w:t>
            </w:r>
          </w:p>
        </w:tc>
      </w:tr>
      <w:tr>
        <w:trPr>
          <w:trHeight w:val="315" w:hRule="atLeast"/>
        </w:trPr>
        <w:tc>
          <w:tcPr>
            <w:tcW w:w="3543" w:type="dxa"/>
            <w:vMerge w:val="continue"/>
            <w:tcBorders>
              <w:left w:val="single" w:sz="8" w:space="0" w:color="000000"/>
              <w:bottom w:val="single" w:sz="8"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8" w:space="0" w:color="000000"/>
              <w:right w:val="single" w:sz="4" w:space="0" w:color="000000"/>
            </w:tcBorders>
            <w:vAlign w:val="center"/>
          </w:tcPr>
          <w:p>
            <w:pPr>
              <w:pStyle w:val="Normal"/>
              <w:rPr>
                <w:color w:val="000000"/>
                <w:sz w:val="22"/>
                <w:szCs w:val="22"/>
              </w:rPr>
            </w:pPr>
            <w:r>
              <w:rPr>
                <w:color w:val="000000"/>
                <w:sz w:val="22"/>
                <w:szCs w:val="22"/>
              </w:rPr>
              <w:t>Temporaire</w:t>
            </w:r>
          </w:p>
        </w:tc>
        <w:tc>
          <w:tcPr>
            <w:tcW w:w="1843" w:type="dxa"/>
            <w:gridSpan w:val="2"/>
            <w:tcBorders>
              <w:bottom w:val="single" w:sz="8" w:space="0" w:color="000000"/>
              <w:right w:val="single" w:sz="4" w:space="0" w:color="000000"/>
            </w:tcBorders>
            <w:vAlign w:val="center"/>
          </w:tcPr>
          <w:p>
            <w:pPr>
              <w:pStyle w:val="Normal"/>
              <w:jc w:val="center"/>
              <w:rPr>
                <w:color w:val="000000"/>
                <w:sz w:val="22"/>
                <w:szCs w:val="22"/>
              </w:rPr>
            </w:pPr>
            <w:r>
              <w:rPr>
                <w:color w:val="000000"/>
                <w:sz w:val="22"/>
                <w:szCs w:val="22"/>
              </w:rPr>
              <w:t>3</w:t>
            </w:r>
          </w:p>
        </w:tc>
        <w:tc>
          <w:tcPr>
            <w:tcW w:w="1417" w:type="dxa"/>
            <w:gridSpan w:val="3"/>
            <w:tcBorders>
              <w:bottom w:val="single" w:sz="8"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0</w:t>
            </w:r>
          </w:p>
        </w:tc>
      </w:tr>
      <w:tr>
        <w:trPr>
          <w:trHeight w:val="300" w:hRule="atLeast"/>
        </w:trPr>
        <w:tc>
          <w:tcPr>
            <w:tcW w:w="3543" w:type="dxa"/>
            <w:tcBorders/>
            <w:shd w:fill="E2EFD9" w:val="clear"/>
            <w:vAlign w:val="bottom"/>
          </w:tcPr>
          <w:p>
            <w:pPr>
              <w:pStyle w:val="Normal"/>
              <w:rPr>
                <w:color w:val="000000"/>
                <w:sz w:val="22"/>
                <w:szCs w:val="22"/>
              </w:rPr>
            </w:pPr>
            <w:r>
              <w:rPr/>
            </w:r>
          </w:p>
        </w:tc>
        <w:tc>
          <w:tcPr>
            <w:tcW w:w="2977" w:type="dxa"/>
            <w:gridSpan w:val="2"/>
            <w:tcBorders/>
            <w:shd w:fill="E2EFD9" w:val="clear"/>
            <w:vAlign w:val="bottom"/>
          </w:tcPr>
          <w:p>
            <w:pPr>
              <w:pStyle w:val="Normal"/>
              <w:rPr>
                <w:color w:val="000000"/>
                <w:sz w:val="22"/>
                <w:szCs w:val="22"/>
              </w:rPr>
            </w:pPr>
            <w:r>
              <w:rPr/>
            </w:r>
          </w:p>
        </w:tc>
        <w:tc>
          <w:tcPr>
            <w:tcW w:w="1843" w:type="dxa"/>
            <w:gridSpan w:val="2"/>
            <w:tcBorders/>
            <w:shd w:fill="E2EFD9" w:val="clear"/>
            <w:vAlign w:val="bottom"/>
          </w:tcPr>
          <w:p>
            <w:pPr>
              <w:pStyle w:val="Normal"/>
              <w:jc w:val="center"/>
              <w:rPr>
                <w:color w:val="000000"/>
                <w:sz w:val="22"/>
                <w:szCs w:val="22"/>
              </w:rPr>
            </w:pPr>
            <w:r>
              <w:rPr/>
            </w:r>
          </w:p>
        </w:tc>
        <w:tc>
          <w:tcPr>
            <w:tcW w:w="1417" w:type="dxa"/>
            <w:gridSpan w:val="3"/>
            <w:tcBorders/>
            <w:shd w:fill="E2EFD9" w:val="clear"/>
            <w:vAlign w:val="bottom"/>
          </w:tcPr>
          <w:p>
            <w:pPr>
              <w:pStyle w:val="Normal"/>
              <w:jc w:val="center"/>
              <w:rPr>
                <w:rFonts w:ascii="Calibri" w:hAnsi="Calibri" w:cs="Calibri"/>
                <w:color w:val="000000"/>
                <w:sz w:val="22"/>
                <w:szCs w:val="22"/>
              </w:rPr>
            </w:pPr>
            <w:r>
              <w:rPr/>
            </w:r>
          </w:p>
        </w:tc>
      </w:tr>
    </w:tbl>
    <w:p>
      <w:pPr>
        <w:pStyle w:val="Heading1"/>
        <w:keepLines/>
        <w:numPr>
          <w:ilvl w:val="0"/>
          <w:numId w:val="6"/>
        </w:numPr>
        <w:spacing w:before="240" w:after="120"/>
        <w:ind w:hanging="431" w:left="431" w:right="0"/>
        <w:rPr>
          <w:rFonts w:ascii="Times New Roman" w:hAnsi="Times New Roman" w:cs="Times New Roman"/>
          <w:caps/>
          <w:color w:val="166B7F"/>
          <w:kern w:val="0"/>
          <w:lang w:eastAsia="en-US"/>
        </w:rPr>
      </w:pPr>
      <w:bookmarkStart w:id="1" w:name="__RefHeading___Toc18080_4017987919"/>
      <w:bookmarkEnd w:id="1"/>
      <w:r>
        <w:rPr/>
        <w:t>APERÇU GÉNÉRAL</w:t>
      </w:r>
      <w:bookmarkStart w:id="2" w:name="__RefHeading___Toc234831691"/>
      <w:bookmarkEnd w:id="2"/>
    </w:p>
    <w:p>
      <w:pPr>
        <w:pStyle w:val="Heading2"/>
        <w:keepLines/>
        <w:numPr>
          <w:ilvl w:val="0"/>
          <w:numId w:val="7"/>
        </w:numPr>
        <w:spacing w:before="120" w:after="120"/>
        <w:ind w:hanging="0" w:left="0" w:right="0"/>
        <w:jc w:val="both"/>
        <w:rPr>
          <w:rFonts w:ascii="Times New Roman" w:hAnsi="Times New Roman" w:cs="Times New Roman"/>
          <w:i w:val="false"/>
          <w:i w:val="false"/>
          <w:iCs w:val="false"/>
          <w:sz w:val="24"/>
          <w:szCs w:val="24"/>
          <w:lang w:val="fr-CI"/>
        </w:rPr>
      </w:pPr>
      <w:bookmarkStart w:id="3" w:name="__RefHeading___Toc234831692"/>
      <w:bookmarkEnd w:id="3"/>
      <w:r>
        <w:rPr>
          <w:rFonts w:cs="Times New Roman" w:ascii="Times New Roman" w:hAnsi="Times New Roman"/>
          <w:i w:val="false"/>
          <w:iCs w:val="false"/>
          <w:sz w:val="24"/>
          <w:szCs w:val="24"/>
          <w:lang w:val="fr-CI"/>
        </w:rPr>
        <w:t>Présentation du Promoteur :</w:t>
      </w:r>
    </w:p>
    <w:p>
      <w:pPr>
        <w:pStyle w:val="Normal"/>
        <w:rPr>
          <w:lang w:val="fr-CI"/>
        </w:rPr>
      </w:pPr>
      <w:r>
        <w:rPr/>
        <w:t xml:space="preserve">Issa Traoré est un jeune producteur résidant à Chôdo, dans la commune de Safo (Région de Koulikoro). Depuis plusieurs années, il pratique la culture de la pastèque en contre-saison et maîtrise les techniques de production maraîchère. Son expérience de terrain et sa connaissance du marché local lui permettent aujourd’hui d’envisager une production à plus grande échelle pour répondre à la demande croissante des marchés de Bamako et de ses environs. C’est dans cette dynamique qu’il crée l’entreprise </w:t>
      </w:r>
      <w:r>
        <w:rPr>
          <w:b/>
          <w:bCs/>
        </w:rPr>
        <w:t>ZÉRÉ DÉLICE D’ISSA</w:t>
      </w:r>
      <w:r>
        <w:rPr/>
        <w:t>, un nom qui exprime à la fois la qualité de ses produits (Zéré = pastèque en bambara), la nature de son produit (la pastèque) et la promesse de saveurs authentiques (Délice).</w:t>
      </w:r>
      <w:r>
        <w:rPr>
          <w:rFonts w:cs="Segoe UI" w:ascii="Segoe UI" w:hAnsi="Segoe UI"/>
          <w:color w:val="0F1115"/>
          <w:shd w:fill="FFFFFF" w:val="clear"/>
        </w:rPr>
        <w:t xml:space="preserve"> </w:t>
      </w:r>
      <w:r>
        <w:rPr/>
        <w:t>Pour renforcer ses compétences, il a suivi une formation technique en production horticole durable organisée par SIDIBE Agrotechniques, à Kati-Bougou, pendant 3 mois. Cette formation lui a permis d’acquérir des compétences pratiques en culture maraîchère durable, notamment sur la pastèque. Il a reçu une attestation de participation délivrée le 12 mars 2026 par le Directeur Général Amadou Dicko Sidibe.</w:t>
      </w:r>
      <w:r>
        <w:rPr>
          <w:rFonts w:cs="Segoe UI" w:ascii="Segoe UI" w:hAnsi="Segoe UI"/>
          <w:color w:val="0F1115"/>
          <w:shd w:fill="FFFFFF" w:val="clear"/>
        </w:rPr>
        <w:t xml:space="preserve"> </w:t>
      </w:r>
      <w:r>
        <w:rPr/>
        <w:t>Son ambition est de devenir un producteur de référence de pastèque dans la commune de Safo et de contribuer à réduire les importations de pastèque au Mali.</w:t>
      </w:r>
    </w:p>
    <w:p>
      <w:pPr>
        <w:pStyle w:val="Heading2"/>
        <w:keepLines/>
        <w:numPr>
          <w:ilvl w:val="0"/>
          <w:numId w:val="7"/>
        </w:numPr>
        <w:spacing w:before="120" w:after="120"/>
        <w:ind w:hanging="0" w:left="0" w:right="0"/>
        <w:jc w:val="both"/>
        <w:rPr>
          <w:rFonts w:ascii="Times New Roman" w:hAnsi="Times New Roman" w:cs="Times New Roman"/>
          <w:i w:val="false"/>
          <w:i w:val="false"/>
          <w:iCs w:val="false"/>
          <w:sz w:val="24"/>
          <w:szCs w:val="24"/>
          <w:lang w:val="fr-CI"/>
        </w:rPr>
      </w:pPr>
      <w:bookmarkStart w:id="4" w:name="__RefHeading___Toc234831693"/>
      <w:bookmarkEnd w:id="4"/>
      <w:r>
        <w:rPr>
          <w:rFonts w:cs="Times New Roman" w:ascii="Times New Roman" w:hAnsi="Times New Roman"/>
          <w:i w:val="false"/>
          <w:iCs w:val="false"/>
          <w:sz w:val="24"/>
          <w:szCs w:val="24"/>
          <w:lang w:val="fr-CI"/>
        </w:rPr>
        <w:t>Description du projet :</w:t>
      </w:r>
    </w:p>
    <w:p>
      <w:pPr>
        <w:pStyle w:val="Normal"/>
        <w:shd w:val="clear" w:fill="FFFFFF"/>
        <w:suppressAutoHyphens w:val="false"/>
        <w:spacing w:before="240" w:after="240"/>
        <w:rPr/>
      </w:pPr>
      <w:r>
        <w:rPr/>
        <w:t>Le projet est basé sur la création d'une entreprise de production et de commercialisation de pastèque, sous la marque ZÉRÉ DÉLICE D'ISSA. Il s'agit d'aménager une parcelle d'1 hectare en location à Chôdo, commune de Safo (Région de Koulikoro), pour produire de la pastèque de haute qualité. L'entreprise prévoit l'installation d'équipements de production : système d'irrigation goutte-à-goutte, pompe solaire, panneaux solaires, tuyaux, vannes, pulvérisateur et petit matériel pour optimiser la production. Pour cette première campagne, l'entreprise a besoin de s'approvisionner en semences de pastèque de variétés adaptées aux conditions locales. La production sera orientée vers trois calibres : gros calibre (6 à 8 kg), moyen calibre (4 à 5 kg) et petit calibre (2 à 3 kg). Le cycle de production est de 3 mois avant la vente sur les marchés , la commercialisation étant concentrée sur la période de récolte. Ce projet contribuera à l'approvisionnement des marchés de Safo, Bamako et environs en pastèques fraîches et juteuses, tout en créant des emplois pour les jeunes de la localité. Il vise un chiffre d'affaires annuel de 6 000 000 F CFA et s'inscrit dans une dynamique de sécurité alimentaire et de valorisation des ressources locales. Pour garantir la réussite de cette production, le choix des variétés de pastèque est un élément déterminant. La pastèque, dont le nom scientifique est Citrullus lanatus (Thunb.) Matsum. &amp; Nakai, est une cucurbitacée qui exige des températures élevées et un ensoleillement important, conditions parfaitement réunies à Chôdo.</w:t>
      </w:r>
    </w:p>
    <w:p>
      <w:pPr>
        <w:pStyle w:val="Normal"/>
        <w:jc w:val="both"/>
        <w:rPr>
          <w:sz w:val="22"/>
          <w:szCs w:val="22"/>
        </w:rPr>
      </w:pPr>
      <w:r>
        <w:rPr>
          <w:sz w:val="22"/>
          <w:szCs w:val="22"/>
        </w:rPr>
      </w:r>
    </w:p>
    <w:p>
      <w:pPr>
        <w:pStyle w:val="Heading2"/>
        <w:keepLines/>
        <w:numPr>
          <w:ilvl w:val="0"/>
          <w:numId w:val="7"/>
        </w:numPr>
        <w:spacing w:before="120" w:after="120"/>
        <w:ind w:hanging="0" w:left="0" w:right="0"/>
        <w:jc w:val="both"/>
        <w:rPr>
          <w:rFonts w:ascii="Times New Roman" w:hAnsi="Times New Roman" w:cs="Times New Roman"/>
          <w:i w:val="false"/>
          <w:i w:val="false"/>
          <w:iCs w:val="false"/>
          <w:sz w:val="24"/>
          <w:szCs w:val="24"/>
          <w:lang w:val="fr-CI"/>
        </w:rPr>
      </w:pPr>
      <w:bookmarkStart w:id="5" w:name="__RefHeading___Toc234831694"/>
      <w:bookmarkEnd w:id="5"/>
      <w:r>
        <w:rPr>
          <w:rFonts w:cs="Times New Roman" w:ascii="Times New Roman" w:hAnsi="Times New Roman"/>
          <w:i w:val="false"/>
          <w:iCs w:val="false"/>
          <w:sz w:val="24"/>
          <w:szCs w:val="24"/>
          <w:lang w:val="fr-CI"/>
        </w:rPr>
        <w:t xml:space="preserve">Objectifs du projet : </w:t>
      </w:r>
    </w:p>
    <w:p>
      <w:pPr>
        <w:pStyle w:val="Normal"/>
        <w:rPr>
          <w:b/>
          <w:sz w:val="22"/>
          <w:szCs w:val="22"/>
          <w:lang w:val="fr-CI"/>
        </w:rPr>
      </w:pPr>
      <w:r>
        <w:rPr>
          <w:b/>
          <w:sz w:val="22"/>
          <w:szCs w:val="22"/>
          <w:lang w:val="fr-CI"/>
        </w:rPr>
        <w:t>L’objectif global du projet est :</w:t>
      </w:r>
    </w:p>
    <w:p>
      <w:pPr>
        <w:pStyle w:val="Normal"/>
        <w:rPr/>
      </w:pPr>
      <w:r>
        <w:rPr/>
        <w:t>Aménager et exploiter une parcelle maraîchère d’1 hectare en location à Chôdo, commune de Safo, pour la production et la commercialisation de pastèque fraîche, juteuse et de conservation facile, sous la marque ZÉRÉ DÉLICE D’ISSA.</w:t>
      </w:r>
    </w:p>
    <w:p>
      <w:pPr>
        <w:pStyle w:val="Normal"/>
        <w:rPr>
          <w:b/>
          <w:sz w:val="22"/>
          <w:szCs w:val="22"/>
          <w:lang w:val="fr-CI"/>
        </w:rPr>
      </w:pPr>
      <w:r>
        <w:rPr>
          <w:b/>
          <w:sz w:val="22"/>
          <w:szCs w:val="22"/>
          <w:lang w:val="fr-CI"/>
        </w:rPr>
        <w:t>Les objectifs spécifiques du projet sont :</w:t>
      </w:r>
    </w:p>
    <w:p>
      <w:pPr>
        <w:pStyle w:val="Normal"/>
        <w:numPr>
          <w:ilvl w:val="0"/>
          <w:numId w:val="3"/>
        </w:numPr>
        <w:rPr>
          <w:bCs/>
          <w:sz w:val="22"/>
          <w:szCs w:val="22"/>
        </w:rPr>
      </w:pPr>
      <w:r>
        <w:rPr>
          <w:bCs/>
          <w:sz w:val="22"/>
          <w:szCs w:val="22"/>
        </w:rPr>
        <w:t xml:space="preserve">Réaliser un chiffre d’affaires de </w:t>
      </w:r>
      <w:r>
        <w:rPr>
          <w:sz w:val="22"/>
          <w:szCs w:val="22"/>
        </w:rPr>
        <w:t>6 000 000 FCFA</w:t>
      </w:r>
      <w:r>
        <w:rPr>
          <w:bCs/>
          <w:sz w:val="22"/>
          <w:szCs w:val="22"/>
        </w:rPr>
        <w:t xml:space="preserve"> la première année d’exploitation de la parcelle maraîchère ;</w:t>
      </w:r>
    </w:p>
    <w:p>
      <w:pPr>
        <w:pStyle w:val="Normal"/>
        <w:numPr>
          <w:ilvl w:val="0"/>
          <w:numId w:val="3"/>
        </w:numPr>
        <w:rPr>
          <w:bCs/>
          <w:sz w:val="22"/>
          <w:szCs w:val="22"/>
        </w:rPr>
      </w:pPr>
      <w:r>
        <w:rPr>
          <w:bCs/>
          <w:sz w:val="22"/>
          <w:szCs w:val="22"/>
        </w:rPr>
        <w:t xml:space="preserve">Offrir sur le marché de </w:t>
      </w:r>
      <w:r>
        <w:rPr>
          <w:sz w:val="22"/>
          <w:szCs w:val="22"/>
        </w:rPr>
        <w:t>Bamako, Safo et environs des pastèques fraîches, juteuses et de conservation facile</w:t>
      </w:r>
      <w:r>
        <w:rPr>
          <w:bCs/>
          <w:sz w:val="22"/>
          <w:szCs w:val="22"/>
        </w:rPr>
        <w:t xml:space="preserve"> (gros, moyen et petit calibres) ;</w:t>
      </w:r>
    </w:p>
    <w:p>
      <w:pPr>
        <w:pStyle w:val="Normal"/>
        <w:numPr>
          <w:ilvl w:val="0"/>
          <w:numId w:val="3"/>
        </w:numPr>
        <w:rPr>
          <w:bCs/>
          <w:sz w:val="22"/>
          <w:szCs w:val="22"/>
        </w:rPr>
      </w:pPr>
      <w:r>
        <w:rPr>
          <w:bCs/>
          <w:sz w:val="22"/>
          <w:szCs w:val="22"/>
        </w:rPr>
        <w:t xml:space="preserve">Assurer la promotion d’une </w:t>
      </w:r>
      <w:r>
        <w:rPr>
          <w:sz w:val="22"/>
          <w:szCs w:val="22"/>
        </w:rPr>
        <w:t>agriculture durable</w:t>
      </w:r>
      <w:r>
        <w:rPr>
          <w:bCs/>
          <w:sz w:val="22"/>
          <w:szCs w:val="22"/>
        </w:rPr>
        <w:t xml:space="preserve"> à travers une production maraîchère utilisant prioritairement la </w:t>
      </w:r>
      <w:r>
        <w:rPr>
          <w:sz w:val="22"/>
          <w:szCs w:val="22"/>
        </w:rPr>
        <w:t>fumure organique</w:t>
      </w:r>
      <w:r>
        <w:rPr>
          <w:bCs/>
          <w:sz w:val="22"/>
          <w:szCs w:val="22"/>
        </w:rPr>
        <w:t xml:space="preserve"> et peu d’engrais chimiques ;</w:t>
      </w:r>
    </w:p>
    <w:p>
      <w:pPr>
        <w:pStyle w:val="Normal"/>
        <w:numPr>
          <w:ilvl w:val="0"/>
          <w:numId w:val="3"/>
        </w:numPr>
        <w:rPr>
          <w:bCs/>
          <w:sz w:val="22"/>
          <w:szCs w:val="22"/>
        </w:rPr>
      </w:pPr>
      <w:r>
        <w:rPr>
          <w:bCs/>
          <w:sz w:val="22"/>
          <w:szCs w:val="22"/>
        </w:rPr>
        <w:t xml:space="preserve">Créer </w:t>
      </w:r>
      <w:r>
        <w:rPr>
          <w:sz w:val="22"/>
          <w:szCs w:val="22"/>
        </w:rPr>
        <w:t>cinq (5) emplois directs</w:t>
      </w:r>
      <w:r>
        <w:rPr>
          <w:bCs/>
          <w:sz w:val="22"/>
          <w:szCs w:val="22"/>
        </w:rPr>
        <w:t xml:space="preserve"> (1 promoteur, 1 agronome, 3 saisonniers) pour les jeunes et les femmes de la localité ;</w:t>
      </w:r>
    </w:p>
    <w:p>
      <w:pPr>
        <w:pStyle w:val="Normal"/>
        <w:numPr>
          <w:ilvl w:val="0"/>
          <w:numId w:val="3"/>
        </w:numPr>
        <w:rPr>
          <w:bCs/>
          <w:sz w:val="22"/>
          <w:szCs w:val="22"/>
        </w:rPr>
      </w:pPr>
      <w:r>
        <w:rPr>
          <w:bCs/>
          <w:sz w:val="22"/>
          <w:szCs w:val="22"/>
        </w:rPr>
        <w:t xml:space="preserve">Positionner la marque </w:t>
      </w:r>
      <w:r>
        <w:rPr>
          <w:b/>
          <w:bCs/>
          <w:sz w:val="22"/>
          <w:szCs w:val="22"/>
        </w:rPr>
        <w:t>ZÉRÉ DÉLICE D’ISSA</w:t>
      </w:r>
      <w:r>
        <w:rPr>
          <w:bCs/>
          <w:sz w:val="22"/>
          <w:szCs w:val="22"/>
        </w:rPr>
        <w:t xml:space="preserve"> comme une référence de qualité sur le marché malien de la pastèque.</w:t>
      </w:r>
    </w:p>
    <w:p>
      <w:pPr>
        <w:pStyle w:val="Normal"/>
        <w:rPr>
          <w:bCs/>
          <w:sz w:val="22"/>
          <w:szCs w:val="22"/>
        </w:rPr>
      </w:pPr>
      <w:r>
        <w:rPr>
          <w:bCs/>
          <w:sz w:val="22"/>
          <w:szCs w:val="22"/>
        </w:rPr>
      </w:r>
    </w:p>
    <w:p>
      <w:pPr>
        <w:pStyle w:val="Heading2"/>
        <w:keepLines/>
        <w:numPr>
          <w:ilvl w:val="0"/>
          <w:numId w:val="7"/>
        </w:numPr>
        <w:spacing w:before="120" w:after="120"/>
        <w:ind w:hanging="0" w:left="0" w:right="0"/>
        <w:jc w:val="both"/>
        <w:rPr>
          <w:rFonts w:ascii="Times New Roman" w:hAnsi="Times New Roman" w:cs="Times New Roman"/>
          <w:i w:val="false"/>
          <w:i w:val="false"/>
          <w:iCs w:val="false"/>
          <w:sz w:val="24"/>
          <w:szCs w:val="24"/>
          <w:lang w:val="fr-CI"/>
        </w:rPr>
      </w:pPr>
      <w:bookmarkStart w:id="6" w:name="__RefHeading___Toc234831695"/>
      <w:bookmarkEnd w:id="6"/>
      <w:r>
        <w:rPr>
          <w:rFonts w:cs="Times New Roman" w:ascii="Times New Roman" w:hAnsi="Times New Roman"/>
          <w:i w:val="false"/>
          <w:iCs w:val="false"/>
          <w:sz w:val="24"/>
          <w:szCs w:val="24"/>
          <w:lang w:val="fr-CI"/>
        </w:rPr>
        <w:t>Localisation du projet</w:t>
      </w:r>
    </w:p>
    <w:p>
      <w:pPr>
        <w:pStyle w:val="Normal"/>
        <w:rPr>
          <w:lang w:val="fr-CI"/>
        </w:rPr>
      </w:pPr>
      <w:r>
        <w:rPr/>
        <w:t xml:space="preserve">Le projet est réalisé à </w:t>
      </w:r>
      <w:r>
        <w:rPr>
          <w:b/>
          <w:bCs/>
        </w:rPr>
        <w:t>Chôdo</w:t>
      </w:r>
      <w:r>
        <w:rPr/>
        <w:t xml:space="preserve">, dans la commune de </w:t>
      </w:r>
      <w:r>
        <w:rPr>
          <w:b/>
          <w:bCs/>
        </w:rPr>
        <w:t>Safo</w:t>
      </w:r>
      <w:r>
        <w:rPr/>
        <w:t xml:space="preserve">, Région de </w:t>
      </w:r>
      <w:r>
        <w:rPr>
          <w:b/>
          <w:bCs/>
        </w:rPr>
        <w:t>Koulikoro.</w:t>
      </w:r>
    </w:p>
    <w:p>
      <w:pPr>
        <w:pStyle w:val="Heading1"/>
        <w:keepLines/>
        <w:numPr>
          <w:ilvl w:val="0"/>
          <w:numId w:val="6"/>
        </w:numPr>
        <w:spacing w:before="240" w:after="0"/>
        <w:ind w:hanging="431" w:left="431" w:right="0"/>
        <w:jc w:val="both"/>
        <w:rPr>
          <w:rFonts w:ascii="Times New Roman" w:hAnsi="Times New Roman" w:cs="Times New Roman"/>
          <w:caps/>
          <w:color w:val="166B7F"/>
          <w:kern w:val="0"/>
          <w:sz w:val="28"/>
          <w:szCs w:val="28"/>
          <w:lang w:eastAsia="en-US"/>
        </w:rPr>
      </w:pPr>
      <w:bookmarkStart w:id="7" w:name="__RefHeading___Toc234831696"/>
      <w:bookmarkEnd w:id="7"/>
      <w:r>
        <w:rPr>
          <w:rFonts w:cs="Times New Roman" w:ascii="Times New Roman" w:hAnsi="Times New Roman"/>
          <w:caps/>
          <w:color w:val="166B7F"/>
          <w:kern w:val="0"/>
          <w:sz w:val="28"/>
          <w:szCs w:val="28"/>
          <w:lang w:eastAsia="en-US"/>
        </w:rPr>
        <w:t>ÉTUDE DE MARCHÉ</w:t>
      </w:r>
    </w:p>
    <w:p>
      <w:pPr>
        <w:pStyle w:val="Normal"/>
        <w:rPr>
          <w:b/>
          <w:bCs/>
          <w:lang w:eastAsia="en-US"/>
        </w:rPr>
      </w:pPr>
      <w:r>
        <w:rPr>
          <w:b/>
          <w:bCs/>
          <w:lang w:eastAsia="en-US"/>
        </w:rPr>
        <w:t>1. Les produits</w:t>
      </w:r>
    </w:p>
    <w:p>
      <w:pPr>
        <w:pStyle w:val="Normal"/>
        <w:rPr>
          <w:lang w:eastAsia="en-US"/>
        </w:rPr>
      </w:pPr>
      <w:r>
        <w:rPr>
          <w:lang w:eastAsia="en-US"/>
        </w:rPr>
        <w:t xml:space="preserve">Les produits que l'entreprise </w:t>
      </w:r>
      <w:r>
        <w:rPr>
          <w:b/>
          <w:bCs/>
          <w:lang w:eastAsia="en-US"/>
        </w:rPr>
        <w:t>ZÉRÉ DÉLICE D'ISSA</w:t>
      </w:r>
      <w:r>
        <w:rPr>
          <w:lang w:eastAsia="en-US"/>
        </w:rPr>
        <w:t xml:space="preserve"> offre aux clients sont : la pastèque de gros calibre, la pastèque de moyen calibre et la pastèque de petit calibre. Il faut noter que la caractéristique fondamentale des produits de l'entreprise est leur qualité gustative supérieure, leur fraîcheu</w:t>
      </w:r>
      <w:r>
        <w:rPr>
          <w:b/>
          <w:bCs/>
          <w:lang w:eastAsia="en-US"/>
        </w:rPr>
        <w:t>r</w:t>
      </w:r>
      <w:r>
        <w:rPr>
          <w:lang w:eastAsia="en-US"/>
        </w:rPr>
        <w:t xml:space="preserve"> et leur valeur nutritive, gages de satisfaction pour la clientèle.</w:t>
      </w:r>
    </w:p>
    <w:p>
      <w:pPr>
        <w:pStyle w:val="Normal"/>
        <w:rPr>
          <w:lang w:eastAsia="en-US"/>
        </w:rPr>
      </w:pPr>
      <w:r>
        <w:rPr>
          <w:lang w:eastAsia="en-US"/>
        </w:rPr>
        <w:t>Les caractéristiques des produits qui seront mis sur le marché sont :</w:t>
      </w:r>
    </w:p>
    <w:p>
      <w:pPr>
        <w:pStyle w:val="Normal"/>
        <w:rPr>
          <w:lang w:eastAsia="en-US"/>
        </w:rPr>
      </w:pPr>
      <w:r>
        <w:rPr>
          <w:b/>
          <w:bCs/>
          <w:lang w:eastAsia="en-US"/>
        </w:rPr>
        <w:t>Pastèque de gros calibre (6 à 8 kg) :</w:t>
      </w:r>
    </w:p>
    <w:p>
      <w:pPr>
        <w:pStyle w:val="Normal"/>
        <w:numPr>
          <w:ilvl w:val="0"/>
          <w:numId w:val="12"/>
        </w:numPr>
        <w:rPr>
          <w:lang w:eastAsia="en-US"/>
        </w:rPr>
      </w:pPr>
      <w:r>
        <w:rPr>
          <w:lang w:eastAsia="en-US"/>
        </w:rPr>
        <w:t>Variété Koloss ;</w:t>
      </w:r>
    </w:p>
    <w:p>
      <w:pPr>
        <w:pStyle w:val="Normal"/>
        <w:numPr>
          <w:ilvl w:val="0"/>
          <w:numId w:val="12"/>
        </w:numPr>
        <w:rPr>
          <w:lang w:eastAsia="en-US"/>
        </w:rPr>
      </w:pPr>
      <w:r>
        <w:rPr>
          <w:lang w:eastAsia="en-US"/>
        </w:rPr>
        <w:t>Chair rouge, juteuse et sucrée ;</w:t>
      </w:r>
    </w:p>
    <w:p>
      <w:pPr>
        <w:pStyle w:val="Normal"/>
        <w:numPr>
          <w:ilvl w:val="0"/>
          <w:numId w:val="12"/>
        </w:numPr>
        <w:rPr>
          <w:lang w:eastAsia="en-US"/>
        </w:rPr>
      </w:pPr>
      <w:r>
        <w:rPr>
          <w:lang w:eastAsia="en-US"/>
        </w:rPr>
        <w:t>Qualité gustative supérieure ;</w:t>
      </w:r>
    </w:p>
    <w:p>
      <w:pPr>
        <w:pStyle w:val="Normal"/>
        <w:numPr>
          <w:ilvl w:val="0"/>
          <w:numId w:val="12"/>
        </w:numPr>
        <w:rPr>
          <w:lang w:eastAsia="en-US"/>
        </w:rPr>
      </w:pPr>
      <w:r>
        <w:rPr>
          <w:lang w:eastAsia="en-US"/>
        </w:rPr>
        <w:t>Valeur nutritive élevée ;</w:t>
      </w:r>
    </w:p>
    <w:p>
      <w:pPr>
        <w:pStyle w:val="Normal"/>
        <w:numPr>
          <w:ilvl w:val="0"/>
          <w:numId w:val="12"/>
        </w:numPr>
        <w:rPr>
          <w:lang w:eastAsia="en-US"/>
        </w:rPr>
      </w:pPr>
      <w:r>
        <w:rPr>
          <w:lang w:eastAsia="en-US"/>
        </w:rPr>
        <w:t>Riche en vitamines A et C ;</w:t>
      </w:r>
    </w:p>
    <w:p>
      <w:pPr>
        <w:pStyle w:val="Normal"/>
        <w:numPr>
          <w:ilvl w:val="0"/>
          <w:numId w:val="12"/>
        </w:numPr>
        <w:rPr>
          <w:lang w:eastAsia="en-US"/>
        </w:rPr>
      </w:pPr>
      <w:r>
        <w:rPr>
          <w:lang w:eastAsia="en-US"/>
        </w:rPr>
        <w:t>Facilite la digestion.</w:t>
      </w:r>
    </w:p>
    <w:p>
      <w:pPr>
        <w:pStyle w:val="Normal"/>
        <w:rPr>
          <w:lang w:eastAsia="en-US"/>
        </w:rPr>
      </w:pPr>
      <w:r>
        <w:rPr>
          <w:b/>
          <w:bCs/>
          <w:lang w:eastAsia="en-US"/>
        </w:rPr>
        <w:t>Pastèque de moyen calibre (4 à 5 kg) :</w:t>
      </w:r>
    </w:p>
    <w:p>
      <w:pPr>
        <w:pStyle w:val="Normal"/>
        <w:numPr>
          <w:ilvl w:val="0"/>
          <w:numId w:val="5"/>
        </w:numPr>
        <w:rPr>
          <w:lang w:eastAsia="en-US"/>
        </w:rPr>
      </w:pPr>
      <w:r>
        <w:rPr>
          <w:lang w:eastAsia="en-US"/>
        </w:rPr>
        <w:t>Chair rouge, juteuse et sucrée ;</w:t>
      </w:r>
    </w:p>
    <w:p>
      <w:pPr>
        <w:pStyle w:val="Normal"/>
        <w:numPr>
          <w:ilvl w:val="0"/>
          <w:numId w:val="5"/>
        </w:numPr>
        <w:rPr>
          <w:lang w:eastAsia="en-US"/>
        </w:rPr>
      </w:pPr>
      <w:r>
        <w:rPr>
          <w:lang w:eastAsia="en-US"/>
        </w:rPr>
        <w:t>Qualité gustative supérieure ;</w:t>
      </w:r>
    </w:p>
    <w:p>
      <w:pPr>
        <w:pStyle w:val="Normal"/>
        <w:numPr>
          <w:ilvl w:val="0"/>
          <w:numId w:val="5"/>
        </w:numPr>
        <w:rPr>
          <w:lang w:eastAsia="en-US"/>
        </w:rPr>
      </w:pPr>
      <w:r>
        <w:rPr>
          <w:lang w:eastAsia="en-US"/>
        </w:rPr>
        <w:t>Prix abordable ;</w:t>
      </w:r>
    </w:p>
    <w:p>
      <w:pPr>
        <w:pStyle w:val="Normal"/>
        <w:numPr>
          <w:ilvl w:val="0"/>
          <w:numId w:val="5"/>
        </w:numPr>
        <w:rPr>
          <w:lang w:eastAsia="en-US"/>
        </w:rPr>
      </w:pPr>
      <w:r>
        <w:rPr>
          <w:lang w:eastAsia="en-US"/>
        </w:rPr>
        <w:t>Valeur nutritive élevée ;</w:t>
      </w:r>
    </w:p>
    <w:p>
      <w:pPr>
        <w:pStyle w:val="Normal"/>
        <w:numPr>
          <w:ilvl w:val="0"/>
          <w:numId w:val="5"/>
        </w:numPr>
        <w:rPr>
          <w:lang w:eastAsia="en-US"/>
        </w:rPr>
      </w:pPr>
      <w:r>
        <w:rPr>
          <w:lang w:eastAsia="en-US"/>
        </w:rPr>
        <w:t>Riche en vitamines ;</w:t>
      </w:r>
    </w:p>
    <w:p>
      <w:pPr>
        <w:pStyle w:val="Normal"/>
        <w:numPr>
          <w:ilvl w:val="0"/>
          <w:numId w:val="5"/>
        </w:numPr>
        <w:rPr>
          <w:lang w:eastAsia="en-US"/>
        </w:rPr>
      </w:pPr>
      <w:r>
        <w:rPr>
          <w:lang w:eastAsia="en-US"/>
        </w:rPr>
        <w:t>Facilite la digestion.</w:t>
      </w:r>
    </w:p>
    <w:p>
      <w:pPr>
        <w:pStyle w:val="Normal"/>
        <w:rPr>
          <w:lang w:eastAsia="en-US"/>
        </w:rPr>
      </w:pPr>
      <w:r>
        <w:rPr>
          <w:b/>
          <w:bCs/>
          <w:lang w:eastAsia="en-US"/>
        </w:rPr>
        <w:t>Pastèque de petit calibre (2 à 3 kg) :</w:t>
      </w:r>
    </w:p>
    <w:p>
      <w:pPr>
        <w:pStyle w:val="Normal"/>
        <w:numPr>
          <w:ilvl w:val="0"/>
          <w:numId w:val="15"/>
        </w:numPr>
        <w:rPr>
          <w:lang w:eastAsia="en-US"/>
        </w:rPr>
      </w:pPr>
      <w:r>
        <w:rPr>
          <w:lang w:eastAsia="en-US"/>
        </w:rPr>
        <w:t>Chair rouge, juteuse et sucrée ;</w:t>
      </w:r>
    </w:p>
    <w:p>
      <w:pPr>
        <w:pStyle w:val="Normal"/>
        <w:numPr>
          <w:ilvl w:val="0"/>
          <w:numId w:val="15"/>
        </w:numPr>
        <w:rPr>
          <w:lang w:eastAsia="en-US"/>
        </w:rPr>
      </w:pPr>
      <w:r>
        <w:rPr>
          <w:lang w:eastAsia="en-US"/>
        </w:rPr>
        <w:t>Idéale pour les ménages de petite taille ;</w:t>
      </w:r>
    </w:p>
    <w:p>
      <w:pPr>
        <w:pStyle w:val="Normal"/>
        <w:numPr>
          <w:ilvl w:val="0"/>
          <w:numId w:val="15"/>
        </w:numPr>
        <w:rPr>
          <w:lang w:eastAsia="en-US"/>
        </w:rPr>
      </w:pPr>
      <w:r>
        <w:rPr>
          <w:lang w:eastAsia="en-US"/>
        </w:rPr>
        <w:t>Prix très abordable ;</w:t>
      </w:r>
    </w:p>
    <w:p>
      <w:pPr>
        <w:pStyle w:val="Normal"/>
        <w:numPr>
          <w:ilvl w:val="0"/>
          <w:numId w:val="15"/>
        </w:numPr>
        <w:rPr>
          <w:lang w:eastAsia="en-US"/>
        </w:rPr>
      </w:pPr>
      <w:r>
        <w:rPr>
          <w:lang w:eastAsia="en-US"/>
        </w:rPr>
        <w:t>Valeur nutritive élevée.</w:t>
      </w:r>
    </w:p>
    <w:p>
      <w:pPr>
        <w:pStyle w:val="Normal"/>
        <w:rPr>
          <w:b/>
          <w:bCs/>
          <w:lang w:eastAsia="en-US"/>
        </w:rPr>
      </w:pPr>
      <w:r>
        <w:rPr>
          <w:b/>
          <w:bCs/>
          <w:lang w:eastAsia="en-US"/>
        </w:rPr>
        <w:t>2. Le marché cible / secteur d'activité</w:t>
      </w:r>
    </w:p>
    <w:p>
      <w:pPr>
        <w:pStyle w:val="Normal"/>
        <w:rPr>
          <w:lang w:eastAsia="en-US"/>
        </w:rPr>
      </w:pPr>
      <w:r>
        <w:rPr>
          <w:lang w:eastAsia="en-US"/>
        </w:rPr>
        <w:t>Le marché cible de l'entreprise est constitué par les commerçants grossistes de produits maraîchers, les revendeurs de fruits, les restaurateurs, les hôtels et les particuliers consommateurs de la ville de Safo, de Bamako et environs.</w:t>
      </w:r>
    </w:p>
    <w:p>
      <w:pPr>
        <w:pStyle w:val="Normal"/>
        <w:rPr>
          <w:b/>
          <w:bCs/>
          <w:lang w:eastAsia="en-US"/>
        </w:rPr>
      </w:pPr>
      <w:r>
        <w:rPr>
          <w:b/>
          <w:bCs/>
          <w:lang w:eastAsia="en-US"/>
        </w:rPr>
        <w:t>3. Analyse de l'offre :</w:t>
      </w:r>
    </w:p>
    <w:p>
      <w:pPr>
        <w:pStyle w:val="Normal"/>
        <w:rPr>
          <w:lang w:eastAsia="en-US"/>
        </w:rPr>
      </w:pPr>
      <w:r>
        <w:rPr>
          <w:lang w:eastAsia="en-US"/>
        </w:rPr>
        <w:t>L'offre en pastèque au Mali est caractérisée par une forte saisonnalité et une rentabilité attractive. Les produits importés du Maroc sont chers et ne répondent pas toujours aux besoins locaux. Le secteur souffre d'un manque de tri et de logistique adaptée, ce qui entraîne des pertes post-récolte importantes. Les offres concurrentielles proposent des variétés standard à des prix variant entre 150 et 200 F/kg, sans contrôle rigoureux de la qualité.</w:t>
      </w:r>
    </w:p>
    <w:p>
      <w:pPr>
        <w:pStyle w:val="Normal"/>
        <w:rPr>
          <w:lang w:eastAsia="en-US"/>
        </w:rPr>
      </w:pPr>
      <w:r>
        <w:rPr>
          <w:b/>
          <w:bCs/>
          <w:lang w:eastAsia="en-US"/>
        </w:rPr>
        <w:t>a. L'approvisionnement en matières premières :</w:t>
      </w:r>
    </w:p>
    <w:p>
      <w:pPr>
        <w:pStyle w:val="Normal"/>
        <w:rPr>
          <w:lang w:eastAsia="en-US"/>
        </w:rPr>
      </w:pPr>
      <w:r>
        <w:rPr>
          <w:lang w:eastAsia="en-US"/>
        </w:rPr>
        <w:t xml:space="preserve">Les besoins en matières premières qui sont nécessaires à la production sont : les semences de pastèque de variétés adaptées aux conditions locales (Koloss, Sugar Baby, Crimson Sweet, Charleston Grey, Malali, Kaolack), les </w:t>
      </w:r>
      <w:r>
        <w:rPr>
          <w:b/>
          <w:bCs/>
          <w:lang w:eastAsia="en-US"/>
        </w:rPr>
        <w:t>engrais NPK et Urée</w:t>
      </w:r>
      <w:r>
        <w:rPr>
          <w:lang w:eastAsia="en-US"/>
        </w:rPr>
        <w:t>, les produits phytosanitaires, et la fumure organique.</w:t>
      </w:r>
    </w:p>
    <w:p>
      <w:pPr>
        <w:pStyle w:val="Normal"/>
        <w:rPr>
          <w:lang w:eastAsia="en-US"/>
        </w:rPr>
      </w:pPr>
      <w:r>
        <w:rPr>
          <w:lang w:eastAsia="en-US"/>
        </w:rPr>
        <w:t>L'approvisionnement en matières premières se fera essentiellement auprès des fournisseurs spécialisés de Bamako pour les semences et les intrants, ainsi qu'auprès des éleveurs locaux pour la fumure organique.</w:t>
      </w:r>
    </w:p>
    <w:p>
      <w:pPr>
        <w:pStyle w:val="Normal"/>
        <w:rPr>
          <w:lang w:eastAsia="en-US"/>
        </w:rPr>
      </w:pPr>
      <w:r>
        <w:rPr>
          <w:b/>
          <w:bCs/>
          <w:lang w:eastAsia="en-US"/>
        </w:rPr>
        <w:t>b. La politique de distribution :</w:t>
      </w:r>
    </w:p>
    <w:p>
      <w:pPr>
        <w:pStyle w:val="Normal"/>
        <w:rPr>
          <w:lang w:eastAsia="en-US"/>
        </w:rPr>
      </w:pPr>
      <w:r>
        <w:rPr>
          <w:lang w:eastAsia="en-US"/>
        </w:rPr>
        <w:t xml:space="preserve">La politique de distribution de </w:t>
      </w:r>
      <w:r>
        <w:rPr>
          <w:b/>
          <w:bCs/>
          <w:lang w:eastAsia="en-US"/>
        </w:rPr>
        <w:t>ZÉRÉ DÉLICE D'ISSA</w:t>
      </w:r>
      <w:r>
        <w:rPr>
          <w:lang w:eastAsia="en-US"/>
        </w:rPr>
        <w:t xml:space="preserve"> est structurée autour de deux axes principaux :</w:t>
      </w:r>
    </w:p>
    <w:p>
      <w:pPr>
        <w:pStyle w:val="Normal"/>
        <w:numPr>
          <w:ilvl w:val="0"/>
          <w:numId w:val="2"/>
        </w:numPr>
        <w:rPr>
          <w:lang w:eastAsia="en-US"/>
        </w:rPr>
      </w:pPr>
      <w:r>
        <w:rPr>
          <w:lang w:eastAsia="en-US"/>
        </w:rPr>
        <w:t>La vente directe dans la ferme aux commerçants grossistes ;</w:t>
      </w:r>
    </w:p>
    <w:p>
      <w:pPr>
        <w:pStyle w:val="Normal"/>
        <w:numPr>
          <w:ilvl w:val="0"/>
          <w:numId w:val="2"/>
        </w:numPr>
        <w:rPr>
          <w:lang w:eastAsia="en-US"/>
        </w:rPr>
      </w:pPr>
      <w:r>
        <w:rPr>
          <w:lang w:eastAsia="en-US"/>
        </w:rPr>
        <w:t>La livraison à partir de la ferme aux clients qui ont des grosses commandes.</w:t>
      </w:r>
    </w:p>
    <w:p>
      <w:pPr>
        <w:pStyle w:val="Normal"/>
        <w:rPr>
          <w:lang w:eastAsia="en-US"/>
        </w:rPr>
      </w:pPr>
      <w:r>
        <w:rPr>
          <w:lang w:eastAsia="en-US"/>
        </w:rPr>
        <w:t>Cela permettra de satisfaire chaque type de client en fonction de leurs besoins. Les commerçants grossistes se rendent généralement dans la ferme pour s'approvisionner afin de choisir les produits.</w:t>
      </w:r>
    </w:p>
    <w:p>
      <w:pPr>
        <w:pStyle w:val="Normal"/>
        <w:rPr>
          <w:lang w:eastAsia="en-US"/>
        </w:rPr>
      </w:pPr>
      <w:r>
        <w:rPr>
          <w:b/>
          <w:bCs/>
          <w:lang w:eastAsia="en-US"/>
        </w:rPr>
        <w:t>c. La politique tarifaire</w:t>
      </w:r>
    </w:p>
    <w:p>
      <w:pPr>
        <w:pStyle w:val="Normal"/>
        <w:rPr>
          <w:lang w:eastAsia="en-US"/>
        </w:rPr>
      </w:pPr>
      <w:r>
        <w:rPr>
          <w:lang w:eastAsia="en-US"/>
        </w:rPr>
        <w:t>L'entreprise a développé une politique tarifaire en tenant compte des tarifs des concurrents. En ce qui concerne les grandes commandes, des facilités de livraison seront accordées pour attirer cette catégorie de clients.</w:t>
      </w:r>
    </w:p>
    <w:p>
      <w:pPr>
        <w:pStyle w:val="Normal"/>
        <w:rPr>
          <w:lang w:eastAsia="en-US"/>
        </w:rPr>
      </w:pPr>
      <w:r>
        <w:rPr>
          <w:lang w:eastAsia="en-US"/>
        </w:rPr>
        <w:t xml:space="preserve">Les prix proposés par </w:t>
      </w:r>
      <w:r>
        <w:rPr>
          <w:b/>
          <w:bCs/>
          <w:lang w:eastAsia="en-US"/>
        </w:rPr>
        <w:t>ZÉRÉ DÉLICE D'ISSA</w:t>
      </w:r>
      <w:r>
        <w:rPr>
          <w:lang w:eastAsia="en-US"/>
        </w:rPr>
        <w:t xml:space="preserve"> :</w:t>
      </w:r>
    </w:p>
    <w:tbl>
      <w:tblPr>
        <w:tblW w:w="10103" w:type="dxa"/>
        <w:jc w:val="left"/>
        <w:tblInd w:w="-5" w:type="dxa"/>
        <w:tblLayout w:type="fixed"/>
        <w:tblCellMar>
          <w:top w:w="150" w:type="dxa"/>
          <w:left w:w="5" w:type="dxa"/>
          <w:bottom w:w="150" w:type="dxa"/>
          <w:right w:w="235" w:type="dxa"/>
        </w:tblCellMar>
      </w:tblPr>
      <w:tblGrid>
        <w:gridCol w:w="4934"/>
        <w:gridCol w:w="2036"/>
        <w:gridCol w:w="3133"/>
      </w:tblGrid>
      <w:tr>
        <w:trPr>
          <w:tblHeader w:val="true"/>
          <w:trHeight w:val="271" w:hRule="atLeast"/>
        </w:trPr>
        <w:tc>
          <w:tcPr>
            <w:tcW w:w="4934" w:type="dxa"/>
            <w:tcBorders>
              <w:top w:val="single" w:sz="4" w:space="0" w:color="000000"/>
              <w:left w:val="single" w:sz="4" w:space="0" w:color="000000"/>
              <w:bottom w:val="single" w:sz="4" w:space="0" w:color="000000"/>
              <w:right w:val="single" w:sz="4" w:space="0" w:color="000000"/>
            </w:tcBorders>
            <w:vAlign w:val="center"/>
          </w:tcPr>
          <w:p>
            <w:pPr>
              <w:pStyle w:val="Normal"/>
              <w:rPr>
                <w:b/>
                <w:bCs/>
                <w:lang w:eastAsia="en-US"/>
              </w:rPr>
            </w:pPr>
            <w:r>
              <w:rPr>
                <w:b/>
                <w:bCs/>
                <w:lang w:eastAsia="en-US"/>
              </w:rPr>
              <w:t>Désignation</w:t>
            </w:r>
          </w:p>
        </w:tc>
        <w:tc>
          <w:tcPr>
            <w:tcW w:w="2036"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lang w:eastAsia="en-US"/>
              </w:rPr>
            </w:pPr>
            <w:r>
              <w:rPr>
                <w:b/>
                <w:bCs/>
                <w:lang w:eastAsia="en-US"/>
              </w:rPr>
              <w:t>Unité</w:t>
            </w:r>
          </w:p>
        </w:tc>
        <w:tc>
          <w:tcPr>
            <w:tcW w:w="3133"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lang w:eastAsia="en-US"/>
              </w:rPr>
            </w:pPr>
            <w:r>
              <w:rPr>
                <w:b/>
                <w:bCs/>
                <w:lang w:eastAsia="en-US"/>
              </w:rPr>
              <w:t>PU en gros</w:t>
            </w:r>
          </w:p>
        </w:tc>
      </w:tr>
      <w:tr>
        <w:trPr>
          <w:trHeight w:val="271" w:hRule="atLeast"/>
        </w:trPr>
        <w:tc>
          <w:tcPr>
            <w:tcW w:w="4934" w:type="dxa"/>
            <w:tcBorders>
              <w:top w:val="single" w:sz="4" w:space="0" w:color="000000"/>
              <w:left w:val="single" w:sz="4" w:space="0" w:color="000000"/>
              <w:bottom w:val="single" w:sz="4" w:space="0" w:color="000000"/>
              <w:right w:val="single" w:sz="4" w:space="0" w:color="000000"/>
            </w:tcBorders>
            <w:vAlign w:val="center"/>
          </w:tcPr>
          <w:p>
            <w:pPr>
              <w:pStyle w:val="Normal"/>
              <w:rPr>
                <w:lang w:eastAsia="en-US"/>
              </w:rPr>
            </w:pPr>
            <w:r>
              <w:rPr>
                <w:lang w:eastAsia="en-US"/>
              </w:rPr>
              <w:t>Pastèque gros calibre</w:t>
            </w:r>
          </w:p>
        </w:tc>
        <w:tc>
          <w:tcPr>
            <w:tcW w:w="2036"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lang w:eastAsia="en-US"/>
              </w:rPr>
            </w:pPr>
            <w:r>
              <w:rPr>
                <w:lang w:eastAsia="en-US"/>
              </w:rPr>
              <w:t>Kg</w:t>
            </w:r>
          </w:p>
        </w:tc>
        <w:tc>
          <w:tcPr>
            <w:tcW w:w="3133"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lang w:eastAsia="en-US"/>
              </w:rPr>
            </w:pPr>
            <w:r>
              <w:rPr>
                <w:lang w:eastAsia="en-US"/>
              </w:rPr>
              <w:t>200</w:t>
            </w:r>
          </w:p>
        </w:tc>
      </w:tr>
      <w:tr>
        <w:trPr>
          <w:trHeight w:val="259" w:hRule="atLeast"/>
        </w:trPr>
        <w:tc>
          <w:tcPr>
            <w:tcW w:w="4934" w:type="dxa"/>
            <w:tcBorders>
              <w:top w:val="single" w:sz="4" w:space="0" w:color="000000"/>
              <w:left w:val="single" w:sz="4" w:space="0" w:color="000000"/>
              <w:bottom w:val="single" w:sz="4" w:space="0" w:color="000000"/>
              <w:right w:val="single" w:sz="4" w:space="0" w:color="000000"/>
            </w:tcBorders>
            <w:vAlign w:val="center"/>
          </w:tcPr>
          <w:p>
            <w:pPr>
              <w:pStyle w:val="Normal"/>
              <w:rPr>
                <w:lang w:eastAsia="en-US"/>
              </w:rPr>
            </w:pPr>
            <w:r>
              <w:rPr>
                <w:lang w:eastAsia="en-US"/>
              </w:rPr>
              <w:t>Pastèque moyen calibre</w:t>
            </w:r>
          </w:p>
        </w:tc>
        <w:tc>
          <w:tcPr>
            <w:tcW w:w="2036"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lang w:eastAsia="en-US"/>
              </w:rPr>
            </w:pPr>
            <w:r>
              <w:rPr>
                <w:lang w:eastAsia="en-US"/>
              </w:rPr>
              <w:t>Kg</w:t>
            </w:r>
          </w:p>
        </w:tc>
        <w:tc>
          <w:tcPr>
            <w:tcW w:w="3133"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lang w:eastAsia="en-US"/>
              </w:rPr>
            </w:pPr>
            <w:r>
              <w:rPr>
                <w:lang w:eastAsia="en-US"/>
              </w:rPr>
              <w:t>200</w:t>
            </w:r>
          </w:p>
        </w:tc>
      </w:tr>
      <w:tr>
        <w:trPr>
          <w:trHeight w:val="283" w:hRule="atLeast"/>
        </w:trPr>
        <w:tc>
          <w:tcPr>
            <w:tcW w:w="4934" w:type="dxa"/>
            <w:tcBorders>
              <w:top w:val="single" w:sz="4" w:space="0" w:color="000000"/>
              <w:left w:val="single" w:sz="4" w:space="0" w:color="000000"/>
              <w:bottom w:val="single" w:sz="4" w:space="0" w:color="000000"/>
              <w:right w:val="single" w:sz="4" w:space="0" w:color="000000"/>
            </w:tcBorders>
            <w:vAlign w:val="center"/>
          </w:tcPr>
          <w:p>
            <w:pPr>
              <w:pStyle w:val="Normal"/>
              <w:rPr>
                <w:lang w:eastAsia="en-US"/>
              </w:rPr>
            </w:pPr>
            <w:r>
              <w:rPr>
                <w:lang w:eastAsia="en-US"/>
              </w:rPr>
              <w:t>Pastèque petit calibre</w:t>
            </w:r>
          </w:p>
        </w:tc>
        <w:tc>
          <w:tcPr>
            <w:tcW w:w="2036"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lang w:eastAsia="en-US"/>
              </w:rPr>
            </w:pPr>
            <w:r>
              <w:rPr>
                <w:lang w:eastAsia="en-US"/>
              </w:rPr>
              <w:t>Kg</w:t>
            </w:r>
          </w:p>
        </w:tc>
        <w:tc>
          <w:tcPr>
            <w:tcW w:w="3133"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lang w:eastAsia="en-US"/>
              </w:rPr>
            </w:pPr>
            <w:r>
              <w:rPr>
                <w:lang w:eastAsia="en-US"/>
              </w:rPr>
              <w:t>200</w:t>
            </w:r>
          </w:p>
        </w:tc>
      </w:tr>
    </w:tbl>
    <w:p>
      <w:pPr>
        <w:pStyle w:val="Normal"/>
        <w:rPr>
          <w:lang w:eastAsia="en-US"/>
        </w:rPr>
      </w:pPr>
      <w:r>
        <w:rPr>
          <w:lang w:eastAsia="en-US"/>
        </w:rPr>
        <w:t>Les prix proposés par les concurrents de l'entreprise :</w:t>
      </w:r>
    </w:p>
    <w:tbl>
      <w:tblPr>
        <w:tblW w:w="10215" w:type="dxa"/>
        <w:jc w:val="left"/>
        <w:tblInd w:w="-142" w:type="dxa"/>
        <w:tblLayout w:type="fixed"/>
        <w:tblCellMar>
          <w:top w:w="150" w:type="dxa"/>
          <w:left w:w="5" w:type="dxa"/>
          <w:bottom w:w="150" w:type="dxa"/>
          <w:right w:w="235" w:type="dxa"/>
        </w:tblCellMar>
      </w:tblPr>
      <w:tblGrid>
        <w:gridCol w:w="4515"/>
        <w:gridCol w:w="2245"/>
        <w:gridCol w:w="3455"/>
      </w:tblGrid>
      <w:tr>
        <w:trPr>
          <w:tblHeader w:val="true"/>
          <w:trHeight w:val="264" w:hRule="atLeast"/>
        </w:trPr>
        <w:tc>
          <w:tcPr>
            <w:tcW w:w="4515" w:type="dxa"/>
            <w:tcBorders>
              <w:top w:val="single" w:sz="4" w:space="0" w:color="000000"/>
              <w:left w:val="single" w:sz="4" w:space="0" w:color="000000"/>
              <w:bottom w:val="single" w:sz="4" w:space="0" w:color="000000"/>
              <w:right w:val="single" w:sz="4" w:space="0" w:color="000000"/>
            </w:tcBorders>
            <w:vAlign w:val="center"/>
          </w:tcPr>
          <w:p>
            <w:pPr>
              <w:pStyle w:val="Normal"/>
              <w:rPr>
                <w:b/>
                <w:bCs/>
                <w:lang w:eastAsia="en-US"/>
              </w:rPr>
            </w:pPr>
            <w:r>
              <w:rPr>
                <w:b/>
                <w:bCs/>
                <w:lang w:eastAsia="en-US"/>
              </w:rPr>
              <w:t>Désignation</w:t>
            </w:r>
          </w:p>
        </w:tc>
        <w:tc>
          <w:tcPr>
            <w:tcW w:w="224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lang w:eastAsia="en-US"/>
              </w:rPr>
            </w:pPr>
            <w:r>
              <w:rPr>
                <w:b/>
                <w:bCs/>
                <w:lang w:eastAsia="en-US"/>
              </w:rPr>
              <w:t>Unité</w:t>
            </w:r>
          </w:p>
        </w:tc>
        <w:tc>
          <w:tcPr>
            <w:tcW w:w="345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lang w:eastAsia="en-US"/>
              </w:rPr>
            </w:pPr>
            <w:r>
              <w:rPr>
                <w:b/>
                <w:bCs/>
                <w:lang w:eastAsia="en-US"/>
              </w:rPr>
              <w:t>PU en gros</w:t>
            </w:r>
          </w:p>
        </w:tc>
      </w:tr>
      <w:tr>
        <w:trPr>
          <w:trHeight w:val="264" w:hRule="atLeast"/>
        </w:trPr>
        <w:tc>
          <w:tcPr>
            <w:tcW w:w="4515" w:type="dxa"/>
            <w:tcBorders>
              <w:top w:val="single" w:sz="4" w:space="0" w:color="000000"/>
              <w:left w:val="single" w:sz="4" w:space="0" w:color="000000"/>
              <w:bottom w:val="single" w:sz="4" w:space="0" w:color="000000"/>
              <w:right w:val="single" w:sz="4" w:space="0" w:color="000000"/>
            </w:tcBorders>
            <w:vAlign w:val="center"/>
          </w:tcPr>
          <w:p>
            <w:pPr>
              <w:pStyle w:val="Normal"/>
              <w:rPr>
                <w:lang w:eastAsia="en-US"/>
              </w:rPr>
            </w:pPr>
            <w:r>
              <w:rPr>
                <w:lang w:eastAsia="en-US"/>
              </w:rPr>
              <w:t>Pastèque standard</w:t>
            </w:r>
          </w:p>
        </w:tc>
        <w:tc>
          <w:tcPr>
            <w:tcW w:w="224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lang w:eastAsia="en-US"/>
              </w:rPr>
            </w:pPr>
            <w:r>
              <w:rPr>
                <w:lang w:eastAsia="en-US"/>
              </w:rPr>
              <w:t>Kg</w:t>
            </w:r>
          </w:p>
        </w:tc>
        <w:tc>
          <w:tcPr>
            <w:tcW w:w="3455"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lang w:eastAsia="en-US"/>
              </w:rPr>
            </w:pPr>
            <w:r>
              <w:rPr>
                <w:lang w:eastAsia="en-US"/>
              </w:rPr>
              <w:t>150 à 200</w:t>
            </w:r>
          </w:p>
        </w:tc>
      </w:tr>
    </w:tbl>
    <w:p>
      <w:pPr>
        <w:pStyle w:val="Normal"/>
        <w:rPr>
          <w:b/>
          <w:bCs/>
          <w:lang w:eastAsia="en-US"/>
        </w:rPr>
      </w:pPr>
      <w:r>
        <w:rPr>
          <w:b/>
          <w:bCs/>
          <w:lang w:eastAsia="en-US"/>
        </w:rPr>
        <w:t>4. L'analyse de la concurrence :</w:t>
      </w:r>
    </w:p>
    <w:p>
      <w:pPr>
        <w:pStyle w:val="Normal"/>
        <w:rPr>
          <w:lang w:eastAsia="en-US"/>
        </w:rPr>
      </w:pPr>
      <w:r>
        <w:rPr>
          <w:lang w:eastAsia="en-US"/>
        </w:rPr>
        <w:t>L'entreprise est face à des concurrents très expérimentés mais non formels dans la zone du projet, c'est-à-dire d'autres maraîchers. Mais c'est le respect des itinéraires techniques de production et l'application des conseils reçus au cours des formations qui permettra à ZÉRÉ DÉLICE D'ISSA de fournir sur le marché des produits de très bonne qualité qui seront appréciés par les clients.</w:t>
      </w:r>
    </w:p>
    <w:p>
      <w:pPr>
        <w:pStyle w:val="Normal"/>
        <w:rPr>
          <w:lang w:eastAsia="en-US"/>
        </w:rPr>
      </w:pPr>
      <w:r>
        <w:rPr>
          <w:lang w:eastAsia="en-US"/>
        </w:rPr>
        <w:t>Les concurrents qui fournissent des produits de même qualité que ceux de l’entreprise pratiquent généralement des prix plus élevés que les siens.</w:t>
      </w:r>
    </w:p>
    <w:p>
      <w:pPr>
        <w:pStyle w:val="Normal"/>
        <w:rPr>
          <w:lang w:eastAsia="en-US"/>
        </w:rPr>
      </w:pPr>
      <w:r>
        <w:rPr>
          <w:lang w:eastAsia="en-US"/>
        </w:rPr>
        <w:t>Cependant l’entreprise développera des stratégies pour mieux se positionner sur le marché en :</w:t>
      </w:r>
    </w:p>
    <w:p>
      <w:pPr>
        <w:pStyle w:val="Normal"/>
        <w:numPr>
          <w:ilvl w:val="0"/>
          <w:numId w:val="10"/>
        </w:numPr>
        <w:rPr>
          <w:lang w:eastAsia="en-US"/>
        </w:rPr>
      </w:pPr>
      <w:r>
        <w:rPr>
          <w:lang w:eastAsia="en-US"/>
        </w:rPr>
        <w:t>Fidélisant ses clients afin d’étendre sa part de marché ;</w:t>
      </w:r>
    </w:p>
    <w:p>
      <w:pPr>
        <w:pStyle w:val="Normal"/>
        <w:numPr>
          <w:ilvl w:val="0"/>
          <w:numId w:val="10"/>
        </w:numPr>
        <w:rPr>
          <w:lang w:eastAsia="en-US"/>
        </w:rPr>
      </w:pPr>
      <w:r>
        <w:rPr>
          <w:lang w:eastAsia="en-US"/>
        </w:rPr>
        <w:t>Renforçant sa capacité de production et de distribution avec de nouveaux équipements pour mieux satisfaire la demande croissante des clients.</w:t>
      </w:r>
    </w:p>
    <w:p>
      <w:pPr>
        <w:pStyle w:val="Normal"/>
        <w:rPr>
          <w:lang w:eastAsia="en-US"/>
        </w:rPr>
      </w:pPr>
      <w:r>
        <w:rPr>
          <w:lang w:eastAsia="en-US"/>
        </w:rPr>
        <w:t>L’entreprise prévoit également de participer aux foires agricoles et de développer des actions de promotion pour toucher le maximum de prospects.</w:t>
      </w:r>
    </w:p>
    <w:p>
      <w:pPr>
        <w:pStyle w:val="Normal"/>
        <w:rPr>
          <w:b/>
          <w:bCs/>
          <w:lang w:eastAsia="en-US"/>
        </w:rPr>
      </w:pPr>
      <w:r>
        <w:rPr>
          <w:b/>
          <w:bCs/>
          <w:lang w:eastAsia="en-US"/>
        </w:rPr>
        <w:t>5. La demande (clientèle cible) :</w:t>
      </w:r>
    </w:p>
    <w:p>
      <w:pPr>
        <w:pStyle w:val="Normal"/>
        <w:rPr>
          <w:lang w:eastAsia="en-US"/>
        </w:rPr>
      </w:pPr>
      <w:r>
        <w:rPr>
          <w:lang w:eastAsia="en-US"/>
        </w:rPr>
        <w:t xml:space="preserve">La clientèle cible est constituée par les commerçants grossistes de produits maraîchers, les revendeurs de fruits, les restaurateurs, les hôtels et les particuliers consommateurs de la ville de Safo, de Bamako et environs. En général, les clients sont exigeants sur certains éléments clés : la </w:t>
      </w:r>
      <w:r>
        <w:rPr>
          <w:b/>
          <w:bCs/>
          <w:lang w:eastAsia="en-US"/>
        </w:rPr>
        <w:t>taille du produit</w:t>
      </w:r>
      <w:r>
        <w:rPr>
          <w:lang w:eastAsia="en-US"/>
        </w:rPr>
        <w:t xml:space="preserve">, la </w:t>
      </w:r>
      <w:r>
        <w:rPr>
          <w:b/>
          <w:bCs/>
          <w:lang w:eastAsia="en-US"/>
        </w:rPr>
        <w:t>durée de conservation à l'état frais</w:t>
      </w:r>
      <w:r>
        <w:rPr>
          <w:lang w:eastAsia="en-US"/>
        </w:rPr>
        <w:t xml:space="preserve">, la </w:t>
      </w:r>
      <w:r>
        <w:rPr>
          <w:b/>
          <w:bCs/>
          <w:lang w:eastAsia="en-US"/>
        </w:rPr>
        <w:t>qualité gustative</w:t>
      </w:r>
      <w:r>
        <w:rPr>
          <w:lang w:eastAsia="en-US"/>
        </w:rPr>
        <w:t xml:space="preserve"> et la </w:t>
      </w:r>
      <w:r>
        <w:rPr>
          <w:b/>
          <w:bCs/>
          <w:lang w:eastAsia="en-US"/>
        </w:rPr>
        <w:t>nature des fertilisants</w:t>
      </w:r>
      <w:r>
        <w:rPr>
          <w:lang w:eastAsia="en-US"/>
        </w:rPr>
        <w:t xml:space="preserve"> utilisés par le producteur.</w:t>
      </w:r>
    </w:p>
    <w:p>
      <w:pPr>
        <w:pStyle w:val="Normal"/>
        <w:rPr>
          <w:lang w:eastAsia="en-US"/>
        </w:rPr>
      </w:pPr>
      <w:r>
        <w:rPr>
          <w:lang w:eastAsia="en-US"/>
        </w:rPr>
        <w:t>En tenant compte de ces critères de qualité, l’entreprise se distingue par le fait qu’elle utilise peu de fertilisants et de pesticides chimiques. Le respect des itinéraires techniques de production et une bonne taille aux produits attirent les clients.</w:t>
      </w:r>
    </w:p>
    <w:p>
      <w:pPr>
        <w:pStyle w:val="Normal"/>
        <w:rPr>
          <w:lang w:eastAsia="en-US"/>
        </w:rPr>
      </w:pPr>
      <w:r>
        <w:rPr>
          <w:lang w:eastAsia="en-US"/>
        </w:rPr>
        <w:t>Cela permet également d'avoir une longue durée de conservation des produits maraîchers à l'état frais.</w:t>
      </w:r>
    </w:p>
    <w:p>
      <w:pPr>
        <w:pStyle w:val="Normal"/>
        <w:rPr>
          <w:lang w:eastAsia="en-US"/>
        </w:rPr>
      </w:pPr>
      <w:r>
        <w:rPr>
          <w:lang w:eastAsia="en-US"/>
        </w:rPr>
        <w:t>La stratégie de l'entreprise pour satisfaire les besoins des clients consiste à recenser les commandes afin de mieux planifier les jours de livraison, maintenir le contact avec les clients à travers une vérification de l'appréciation des clients sur les produits, sur la base des appels téléphoniques et souvent des visites de terrain.</w:t>
      </w:r>
    </w:p>
    <w:p>
      <w:pPr>
        <w:pStyle w:val="Normal"/>
        <w:rPr>
          <w:b/>
          <w:bCs/>
          <w:lang w:eastAsia="en-US"/>
        </w:rPr>
      </w:pPr>
      <w:r>
        <w:rPr>
          <w:b/>
          <w:bCs/>
          <w:lang w:eastAsia="en-US"/>
        </w:rPr>
        <w:t>6. Stratégies marketing :</w:t>
      </w:r>
    </w:p>
    <w:p>
      <w:pPr>
        <w:pStyle w:val="Normal"/>
        <w:rPr>
          <w:lang w:eastAsia="en-US"/>
        </w:rPr>
      </w:pPr>
      <w:r>
        <w:rPr>
          <w:b/>
          <w:bCs/>
          <w:lang w:eastAsia="en-US"/>
        </w:rPr>
        <w:t>6.1 Politique de Produit :</w:t>
      </w:r>
    </w:p>
    <w:p>
      <w:pPr>
        <w:pStyle w:val="Normal"/>
        <w:rPr>
          <w:lang w:eastAsia="en-US"/>
        </w:rPr>
      </w:pPr>
      <w:r>
        <w:rPr>
          <w:lang w:eastAsia="en-US"/>
        </w:rPr>
        <w:t xml:space="preserve">La politique de produit de </w:t>
      </w:r>
      <w:r>
        <w:rPr>
          <w:b/>
          <w:bCs/>
          <w:lang w:eastAsia="en-US"/>
        </w:rPr>
        <w:t>ZÉRÉ DÉLICE D'ISSA</w:t>
      </w:r>
      <w:r>
        <w:rPr>
          <w:lang w:eastAsia="en-US"/>
        </w:rPr>
        <w:t xml:space="preserve"> est axée sur la production de pastèques de haute qualité, disponibles en contre-saison et répondant aux attentes des consommateurs exigeants. La marque véhicule une image de naturalité, de santé et de plaisir (Zéré = pastèque en bambara, Délice = plaisir). Les pastèques sont proposées en trois calibres : gros calibre (6 à 8 kg), moyen calibre (4 à 5 kg) et petit calibre (2 à 3 kg), avec une chair rouge, juteuse et sucrée. Cette politique vise à fidéliser la clientèle et à assurer l’écoulement régulier de la production tout au long de l'année.</w:t>
      </w:r>
    </w:p>
    <w:p>
      <w:pPr>
        <w:pStyle w:val="Normal"/>
        <w:rPr>
          <w:lang w:eastAsia="en-US"/>
        </w:rPr>
      </w:pPr>
      <w:r>
        <w:rPr>
          <w:b/>
          <w:bCs/>
          <w:lang w:eastAsia="en-US"/>
        </w:rPr>
        <w:t>6.2 Politique de prix :</w:t>
      </w:r>
    </w:p>
    <w:p>
      <w:pPr>
        <w:pStyle w:val="Normal"/>
        <w:rPr>
          <w:lang w:eastAsia="en-US"/>
        </w:rPr>
      </w:pPr>
      <w:r>
        <w:rPr>
          <w:lang w:eastAsia="en-US"/>
        </w:rPr>
        <w:t>La politique de prix a consisté à fixer un prix incitatif pour les clients afin de les fidéliser, augmenter le chiffre d'affaires de l'entreprise et mieux se positionner face à la concurrence. Le prix de vente est fixé à 200 F CFA/kg, soit environ 1 000 F CFA par pièce de 5 kg. Des conditions favorables de livraison sont proposées pour les clients qui passent des commandes importantes.</w:t>
      </w:r>
    </w:p>
    <w:p>
      <w:pPr>
        <w:pStyle w:val="Normal"/>
        <w:rPr>
          <w:lang w:eastAsia="en-US"/>
        </w:rPr>
      </w:pPr>
      <w:r>
        <w:rPr>
          <w:b/>
          <w:bCs/>
          <w:lang w:eastAsia="en-US"/>
        </w:rPr>
        <w:t>6.3 Politique de place</w:t>
      </w:r>
    </w:p>
    <w:p>
      <w:pPr>
        <w:pStyle w:val="Normal"/>
        <w:rPr>
          <w:lang w:eastAsia="en-US"/>
        </w:rPr>
      </w:pPr>
      <w:r>
        <w:rPr>
          <w:lang w:eastAsia="en-US"/>
        </w:rPr>
        <w:t>La localisation de la parcelle maraîchère à Chôdo, commune de Safo est une zone de maraîchage par excellence et stratégique parce qu'elle permet d'attirer les clients vers les produits. Les grossistes maraîchers se rendent dans cette zone de production pour négocier avec les producteurs. Cela facilite l'établissement des liens de marché solides et durables dans la commercialisation de la production.</w:t>
      </w:r>
    </w:p>
    <w:p>
      <w:pPr>
        <w:pStyle w:val="Normal"/>
        <w:rPr>
          <w:lang w:eastAsia="en-US"/>
        </w:rPr>
      </w:pPr>
      <w:r>
        <w:rPr>
          <w:b/>
          <w:bCs/>
          <w:lang w:eastAsia="en-US"/>
        </w:rPr>
        <w:t>6.4 Politique de promotion/communication :</w:t>
      </w:r>
    </w:p>
    <w:p>
      <w:pPr>
        <w:pStyle w:val="Normal"/>
        <w:rPr>
          <w:lang w:eastAsia="en-US"/>
        </w:rPr>
      </w:pPr>
      <w:r>
        <w:rPr>
          <w:lang w:eastAsia="en-US"/>
        </w:rPr>
        <w:t>La politique de promotion et de communication développée comprend :</w:t>
      </w:r>
    </w:p>
    <w:p>
      <w:pPr>
        <w:pStyle w:val="Normal"/>
        <w:rPr>
          <w:lang w:eastAsia="en-US"/>
        </w:rPr>
      </w:pPr>
      <w:r>
        <w:rPr>
          <w:b/>
          <w:bCs/>
          <w:lang w:eastAsia="en-US"/>
        </w:rPr>
        <w:t>L'identification des prospects :</w:t>
      </w:r>
      <w:r>
        <w:rPr>
          <w:lang w:eastAsia="en-US"/>
        </w:rPr>
        <w:br/>
        <w:t>Il s'agit d'identifier les clients potentiels afin d'avoir leurs contacts et des informations sur les quantités de produits dont ils ont besoin par mois.</w:t>
      </w:r>
    </w:p>
    <w:p>
      <w:pPr>
        <w:pStyle w:val="Normal"/>
        <w:rPr>
          <w:lang w:eastAsia="en-US"/>
        </w:rPr>
      </w:pPr>
      <w:r>
        <w:rPr>
          <w:b/>
          <w:bCs/>
          <w:lang w:eastAsia="en-US"/>
        </w:rPr>
        <w:t>Identification des canaux de communication :</w:t>
      </w:r>
      <w:r>
        <w:rPr>
          <w:lang w:eastAsia="en-US"/>
        </w:rPr>
        <w:br/>
        <w:t>Les différents canaux de communication identifiés sont le contact direct, le téléphone, les radios de proximité et les réseaux sociaux.</w:t>
      </w:r>
    </w:p>
    <w:p>
      <w:pPr>
        <w:pStyle w:val="Normal"/>
        <w:rPr>
          <w:lang w:eastAsia="en-US"/>
        </w:rPr>
      </w:pPr>
      <w:r>
        <w:rPr>
          <w:b/>
          <w:bCs/>
          <w:lang w:eastAsia="en-US"/>
        </w:rPr>
        <w:t>Elaboration des outils de communication :</w:t>
      </w:r>
      <w:r>
        <w:rPr>
          <w:lang w:eastAsia="en-US"/>
        </w:rPr>
        <w:br/>
        <w:t>Les outils de communication retenus par l'entreprise sont les appels téléphoniques, les spots radios, WhatsApp, Facebook et TikTok.</w:t>
      </w:r>
    </w:p>
    <w:p>
      <w:pPr>
        <w:pStyle w:val="Normal"/>
        <w:rPr>
          <w:lang w:eastAsia="en-US"/>
        </w:rPr>
      </w:pPr>
      <w:r>
        <w:rPr>
          <w:b/>
          <w:bCs/>
          <w:lang w:eastAsia="en-US"/>
        </w:rPr>
        <w:t>Elaboration d'un plan de communication :</w:t>
      </w:r>
      <w:r>
        <w:rPr>
          <w:lang w:eastAsia="en-US"/>
        </w:rPr>
        <w:br/>
        <w:t>Un plan de communication cohérent et adapté aux moyens de l'entreprise sera élaboré afin de mieux cibler les clients potentiels et mieux faire face à la concurrence.</w:t>
      </w:r>
    </w:p>
    <w:p>
      <w:pPr>
        <w:pStyle w:val="Normal"/>
        <w:rPr>
          <w:lang w:eastAsia="en-US"/>
        </w:rPr>
      </w:pPr>
      <w:r>
        <w:rPr>
          <w:b/>
          <w:bCs/>
          <w:lang w:eastAsia="en-US"/>
        </w:rPr>
        <w:t>Mise en œuvre du plan de communication.</w:t>
      </w:r>
      <w:r>
        <w:rPr>
          <w:lang w:eastAsia="en-US"/>
        </w:rPr>
        <w:br/>
        <w:t>Les différents canaux identifiés seront utilisés dans la mise en œuvre de ce plan de communication. L'accent sera mis sur les périodes de grande consommation, de foires agricoles et commerciales.</w:t>
      </w:r>
    </w:p>
    <w:p>
      <w:pPr>
        <w:pStyle w:val="Normal"/>
        <w:rPr>
          <w:lang w:eastAsia="en-US"/>
        </w:rPr>
      </w:pPr>
      <w:r>
        <w:rPr>
          <w:lang w:eastAsia="en-US"/>
        </w:rPr>
      </w:r>
    </w:p>
    <w:p>
      <w:pPr>
        <w:pStyle w:val="Heading1"/>
        <w:keepLines/>
        <w:numPr>
          <w:ilvl w:val="0"/>
          <w:numId w:val="4"/>
        </w:numPr>
        <w:spacing w:before="0" w:after="120"/>
        <w:ind w:hanging="431" w:left="431" w:right="0"/>
        <w:jc w:val="both"/>
        <w:rPr>
          <w:rFonts w:ascii="Times New Roman" w:hAnsi="Times New Roman" w:cs="Times New Roman"/>
          <w:caps/>
          <w:color w:val="166B7F"/>
          <w:kern w:val="0"/>
          <w:lang w:eastAsia="en-US"/>
        </w:rPr>
      </w:pPr>
      <w:bookmarkStart w:id="8" w:name="__RefHeading___Toc234831707"/>
      <w:bookmarkEnd w:id="8"/>
      <w:r>
        <w:rPr>
          <w:rFonts w:cs="Times New Roman" w:ascii="Times New Roman" w:hAnsi="Times New Roman"/>
          <w:caps/>
          <w:color w:val="166B7F"/>
          <w:kern w:val="0"/>
          <w:lang w:eastAsia="en-US"/>
        </w:rPr>
        <w:t>ÉTUDE TECHNIQUE</w:t>
      </w:r>
    </w:p>
    <w:p>
      <w:pPr>
        <w:pStyle w:val="Heading2"/>
        <w:keepLines/>
        <w:numPr>
          <w:ilvl w:val="0"/>
          <w:numId w:val="13"/>
        </w:numPr>
        <w:spacing w:before="120" w:after="120"/>
        <w:ind w:hanging="360" w:left="720" w:right="0"/>
        <w:jc w:val="both"/>
        <w:rPr>
          <w:rFonts w:ascii="Times New Roman" w:hAnsi="Times New Roman" w:cs="Times New Roman"/>
          <w:i w:val="false"/>
          <w:i w:val="false"/>
          <w:iCs w:val="false"/>
          <w:sz w:val="24"/>
          <w:szCs w:val="24"/>
          <w:lang w:val="fr-CI"/>
        </w:rPr>
      </w:pPr>
      <w:bookmarkStart w:id="9" w:name="__RefHeading___Toc234831708"/>
      <w:bookmarkEnd w:id="9"/>
      <w:r>
        <w:rPr>
          <w:rFonts w:cs="Times New Roman" w:ascii="Times New Roman" w:hAnsi="Times New Roman"/>
          <w:i w:val="false"/>
          <w:iCs w:val="false"/>
          <w:sz w:val="24"/>
          <w:szCs w:val="24"/>
          <w:lang w:val="fr-CI"/>
        </w:rPr>
        <w:t xml:space="preserve">Site d’implantation : </w:t>
      </w:r>
    </w:p>
    <w:p>
      <w:pPr>
        <w:pStyle w:val="Normal"/>
        <w:numPr>
          <w:ilvl w:val="0"/>
          <w:numId w:val="13"/>
        </w:numPr>
        <w:rPr>
          <w:lang w:eastAsia="en-US"/>
        </w:rPr>
      </w:pPr>
      <w:r>
        <w:rPr>
          <w:lang w:eastAsia="en-US"/>
        </w:rPr>
        <w:t>Le projet sera réalisé à Chôdo, dans la commune de Safo, Région de Koulikoro. Le site du projet est accessible avec des routes praticables en toute saison, cela facilitera le transport de la production pour la livraison aux clients. Le terrain est lou</w:t>
      </w:r>
      <w:r>
        <w:rPr>
          <w:b/>
          <w:bCs/>
          <w:lang w:eastAsia="en-US"/>
        </w:rPr>
        <w:t>é</w:t>
      </w:r>
      <w:r>
        <w:rPr>
          <w:lang w:eastAsia="en-US"/>
        </w:rPr>
        <w:t xml:space="preserve"> pour une durée de 7 ans, renouvelable. Le contrat de location, dûment signé et légalisé, sera joint en annexe du présent plan d’affaires.</w:t>
      </w:r>
    </w:p>
    <w:p>
      <w:pPr>
        <w:pStyle w:val="ds-markdown-paragraph"/>
        <w:shd w:val="clear" w:fill="FFFFFF"/>
        <w:spacing w:before="240" w:after="240"/>
        <w:ind w:left="360" w:right="0"/>
        <w:rPr>
          <w:rFonts w:ascii="Segoe UI" w:hAnsi="Segoe UI" w:cs="Segoe UI"/>
          <w:color w:val="0F1115"/>
        </w:rPr>
      </w:pPr>
      <w:r>
        <w:rPr>
          <w:rFonts w:cs="Segoe UI" w:ascii="Segoe UI" w:hAnsi="Segoe UI"/>
          <w:color w:val="0F1115"/>
        </w:rPr>
        <w:t>.</w:t>
      </w:r>
    </w:p>
    <w:p>
      <w:pPr>
        <w:pStyle w:val="Heading2"/>
        <w:keepLines/>
        <w:numPr>
          <w:ilvl w:val="0"/>
          <w:numId w:val="13"/>
        </w:numPr>
        <w:spacing w:before="120" w:after="0"/>
        <w:ind w:hanging="360" w:left="720" w:right="0"/>
        <w:jc w:val="both"/>
        <w:rPr>
          <w:rFonts w:ascii="Times New Roman" w:hAnsi="Times New Roman" w:cs="Times New Roman"/>
          <w:i w:val="false"/>
          <w:i w:val="false"/>
          <w:iCs w:val="false"/>
          <w:sz w:val="24"/>
          <w:szCs w:val="24"/>
          <w:lang w:val="fr-CI"/>
        </w:rPr>
      </w:pPr>
      <w:bookmarkStart w:id="10" w:name="__RefHeading___Toc234831709"/>
      <w:bookmarkEnd w:id="10"/>
      <w:r>
        <w:rPr>
          <w:rFonts w:cs="Times New Roman" w:ascii="Times New Roman" w:hAnsi="Times New Roman"/>
          <w:i w:val="false"/>
          <w:iCs w:val="false"/>
          <w:sz w:val="24"/>
          <w:szCs w:val="24"/>
          <w:lang w:val="fr-CI"/>
        </w:rPr>
        <w:t>Locaux, aménagements / installations et équipements</w:t>
      </w:r>
    </w:p>
    <w:p>
      <w:pPr>
        <w:pStyle w:val="Normal"/>
        <w:ind w:left="720" w:right="0"/>
        <w:rPr/>
      </w:pPr>
      <w:r>
        <w:rPr/>
        <w:t xml:space="preserve">2.1 Constructions </w:t>
      </w:r>
    </w:p>
    <w:tbl>
      <w:tblPr>
        <w:tblW w:w="7420" w:type="dxa"/>
        <w:jc w:val="left"/>
        <w:tblInd w:w="80" w:type="dxa"/>
        <w:tblLayout w:type="fixed"/>
        <w:tblCellMar>
          <w:top w:w="0" w:type="dxa"/>
          <w:left w:w="70" w:type="dxa"/>
          <w:bottom w:w="0" w:type="dxa"/>
          <w:right w:w="70" w:type="dxa"/>
        </w:tblCellMar>
      </w:tblPr>
      <w:tblGrid>
        <w:gridCol w:w="3250"/>
        <w:gridCol w:w="992"/>
        <w:gridCol w:w="1417"/>
        <w:gridCol w:w="1760"/>
      </w:tblGrid>
      <w:tr>
        <w:trPr>
          <w:trHeight w:val="270" w:hRule="atLeast"/>
        </w:trPr>
        <w:tc>
          <w:tcPr>
            <w:tcW w:w="3250"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992"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1417"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760"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250" w:type="dxa"/>
            <w:tcBorders>
              <w:top w:val="single" w:sz="4" w:space="0" w:color="000000"/>
              <w:left w:val="single" w:sz="4" w:space="0" w:color="000000"/>
              <w:bottom w:val="single" w:sz="4" w:space="0" w:color="000000"/>
              <w:right w:val="single" w:sz="4" w:space="0" w:color="000000"/>
            </w:tcBorders>
            <w:vAlign w:val="bottom"/>
          </w:tcPr>
          <w:p>
            <w:pPr>
              <w:pStyle w:val="Normal"/>
              <w:rPr>
                <w:color w:val="000000"/>
              </w:rPr>
            </w:pPr>
            <w:r>
              <w:rPr>
                <w:color w:val="000000"/>
              </w:rPr>
              <w:t>0</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0</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0</w:t>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0</w:t>
            </w:r>
          </w:p>
        </w:tc>
      </w:tr>
      <w:tr>
        <w:trPr>
          <w:trHeight w:val="270" w:hRule="atLeast"/>
        </w:trPr>
        <w:tc>
          <w:tcPr>
            <w:tcW w:w="3250"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TOTAL</w:t>
            </w:r>
          </w:p>
        </w:tc>
        <w:tc>
          <w:tcPr>
            <w:tcW w:w="992"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417"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760"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0</w:t>
            </w:r>
          </w:p>
        </w:tc>
      </w:tr>
    </w:tbl>
    <w:p>
      <w:pPr>
        <w:pStyle w:val="Normal"/>
        <w:ind w:left="720" w:right="0"/>
        <w:rPr>
          <w:lang w:val="fr-CI"/>
        </w:rPr>
      </w:pPr>
      <w:r>
        <w:rPr>
          <w:lang w:val="fr-CI"/>
        </w:rPr>
      </w:r>
    </w:p>
    <w:p>
      <w:pPr>
        <w:pStyle w:val="Normal"/>
        <w:ind w:left="720" w:right="0"/>
        <w:rPr>
          <w:lang w:val="fr-CI"/>
        </w:rPr>
      </w:pPr>
      <w:r>
        <w:rPr>
          <w:lang w:val="fr-CI"/>
        </w:rPr>
        <w:t>2.2 Aménagements /installations</w:t>
      </w:r>
    </w:p>
    <w:p>
      <w:pPr>
        <w:pStyle w:val="Normal"/>
        <w:rPr/>
      </w:pPr>
      <w:r>
        <w:rPr/>
        <w:t> </w:t>
      </w:r>
    </w:p>
    <w:tbl>
      <w:tblPr>
        <w:tblW w:w="7665" w:type="dxa"/>
        <w:jc w:val="left"/>
        <w:tblInd w:w="60" w:type="dxa"/>
        <w:tblLayout w:type="fixed"/>
        <w:tblCellMar>
          <w:top w:w="0" w:type="dxa"/>
          <w:left w:w="70" w:type="dxa"/>
          <w:bottom w:w="0" w:type="dxa"/>
          <w:right w:w="70" w:type="dxa"/>
        </w:tblCellMar>
      </w:tblPr>
      <w:tblGrid>
        <w:gridCol w:w="3899"/>
        <w:gridCol w:w="1001"/>
        <w:gridCol w:w="1205"/>
        <w:gridCol w:w="1559"/>
      </w:tblGrid>
      <w:tr>
        <w:trPr>
          <w:trHeight w:val="270" w:hRule="atLeast"/>
        </w:trPr>
        <w:tc>
          <w:tcPr>
            <w:tcW w:w="3899" w:type="dxa"/>
            <w:tcBorders>
              <w:top w:val="single" w:sz="8" w:space="0" w:color="000000"/>
              <w:left w:val="single" w:sz="8" w:space="0" w:color="000000"/>
              <w:bottom w:val="single" w:sz="4"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1001"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1205"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559" w:type="dxa"/>
            <w:tcBorders>
              <w:top w:val="single" w:sz="8" w:space="0" w:color="000000"/>
              <w:bottom w:val="single" w:sz="8" w:space="0" w:color="000000"/>
              <w:right w:val="single" w:sz="8"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Aménagement préparatoire</w:t>
            </w:r>
          </w:p>
        </w:tc>
        <w:tc>
          <w:tcPr>
            <w:tcW w:w="1001" w:type="dxa"/>
            <w:tcBorders>
              <w:left w:val="single" w:sz="4" w:space="0" w:color="000000"/>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1</w:t>
            </w:r>
          </w:p>
        </w:tc>
        <w:tc>
          <w:tcPr>
            <w:tcW w:w="1205"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45 000</w:t>
            </w:r>
          </w:p>
        </w:tc>
        <w:tc>
          <w:tcPr>
            <w:tcW w:w="1559"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45 000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Formation des billons</w:t>
            </w:r>
          </w:p>
        </w:tc>
        <w:tc>
          <w:tcPr>
            <w:tcW w:w="1001" w:type="dxa"/>
            <w:tcBorders>
              <w:left w:val="single" w:sz="4" w:space="0" w:color="000000"/>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1</w:t>
            </w:r>
          </w:p>
        </w:tc>
        <w:tc>
          <w:tcPr>
            <w:tcW w:w="1205"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60 000</w:t>
            </w:r>
          </w:p>
        </w:tc>
        <w:tc>
          <w:tcPr>
            <w:tcW w:w="1559"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60 000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Système goutte-à-goutte</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w:t>
            </w:r>
          </w:p>
        </w:tc>
        <w:tc>
          <w:tcPr>
            <w:tcW w:w="1205" w:type="dxa"/>
            <w:tcBorders>
              <w:top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500 000</w:t>
            </w:r>
          </w:p>
        </w:tc>
        <w:tc>
          <w:tcPr>
            <w:tcW w:w="1559" w:type="dxa"/>
            <w:tcBorders>
              <w:top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500 000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Pompe solaire</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w:t>
            </w:r>
          </w:p>
        </w:tc>
        <w:tc>
          <w:tcPr>
            <w:tcW w:w="1205" w:type="dxa"/>
            <w:tcBorders>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1 200 000</w:t>
            </w:r>
          </w:p>
        </w:tc>
        <w:tc>
          <w:tcPr>
            <w:tcW w:w="1559" w:type="dxa"/>
            <w:tcBorders>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1 200 000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Panneaux solaires</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w:t>
            </w:r>
          </w:p>
        </w:tc>
        <w:tc>
          <w:tcPr>
            <w:tcW w:w="1205"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800 000</w:t>
            </w:r>
          </w:p>
        </w:tc>
        <w:tc>
          <w:tcPr>
            <w:tcW w:w="1559"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800 000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Tuyaux, vannes, pulvérisateur</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w:t>
            </w:r>
          </w:p>
        </w:tc>
        <w:tc>
          <w:tcPr>
            <w:tcW w:w="1205"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500 000</w:t>
            </w:r>
          </w:p>
        </w:tc>
        <w:tc>
          <w:tcPr>
            <w:tcW w:w="1559"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500 000</w:t>
            </w:r>
          </w:p>
        </w:tc>
      </w:tr>
      <w:tr>
        <w:trPr>
          <w:trHeight w:val="270" w:hRule="atLeast"/>
        </w:trPr>
        <w:tc>
          <w:tcPr>
            <w:tcW w:w="3899" w:type="dxa"/>
            <w:tcBorders>
              <w:left w:val="single" w:sz="4" w:space="0" w:color="000000"/>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001"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205"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559" w:type="dxa"/>
            <w:tcBorders>
              <w:bottom w:val="single" w:sz="8"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3 105 000</w:t>
            </w:r>
          </w:p>
        </w:tc>
      </w:tr>
    </w:tbl>
    <w:p>
      <w:pPr>
        <w:pStyle w:val="Normal"/>
        <w:ind w:left="720" w:right="0"/>
        <w:rPr>
          <w:lang w:val="fr-CI"/>
        </w:rPr>
      </w:pPr>
      <w:r>
        <w:rPr>
          <w:lang w:val="fr-CI"/>
        </w:rPr>
        <w:t>2.3 Mobiliers et matériels</w:t>
      </w:r>
    </w:p>
    <w:tbl>
      <w:tblPr>
        <w:tblW w:w="7665" w:type="dxa"/>
        <w:jc w:val="left"/>
        <w:tblInd w:w="60" w:type="dxa"/>
        <w:tblLayout w:type="fixed"/>
        <w:tblCellMar>
          <w:top w:w="0" w:type="dxa"/>
          <w:left w:w="70" w:type="dxa"/>
          <w:bottom w:w="0" w:type="dxa"/>
          <w:right w:w="70" w:type="dxa"/>
        </w:tblCellMar>
      </w:tblPr>
      <w:tblGrid>
        <w:gridCol w:w="3899"/>
        <w:gridCol w:w="1001"/>
        <w:gridCol w:w="1346"/>
        <w:gridCol w:w="1418"/>
      </w:tblGrid>
      <w:tr>
        <w:trPr>
          <w:trHeight w:val="270" w:hRule="atLeast"/>
        </w:trPr>
        <w:tc>
          <w:tcPr>
            <w:tcW w:w="3899" w:type="dxa"/>
            <w:tcBorders>
              <w:top w:val="single" w:sz="8" w:space="0" w:color="000000"/>
              <w:left w:val="single" w:sz="8" w:space="0" w:color="000000"/>
              <w:bottom w:val="single" w:sz="4"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1001"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1346"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418" w:type="dxa"/>
            <w:tcBorders>
              <w:top w:val="single" w:sz="8" w:space="0" w:color="000000"/>
              <w:bottom w:val="single" w:sz="8" w:space="0" w:color="000000"/>
              <w:right w:val="single" w:sz="8"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Balance</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20 000</w:t>
            </w:r>
          </w:p>
        </w:tc>
        <w:tc>
          <w:tcPr>
            <w:tcW w:w="1418" w:type="dxa"/>
            <w:tcBorders>
              <w:top w:val="single" w:sz="4" w:space="0" w:color="000000"/>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20 000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Petit matériel divers (1 lot)</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60 000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60 000</w:t>
            </w:r>
          </w:p>
        </w:tc>
      </w:tr>
      <w:tr>
        <w:trPr>
          <w:trHeight w:val="270" w:hRule="atLeast"/>
        </w:trPr>
        <w:tc>
          <w:tcPr>
            <w:tcW w:w="3899" w:type="dxa"/>
            <w:tcBorders>
              <w:left w:val="single" w:sz="4" w:space="0" w:color="000000"/>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TOTAL</w:t>
            </w:r>
          </w:p>
        </w:tc>
        <w:tc>
          <w:tcPr>
            <w:tcW w:w="1001"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346"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418" w:type="dxa"/>
            <w:tcBorders>
              <w:bottom w:val="single" w:sz="8"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80 000</w:t>
            </w:r>
          </w:p>
        </w:tc>
      </w:tr>
    </w:tbl>
    <w:p>
      <w:pPr>
        <w:pStyle w:val="Heading3"/>
        <w:numPr>
          <w:ilvl w:val="1"/>
          <w:numId w:val="9"/>
        </w:numPr>
        <w:ind w:hanging="360" w:left="1211" w:right="0"/>
        <w:rPr>
          <w:rFonts w:ascii="Times New Roman" w:hAnsi="Times New Roman" w:cs="Times New Roman"/>
          <w:sz w:val="24"/>
          <w:szCs w:val="24"/>
        </w:rPr>
      </w:pPr>
      <w:bookmarkStart w:id="11" w:name="__RefHeading___Toc234831710"/>
      <w:bookmarkEnd w:id="11"/>
      <w:r>
        <w:rPr>
          <w:rFonts w:cs="Times New Roman" w:ascii="Times New Roman" w:hAnsi="Times New Roman"/>
          <w:sz w:val="24"/>
          <w:szCs w:val="24"/>
        </w:rPr>
        <w:t>Equipements de production :</w:t>
      </w:r>
    </w:p>
    <w:p>
      <w:pPr>
        <w:pStyle w:val="Normal"/>
        <w:rPr>
          <w:sz w:val="22"/>
          <w:szCs w:val="22"/>
        </w:rPr>
      </w:pPr>
      <w:r>
        <w:rPr>
          <w:sz w:val="22"/>
          <w:szCs w:val="22"/>
        </w:rPr>
        <w:t>Les équipements de production sont consignés dans le tableau ci-dessous :</w:t>
      </w:r>
    </w:p>
    <w:p>
      <w:pPr>
        <w:pStyle w:val="Normal"/>
        <w:rPr>
          <w:b/>
          <w:bCs/>
          <w:sz w:val="22"/>
          <w:szCs w:val="22"/>
          <w:lang w:eastAsia="fr-CA"/>
        </w:rPr>
      </w:pPr>
      <w:r>
        <w:rPr>
          <w:b/>
          <w:bCs/>
          <w:sz w:val="22"/>
          <w:szCs w:val="22"/>
          <w:lang w:eastAsia="fr-CA"/>
        </w:rPr>
        <w:t xml:space="preserve"> </w:t>
      </w:r>
      <w:r>
        <w:rPr>
          <w:b/>
          <w:bCs/>
          <w:sz w:val="22"/>
          <w:szCs w:val="22"/>
          <w:lang w:eastAsia="fr-CA"/>
        </w:rPr>
        <w:t>Equipements de production</w:t>
      </w:r>
    </w:p>
    <w:tbl>
      <w:tblPr>
        <w:tblW w:w="7665" w:type="dxa"/>
        <w:jc w:val="left"/>
        <w:tblInd w:w="60" w:type="dxa"/>
        <w:tblLayout w:type="fixed"/>
        <w:tblCellMar>
          <w:top w:w="0" w:type="dxa"/>
          <w:left w:w="70" w:type="dxa"/>
          <w:bottom w:w="0" w:type="dxa"/>
          <w:right w:w="70" w:type="dxa"/>
        </w:tblCellMar>
      </w:tblPr>
      <w:tblGrid>
        <w:gridCol w:w="3899"/>
        <w:gridCol w:w="1001"/>
        <w:gridCol w:w="1346"/>
        <w:gridCol w:w="1418"/>
      </w:tblGrid>
      <w:tr>
        <w:trPr>
          <w:trHeight w:val="270" w:hRule="atLeast"/>
        </w:trPr>
        <w:tc>
          <w:tcPr>
            <w:tcW w:w="3899" w:type="dxa"/>
            <w:tcBorders>
              <w:top w:val="single" w:sz="8" w:space="0" w:color="000000"/>
              <w:left w:val="single" w:sz="8" w:space="0" w:color="000000"/>
              <w:bottom w:val="single" w:sz="4"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1001"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1346"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418" w:type="dxa"/>
            <w:tcBorders>
              <w:top w:val="single" w:sz="8" w:space="0" w:color="000000"/>
              <w:bottom w:val="single" w:sz="8" w:space="0" w:color="000000"/>
              <w:right w:val="single" w:sz="8"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Paillage en plastique</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200 000</w:t>
            </w:r>
          </w:p>
        </w:tc>
        <w:tc>
          <w:tcPr>
            <w:tcW w:w="1418" w:type="dxa"/>
            <w:tcBorders>
              <w:top w:val="single" w:sz="4" w:space="0" w:color="000000"/>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200 000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Pulvérisateurs</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25 000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50 000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jc w:val="both"/>
              <w:rPr>
                <w:color w:val="000000"/>
                <w:sz w:val="22"/>
                <w:szCs w:val="22"/>
              </w:rPr>
            </w:pPr>
            <w:r>
              <w:rPr>
                <w:color w:val="000000"/>
                <w:sz w:val="22"/>
                <w:szCs w:val="22"/>
              </w:rPr>
              <w:t>Brouettes + Houes</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40 000</w:t>
            </w:r>
          </w:p>
        </w:tc>
      </w:tr>
      <w:tr>
        <w:trPr>
          <w:trHeight w:val="25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P 17 (2000 m)</w:t>
            </w:r>
          </w:p>
        </w:tc>
        <w:tc>
          <w:tcPr>
            <w:tcW w:w="100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150 000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150 000</w:t>
            </w:r>
          </w:p>
        </w:tc>
      </w:tr>
      <w:tr>
        <w:trPr>
          <w:trHeight w:val="255" w:hRule="atLeast"/>
        </w:trPr>
        <w:tc>
          <w:tcPr>
            <w:tcW w:w="3899" w:type="dxa"/>
            <w:tcBorders>
              <w:top w:val="single" w:sz="4" w:space="0" w:color="000000"/>
              <w:left w:val="single" w:sz="4" w:space="0" w:color="000000"/>
              <w:bottom w:val="single" w:sz="4" w:space="0" w:color="000000"/>
            </w:tcBorders>
            <w:shd w:fill="FFFFFF" w:val="clear"/>
            <w:vAlign w:val="bottom"/>
          </w:tcPr>
          <w:p>
            <w:pPr>
              <w:pStyle w:val="Normal"/>
              <w:rPr>
                <w:rFonts w:ascii="Cambria" w:hAnsi="Cambria" w:cs="Calibri"/>
                <w:color w:val="000000"/>
                <w:sz w:val="20"/>
                <w:szCs w:val="20"/>
              </w:rPr>
            </w:pPr>
            <w:r>
              <w:rPr>
                <w:rFonts w:cs="Calibri" w:ascii="Cambria" w:hAnsi="Cambria"/>
                <w:color w:val="000000"/>
                <w:sz w:val="20"/>
                <w:szCs w:val="20"/>
              </w:rPr>
              <w:t>Outils divers (dabas, pioches, pelles)</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45 000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45 000</w:t>
            </w:r>
          </w:p>
        </w:tc>
      </w:tr>
      <w:tr>
        <w:trPr>
          <w:trHeight w:val="270" w:hRule="atLeast"/>
        </w:trPr>
        <w:tc>
          <w:tcPr>
            <w:tcW w:w="3899" w:type="dxa"/>
            <w:tcBorders>
              <w:left w:val="single" w:sz="4" w:space="0" w:color="000000"/>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TOTAL</w:t>
            </w:r>
          </w:p>
        </w:tc>
        <w:tc>
          <w:tcPr>
            <w:tcW w:w="1001"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346"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418" w:type="dxa"/>
            <w:tcBorders>
              <w:bottom w:val="single" w:sz="8"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485 000</w:t>
            </w:r>
          </w:p>
        </w:tc>
      </w:tr>
    </w:tbl>
    <w:p>
      <w:pPr>
        <w:pStyle w:val="Normal"/>
        <w:rPr>
          <w:b/>
          <w:bCs/>
          <w:sz w:val="22"/>
          <w:szCs w:val="22"/>
          <w:lang w:eastAsia="fr-CA"/>
        </w:rPr>
      </w:pPr>
      <w:r>
        <w:rPr>
          <w:b/>
          <w:bCs/>
          <w:sz w:val="22"/>
          <w:szCs w:val="22"/>
          <w:lang w:eastAsia="fr-CA"/>
        </w:rPr>
      </w:r>
    </w:p>
    <w:tbl>
      <w:tblPr>
        <w:tblW w:w="7420" w:type="dxa"/>
        <w:jc w:val="left"/>
        <w:tblInd w:w="60" w:type="dxa"/>
        <w:tblLayout w:type="fixed"/>
        <w:tblCellMar>
          <w:top w:w="0" w:type="dxa"/>
          <w:left w:w="70" w:type="dxa"/>
          <w:bottom w:w="0" w:type="dxa"/>
          <w:right w:w="70" w:type="dxa"/>
        </w:tblCellMar>
      </w:tblPr>
      <w:tblGrid>
        <w:gridCol w:w="3899"/>
        <w:gridCol w:w="1001"/>
        <w:gridCol w:w="999"/>
        <w:gridCol w:w="1520"/>
      </w:tblGrid>
      <w:tr>
        <w:trPr>
          <w:trHeight w:val="255" w:hRule="atLeast"/>
        </w:trPr>
        <w:tc>
          <w:tcPr>
            <w:tcW w:w="3899" w:type="dxa"/>
            <w:tcBorders/>
            <w:shd w:fill="FFFFFF" w:val="clear"/>
            <w:vAlign w:val="bottom"/>
          </w:tcPr>
          <w:p>
            <w:pPr>
              <w:pStyle w:val="Normal"/>
              <w:snapToGrid w:val="false"/>
              <w:rPr>
                <w:rFonts w:ascii="Cambria" w:hAnsi="Cambria" w:cs="Calibri"/>
                <w:b/>
                <w:bCs/>
                <w:sz w:val="20"/>
                <w:szCs w:val="20"/>
              </w:rPr>
            </w:pPr>
            <w:r>
              <w:rPr>
                <w:rFonts w:cs="Calibri" w:ascii="Cambria" w:hAnsi="Cambria"/>
                <w:b/>
                <w:bCs/>
                <w:sz w:val="20"/>
                <w:szCs w:val="20"/>
              </w:rPr>
            </w:r>
          </w:p>
        </w:tc>
        <w:tc>
          <w:tcPr>
            <w:tcW w:w="1001" w:type="dxa"/>
            <w:tcBorders/>
            <w:shd w:fill="FFFFFF" w:val="clear"/>
            <w:vAlign w:val="bottom"/>
          </w:tcPr>
          <w:p>
            <w:pPr>
              <w:pStyle w:val="Normal"/>
              <w:rPr>
                <w:rFonts w:ascii="Cambria" w:hAnsi="Cambria" w:cs="Calibri"/>
                <w:sz w:val="20"/>
                <w:szCs w:val="20"/>
              </w:rPr>
            </w:pPr>
            <w:r>
              <w:rPr/>
            </w:r>
          </w:p>
        </w:tc>
        <w:tc>
          <w:tcPr>
            <w:tcW w:w="999" w:type="dxa"/>
            <w:tcBorders/>
            <w:shd w:fill="FFFFFF" w:val="clear"/>
            <w:vAlign w:val="bottom"/>
          </w:tcPr>
          <w:p>
            <w:pPr>
              <w:pStyle w:val="Normal"/>
              <w:rPr>
                <w:rFonts w:ascii="Cambria" w:hAnsi="Cambria" w:cs="Calibri"/>
                <w:sz w:val="20"/>
                <w:szCs w:val="20"/>
              </w:rPr>
            </w:pPr>
            <w:r>
              <w:rPr/>
            </w:r>
          </w:p>
        </w:tc>
        <w:tc>
          <w:tcPr>
            <w:tcW w:w="1520" w:type="dxa"/>
            <w:tcBorders/>
            <w:shd w:fill="FFFFFF" w:val="clear"/>
            <w:vAlign w:val="bottom"/>
          </w:tcPr>
          <w:p>
            <w:pPr>
              <w:pStyle w:val="Normal"/>
              <w:rPr>
                <w:rFonts w:ascii="Cambria" w:hAnsi="Cambria" w:cs="Calibri"/>
                <w:sz w:val="20"/>
                <w:szCs w:val="20"/>
              </w:rPr>
            </w:pPr>
            <w:r>
              <w:rPr/>
            </w:r>
          </w:p>
        </w:tc>
      </w:tr>
    </w:tbl>
    <w:p>
      <w:pPr>
        <w:pStyle w:val="Heading2"/>
        <w:keepLines/>
        <w:numPr>
          <w:ilvl w:val="0"/>
          <w:numId w:val="13"/>
        </w:numPr>
        <w:spacing w:before="120" w:after="0"/>
        <w:ind w:hanging="360" w:left="720" w:right="0"/>
        <w:jc w:val="both"/>
        <w:rPr>
          <w:rFonts w:ascii="Times New Roman" w:hAnsi="Times New Roman" w:cs="Times New Roman"/>
          <w:i w:val="false"/>
          <w:i w:val="false"/>
          <w:iCs w:val="false"/>
          <w:sz w:val="24"/>
          <w:szCs w:val="24"/>
          <w:lang w:val="fr-CI"/>
        </w:rPr>
      </w:pPr>
      <w:bookmarkStart w:id="12" w:name="__RefHeading___Toc234831711"/>
      <w:bookmarkEnd w:id="12"/>
      <w:r>
        <w:rPr>
          <w:rFonts w:cs="Times New Roman" w:ascii="Times New Roman" w:hAnsi="Times New Roman"/>
          <w:i w:val="false"/>
          <w:iCs w:val="false"/>
          <w:sz w:val="24"/>
          <w:szCs w:val="24"/>
          <w:lang w:val="fr-CI"/>
        </w:rPr>
        <w:t>Le processus de production :</w:t>
      </w:r>
    </w:p>
    <w:p>
      <w:pPr>
        <w:pStyle w:val="Normal"/>
        <w:rPr/>
      </w:pPr>
      <w:r>
        <w:rPr>
          <w:b/>
          <w:bCs/>
        </w:rPr>
        <w:t>Étapes culturales de la pastèque :</w:t>
      </w:r>
      <w:r>
        <w:rPr/>
        <w:br/>
        <w:t>Préparation du sol → Semis en alvéoles → Repiquage → Irrigation → Fertilisation → Entretien → Floraison/Pollinisation → Récolte → Tri → Conditionnement.</w:t>
      </w:r>
    </w:p>
    <w:p>
      <w:pPr>
        <w:pStyle w:val="Normal"/>
        <w:rPr/>
      </w:pPr>
      <w:r>
        <w:rPr/>
        <w:t>Le processus de production au niveau de la parcelle maraîchère ZÉRÉ</w:t>
      </w:r>
      <w:r>
        <w:rPr>
          <w:b/>
          <w:bCs/>
        </w:rPr>
        <w:t xml:space="preserve"> DÉLICE D'ISSA</w:t>
      </w:r>
      <w:r>
        <w:rPr/>
        <w:t xml:space="preserve"> comprend :</w:t>
      </w:r>
    </w:p>
    <w:p>
      <w:pPr>
        <w:pStyle w:val="Normal"/>
        <w:numPr>
          <w:ilvl w:val="0"/>
          <w:numId w:val="8"/>
        </w:numPr>
        <w:rPr/>
      </w:pPr>
      <w:r>
        <w:rPr>
          <w:b/>
          <w:bCs/>
        </w:rPr>
        <w:t>Préparation et amélioration du sol</w:t>
      </w:r>
      <w:r>
        <w:rPr/>
        <w:br/>
        <w:t>Le sol est enrichi principalement par des apports organiques, notamment du compost et du fumier bien décomposé, afin d'améliorer la fertilité avec l'appui modéré d'engrais chimiques.</w:t>
      </w:r>
    </w:p>
    <w:p>
      <w:pPr>
        <w:pStyle w:val="Normal"/>
        <w:numPr>
          <w:ilvl w:val="0"/>
          <w:numId w:val="8"/>
        </w:numPr>
        <w:rPr/>
      </w:pPr>
      <w:r>
        <w:rPr>
          <w:b/>
          <w:bCs/>
        </w:rPr>
        <w:t>Gestion durable de l'eau</w:t>
      </w:r>
      <w:r>
        <w:rPr/>
        <w:br/>
        <w:t>L'entreprise utilisera un forage équipé d'une pompe solaire et un système d'irrigation goutte-à-goutte pour assurer un approvisionnement constant en eau. Ces techniques permettront de réduire la consommation d'eau tout en augmentant les rendements.</w:t>
      </w:r>
    </w:p>
    <w:p>
      <w:pPr>
        <w:pStyle w:val="Normal"/>
        <w:numPr>
          <w:ilvl w:val="0"/>
          <w:numId w:val="8"/>
        </w:numPr>
        <w:rPr/>
      </w:pPr>
      <w:r>
        <w:rPr>
          <w:b/>
          <w:bCs/>
        </w:rPr>
        <w:t>Semis et repiquage</w:t>
      </w:r>
      <w:r>
        <w:rPr/>
        <w:br/>
        <w:t>Les semences de variétés adaptées (Koloss, Sugar Baby, Crimson Sweet, Charleston Grey, Malali, Kaolack) sont semées en alvéoles, puis repiquées sur la parcelle après préparation du sol.</w:t>
      </w:r>
    </w:p>
    <w:p>
      <w:pPr>
        <w:pStyle w:val="Normal"/>
        <w:numPr>
          <w:ilvl w:val="0"/>
          <w:numId w:val="8"/>
        </w:numPr>
        <w:rPr/>
      </w:pPr>
      <w:r>
        <w:rPr>
          <w:b/>
          <w:bCs/>
        </w:rPr>
        <w:t>Suivi et optimisation des intrants</w:t>
      </w:r>
      <w:r>
        <w:rPr/>
        <w:br/>
        <w:t>L'utilisation d'outils pour mieux doser les apports en eau et en nutriments en fonction des besoins réels des cultures, optimisant ainsi la production tout en limitant les pertes.</w:t>
      </w:r>
    </w:p>
    <w:p>
      <w:pPr>
        <w:pStyle w:val="Normal"/>
        <w:numPr>
          <w:ilvl w:val="0"/>
          <w:numId w:val="8"/>
        </w:numPr>
        <w:rPr/>
      </w:pPr>
      <w:r>
        <w:rPr>
          <w:b/>
          <w:bCs/>
        </w:rPr>
        <w:t>Récolte et commercialisation</w:t>
      </w:r>
      <w:r>
        <w:rPr/>
        <w:br/>
        <w:t>La récolte est effectuée au moment optimal pour garantir la qualité et la fraîcheur des pastèques. Le tri permet de séparer les fruits selon trois calibres (gros, moyen, petit) avant conditionnement et livraison aux clients.</w:t>
      </w:r>
    </w:p>
    <w:p>
      <w:pPr>
        <w:pStyle w:val="Normal"/>
        <w:rPr/>
      </w:pPr>
      <w:r>
        <w:rPr/>
        <w:t xml:space="preserve">La capacité de production de </w:t>
      </w:r>
      <w:r>
        <w:rPr>
          <w:b/>
          <w:bCs/>
        </w:rPr>
        <w:t>ZÉRÉ DÉLICE D'ISSA</w:t>
      </w:r>
      <w:r>
        <w:rPr/>
        <w:t xml:space="preserve"> est définie dans la projection de vente ci-dessous :</w:t>
      </w:r>
    </w:p>
    <w:tbl>
      <w:tblPr>
        <w:tblW w:w="9885" w:type="dxa"/>
        <w:jc w:val="left"/>
        <w:tblInd w:w="-5" w:type="dxa"/>
        <w:tblLayout w:type="fixed"/>
        <w:tblCellMar>
          <w:top w:w="150" w:type="dxa"/>
          <w:left w:w="5" w:type="dxa"/>
          <w:bottom w:w="150" w:type="dxa"/>
          <w:right w:w="235" w:type="dxa"/>
        </w:tblCellMar>
      </w:tblPr>
      <w:tblGrid>
        <w:gridCol w:w="2096"/>
        <w:gridCol w:w="1040"/>
        <w:gridCol w:w="1360"/>
        <w:gridCol w:w="1360"/>
        <w:gridCol w:w="1400"/>
        <w:gridCol w:w="1454"/>
        <w:gridCol w:w="1174"/>
      </w:tblGrid>
      <w:tr>
        <w:trPr>
          <w:tblHeader w:val="true"/>
        </w:trPr>
        <w:tc>
          <w:tcPr>
            <w:tcW w:w="2096" w:type="dxa"/>
            <w:tcBorders>
              <w:top w:val="single" w:sz="4" w:space="0" w:color="000000"/>
              <w:left w:val="single" w:sz="4" w:space="0" w:color="000000"/>
              <w:bottom w:val="single" w:sz="4" w:space="0" w:color="000000"/>
              <w:right w:val="single" w:sz="4" w:space="0" w:color="000000"/>
            </w:tcBorders>
            <w:vAlign w:val="center"/>
          </w:tcPr>
          <w:p>
            <w:pPr>
              <w:pStyle w:val="Normal"/>
              <w:rPr>
                <w:b/>
                <w:bCs/>
              </w:rPr>
            </w:pPr>
            <w:r>
              <w:rPr>
                <w:b/>
                <w:bCs/>
              </w:rPr>
              <w:t>Désignation</w:t>
            </w:r>
          </w:p>
        </w:tc>
        <w:tc>
          <w:tcPr>
            <w:tcW w:w="104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rPr>
            </w:pPr>
            <w:r>
              <w:rPr>
                <w:b/>
                <w:bCs/>
              </w:rPr>
              <w:t>Unité</w:t>
            </w:r>
          </w:p>
        </w:tc>
        <w:tc>
          <w:tcPr>
            <w:tcW w:w="13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rPr>
            </w:pPr>
            <w:r>
              <w:rPr>
                <w:b/>
                <w:bCs/>
              </w:rPr>
              <w:t>Qté/jour</w:t>
            </w:r>
          </w:p>
        </w:tc>
        <w:tc>
          <w:tcPr>
            <w:tcW w:w="13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rPr>
            </w:pPr>
            <w:r>
              <w:rPr>
                <w:b/>
                <w:bCs/>
              </w:rPr>
              <w:t>Qté/Sem</w:t>
            </w:r>
          </w:p>
        </w:tc>
        <w:tc>
          <w:tcPr>
            <w:tcW w:w="140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rPr>
            </w:pPr>
            <w:r>
              <w:rPr>
                <w:b/>
                <w:bCs/>
              </w:rPr>
              <w:t>Qté/mois</w:t>
            </w:r>
          </w:p>
        </w:tc>
        <w:tc>
          <w:tcPr>
            <w:tcW w:w="145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rPr>
            </w:pPr>
            <w:r>
              <w:rPr>
                <w:b/>
                <w:bCs/>
              </w:rPr>
              <w:t>Qté/Trim</w:t>
            </w:r>
          </w:p>
        </w:tc>
        <w:tc>
          <w:tcPr>
            <w:tcW w:w="117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rPr>
            </w:pPr>
            <w:r>
              <w:rPr>
                <w:b/>
                <w:bCs/>
              </w:rPr>
              <w:t>Qté/an</w:t>
            </w:r>
          </w:p>
        </w:tc>
      </w:tr>
      <w:tr>
        <w:trPr/>
        <w:tc>
          <w:tcPr>
            <w:tcW w:w="20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Vente pastèque gros calibre (6-8 kg)</w:t>
            </w:r>
          </w:p>
        </w:tc>
        <w:tc>
          <w:tcPr>
            <w:tcW w:w="104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Kg</w:t>
            </w:r>
          </w:p>
        </w:tc>
        <w:tc>
          <w:tcPr>
            <w:tcW w:w="13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42</w:t>
            </w:r>
          </w:p>
        </w:tc>
        <w:tc>
          <w:tcPr>
            <w:tcW w:w="13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250</w:t>
            </w:r>
          </w:p>
        </w:tc>
        <w:tc>
          <w:tcPr>
            <w:tcW w:w="140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1 000</w:t>
            </w:r>
          </w:p>
        </w:tc>
        <w:tc>
          <w:tcPr>
            <w:tcW w:w="145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3 000</w:t>
            </w:r>
          </w:p>
        </w:tc>
        <w:tc>
          <w:tcPr>
            <w:tcW w:w="117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pPr>
            <w:r>
              <w:rPr/>
              <w:t>12 000</w:t>
            </w:r>
          </w:p>
        </w:tc>
      </w:tr>
      <w:tr>
        <w:trPr/>
        <w:tc>
          <w:tcPr>
            <w:tcW w:w="20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Vente pastèque moyen calibre (4-5 kg)</w:t>
            </w:r>
          </w:p>
        </w:tc>
        <w:tc>
          <w:tcPr>
            <w:tcW w:w="104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Kg</w:t>
            </w:r>
          </w:p>
        </w:tc>
        <w:tc>
          <w:tcPr>
            <w:tcW w:w="13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42</w:t>
            </w:r>
          </w:p>
        </w:tc>
        <w:tc>
          <w:tcPr>
            <w:tcW w:w="13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250</w:t>
            </w:r>
          </w:p>
        </w:tc>
        <w:tc>
          <w:tcPr>
            <w:tcW w:w="140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1 000</w:t>
            </w:r>
          </w:p>
        </w:tc>
        <w:tc>
          <w:tcPr>
            <w:tcW w:w="145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3 000</w:t>
            </w:r>
          </w:p>
        </w:tc>
        <w:tc>
          <w:tcPr>
            <w:tcW w:w="117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pPr>
            <w:r>
              <w:rPr/>
              <w:t>12 000</w:t>
            </w:r>
          </w:p>
        </w:tc>
      </w:tr>
      <w:tr>
        <w:trPr/>
        <w:tc>
          <w:tcPr>
            <w:tcW w:w="20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Vente pastèque petit calibre (2-3 kg)</w:t>
            </w:r>
          </w:p>
        </w:tc>
        <w:tc>
          <w:tcPr>
            <w:tcW w:w="104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Kg</w:t>
            </w:r>
          </w:p>
        </w:tc>
        <w:tc>
          <w:tcPr>
            <w:tcW w:w="13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21</w:t>
            </w:r>
          </w:p>
        </w:tc>
        <w:tc>
          <w:tcPr>
            <w:tcW w:w="13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125</w:t>
            </w:r>
          </w:p>
        </w:tc>
        <w:tc>
          <w:tcPr>
            <w:tcW w:w="140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500</w:t>
            </w:r>
          </w:p>
        </w:tc>
        <w:tc>
          <w:tcPr>
            <w:tcW w:w="145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1 500</w:t>
            </w:r>
          </w:p>
        </w:tc>
        <w:tc>
          <w:tcPr>
            <w:tcW w:w="117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pPr>
            <w:r>
              <w:rPr/>
              <w:t>6 000</w:t>
            </w:r>
          </w:p>
        </w:tc>
      </w:tr>
      <w:tr>
        <w:trPr/>
        <w:tc>
          <w:tcPr>
            <w:tcW w:w="2096" w:type="dxa"/>
            <w:tcBorders>
              <w:top w:val="single" w:sz="4" w:space="0" w:color="000000"/>
              <w:left w:val="single" w:sz="4" w:space="0" w:color="000000"/>
              <w:bottom w:val="single" w:sz="4" w:space="0" w:color="000000"/>
              <w:right w:val="single" w:sz="4" w:space="0" w:color="000000"/>
            </w:tcBorders>
            <w:vAlign w:val="center"/>
          </w:tcPr>
          <w:p>
            <w:pPr>
              <w:pStyle w:val="Normal"/>
              <w:rPr>
                <w:b/>
                <w:bCs/>
              </w:rPr>
            </w:pPr>
            <w:r>
              <w:rPr>
                <w:b/>
                <w:bCs/>
              </w:rPr>
              <w:t>TOTAL</w:t>
            </w:r>
          </w:p>
        </w:tc>
        <w:tc>
          <w:tcPr>
            <w:tcW w:w="104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rPr>
            </w:pPr>
            <w:r>
              <w:rPr>
                <w:b/>
                <w:bCs/>
              </w:rPr>
              <w:t>Kg</w:t>
            </w:r>
          </w:p>
        </w:tc>
        <w:tc>
          <w:tcPr>
            <w:tcW w:w="13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rPr>
            </w:pPr>
            <w:r>
              <w:rPr>
                <w:b/>
                <w:bCs/>
              </w:rPr>
              <w:t>105</w:t>
            </w:r>
          </w:p>
        </w:tc>
        <w:tc>
          <w:tcPr>
            <w:tcW w:w="136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rPr>
            </w:pPr>
            <w:r>
              <w:rPr>
                <w:b/>
                <w:bCs/>
              </w:rPr>
              <w:t>625</w:t>
            </w:r>
          </w:p>
        </w:tc>
        <w:tc>
          <w:tcPr>
            <w:tcW w:w="140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rPr>
            </w:pPr>
            <w:r>
              <w:rPr>
                <w:b/>
                <w:bCs/>
              </w:rPr>
              <w:t>2 500</w:t>
            </w:r>
          </w:p>
        </w:tc>
        <w:tc>
          <w:tcPr>
            <w:tcW w:w="145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rPr>
            </w:pPr>
            <w:r>
              <w:rPr>
                <w:b/>
                <w:bCs/>
              </w:rPr>
              <w:t>7 500</w:t>
            </w:r>
          </w:p>
        </w:tc>
        <w:tc>
          <w:tcPr>
            <w:tcW w:w="117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b/>
                <w:bCs/>
              </w:rPr>
            </w:pPr>
            <w:r>
              <w:rPr>
                <w:b/>
                <w:bCs/>
              </w:rPr>
              <w:t>30 000</w:t>
            </w:r>
          </w:p>
        </w:tc>
      </w:tr>
    </w:tbl>
    <w:p>
      <w:pPr>
        <w:pStyle w:val="Normal"/>
        <w:rPr>
          <w:i/>
          <w:i/>
          <w:iCs/>
        </w:rPr>
      </w:pPr>
      <w:r>
        <w:rPr>
          <w:i/>
          <w:iCs/>
        </w:rPr>
        <w:t>(Soit environ 30 tonnes par an, correspondant à 6 000 fruits de 5 kg en moyenne, avec un rendement de 30 t/ha.)</w:t>
      </w:r>
    </w:p>
    <w:p>
      <w:pPr>
        <w:pStyle w:val="Normal"/>
        <w:rPr/>
      </w:pPr>
      <w:r>
        <w:rPr/>
      </w:r>
    </w:p>
    <w:p>
      <w:pPr>
        <w:pStyle w:val="Heading2"/>
        <w:keepLines/>
        <w:numPr>
          <w:ilvl w:val="0"/>
          <w:numId w:val="13"/>
        </w:numPr>
        <w:spacing w:before="120" w:after="120"/>
        <w:ind w:hanging="360" w:left="720" w:right="0"/>
        <w:jc w:val="both"/>
        <w:rPr>
          <w:rFonts w:ascii="Times New Roman" w:hAnsi="Times New Roman" w:cs="Times New Roman"/>
          <w:sz w:val="24"/>
          <w:szCs w:val="24"/>
          <w:lang w:val="fr-CI"/>
        </w:rPr>
      </w:pPr>
      <w:bookmarkStart w:id="13" w:name="__RefHeading___Toc234831712"/>
      <w:bookmarkEnd w:id="13"/>
      <w:r>
        <w:rPr>
          <w:rFonts w:cs="Times New Roman" w:ascii="Times New Roman" w:hAnsi="Times New Roman"/>
          <w:i w:val="false"/>
          <w:iCs w:val="false"/>
          <w:sz w:val="24"/>
          <w:szCs w:val="24"/>
          <w:lang w:val="fr-CI"/>
        </w:rPr>
        <w:t xml:space="preserve">Le personnel : </w:t>
      </w:r>
      <w:r>
        <w:rPr>
          <w:rFonts w:cs="Times New Roman" w:ascii="Times New Roman" w:hAnsi="Times New Roman"/>
          <w:sz w:val="24"/>
          <w:szCs w:val="24"/>
          <w:lang w:val="fr-CI"/>
        </w:rPr>
        <w:t>(profil et compétences)</w:t>
      </w:r>
    </w:p>
    <w:p>
      <w:pPr>
        <w:pStyle w:val="Normal"/>
        <w:rPr>
          <w:sz w:val="22"/>
          <w:szCs w:val="22"/>
          <w:lang w:val="fr-CI"/>
        </w:rPr>
      </w:pPr>
      <w:r>
        <w:rPr>
          <w:sz w:val="22"/>
          <w:szCs w:val="22"/>
          <w:lang w:val="fr-CI"/>
        </w:rPr>
        <w:t xml:space="preserve">L’entreprise emploie cinq (5) hommes : deux (2) en permanence (le promoteur et l’agronome) et trois (3) ouvriers saisonniers. </w:t>
      </w:r>
    </w:p>
    <w:tbl>
      <w:tblPr>
        <w:tblW w:w="4750" w:type="pct"/>
        <w:jc w:val="center"/>
        <w:tblInd w:w="0" w:type="dxa"/>
        <w:tblLayout w:type="fixed"/>
        <w:tblCellMar>
          <w:top w:w="0" w:type="dxa"/>
          <w:left w:w="70" w:type="dxa"/>
          <w:bottom w:w="0" w:type="dxa"/>
          <w:right w:w="70" w:type="dxa"/>
        </w:tblCellMar>
      </w:tblPr>
      <w:tblGrid>
        <w:gridCol w:w="2549"/>
        <w:gridCol w:w="963"/>
        <w:gridCol w:w="1002"/>
        <w:gridCol w:w="2269"/>
        <w:gridCol w:w="1072"/>
        <w:gridCol w:w="1302"/>
      </w:tblGrid>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both"/>
              <w:rPr>
                <w:rFonts w:ascii="Cambria" w:hAnsi="Cambria" w:cs="Arial"/>
                <w:b/>
                <w:bCs/>
                <w:sz w:val="22"/>
                <w:szCs w:val="22"/>
                <w:lang w:val="fr-ML" w:eastAsia="fr-ML"/>
              </w:rPr>
            </w:pPr>
            <w:r>
              <w:rPr>
                <w:rFonts w:cs="Arial" w:ascii="Cambria" w:hAnsi="Cambria"/>
                <w:b/>
                <w:bCs/>
                <w:sz w:val="22"/>
                <w:szCs w:val="22"/>
              </w:rPr>
              <w:t>Noms et Prénoms</w:t>
            </w:r>
          </w:p>
        </w:tc>
        <w:tc>
          <w:tcPr>
            <w:tcW w:w="9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Sexe</w:t>
            </w:r>
          </w:p>
        </w:tc>
        <w:tc>
          <w:tcPr>
            <w:tcW w:w="100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Nombre</w:t>
            </w:r>
          </w:p>
        </w:tc>
        <w:tc>
          <w:tcPr>
            <w:tcW w:w="226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Poste</w:t>
            </w:r>
          </w:p>
        </w:tc>
        <w:tc>
          <w:tcPr>
            <w:tcW w:w="107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Salaire mensuel</w:t>
            </w:r>
          </w:p>
        </w:tc>
        <w:tc>
          <w:tcPr>
            <w:tcW w:w="130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Montant annuel</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tbl>
            <w:tblPr>
              <w:tblW w:w="2915" w:type="dxa"/>
              <w:jc w:val="left"/>
              <w:tblInd w:w="0" w:type="dxa"/>
              <w:tblLayout w:type="fixed"/>
              <w:tblCellMar>
                <w:top w:w="150" w:type="dxa"/>
                <w:left w:w="0" w:type="dxa"/>
                <w:bottom w:w="150" w:type="dxa"/>
                <w:right w:w="240" w:type="dxa"/>
              </w:tblCellMar>
            </w:tblPr>
            <w:tblGrid>
              <w:gridCol w:w="2415"/>
              <w:gridCol w:w="499"/>
            </w:tblGrid>
            <w:tr>
              <w:trPr/>
              <w:tc>
                <w:tcPr>
                  <w:tcW w:w="2415" w:type="dxa"/>
                  <w:tcBorders/>
                  <w:shd w:fill="FFFFFF" w:val="clear"/>
                  <w:vAlign w:val="center"/>
                </w:tcPr>
                <w:p>
                  <w:pPr>
                    <w:pStyle w:val="Normal"/>
                    <w:suppressAutoHyphens w:val="false"/>
                    <w:spacing w:lineRule="atLeast" w:line="375"/>
                    <w:rPr>
                      <w:color w:val="0F1115"/>
                      <w:sz w:val="23"/>
                      <w:szCs w:val="23"/>
                      <w:lang w:eastAsia="fr-FR"/>
                    </w:rPr>
                  </w:pPr>
                  <w:r>
                    <w:rPr>
                      <w:color w:val="0F1115"/>
                      <w:sz w:val="23"/>
                      <w:szCs w:val="23"/>
                      <w:lang w:eastAsia="fr-FR"/>
                    </w:rPr>
                    <w:t>Issa TRAORÉ</w:t>
                  </w:r>
                </w:p>
              </w:tc>
              <w:tc>
                <w:tcPr>
                  <w:tcW w:w="499" w:type="dxa"/>
                  <w:tcBorders/>
                  <w:shd w:fill="FFFFFF" w:val="clear"/>
                  <w:tcMar>
                    <w:left w:w="240" w:type="dxa"/>
                  </w:tcMar>
                  <w:vAlign w:val="center"/>
                </w:tcPr>
                <w:p>
                  <w:pPr>
                    <w:pStyle w:val="Normal"/>
                    <w:suppressAutoHyphens w:val="false"/>
                    <w:snapToGrid w:val="false"/>
                    <w:spacing w:lineRule="atLeast" w:line="375"/>
                    <w:rPr>
                      <w:rFonts w:ascii="Segoe UI" w:hAnsi="Segoe UI" w:cs="Segoe UI"/>
                      <w:color w:val="0F1115"/>
                      <w:sz w:val="23"/>
                      <w:szCs w:val="23"/>
                      <w:lang w:eastAsia="fr-FR"/>
                    </w:rPr>
                  </w:pPr>
                  <w:r>
                    <w:rPr>
                      <w:rFonts w:cs="Segoe UI" w:ascii="Segoe UI" w:hAnsi="Segoe UI"/>
                      <w:color w:val="0F1115"/>
                      <w:sz w:val="23"/>
                      <w:szCs w:val="23"/>
                      <w:lang w:eastAsia="fr-FR"/>
                    </w:rPr>
                  </w:r>
                </w:p>
              </w:tc>
            </w:tr>
          </w:tbl>
          <w:p>
            <w:pPr>
              <w:pStyle w:val="Normal"/>
              <w:jc w:val="both"/>
              <w:rPr>
                <w:sz w:val="22"/>
                <w:szCs w:val="22"/>
                <w:lang w:eastAsia="fr-CA"/>
              </w:rPr>
            </w:pPr>
            <w:r>
              <w:rPr>
                <w:sz w:val="22"/>
                <w:szCs w:val="22"/>
                <w:lang w:eastAsia="fr-CA"/>
              </w:rPr>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M</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1</w:t>
            </w:r>
          </w:p>
        </w:tc>
        <w:tc>
          <w:tcPr>
            <w:tcW w:w="2269" w:type="dxa"/>
            <w:tcBorders>
              <w:top w:val="single" w:sz="4" w:space="0" w:color="000000"/>
              <w:left w:val="single" w:sz="4" w:space="0" w:color="000000"/>
              <w:bottom w:val="single" w:sz="4" w:space="0" w:color="000000"/>
              <w:right w:val="single" w:sz="4" w:space="0" w:color="000000"/>
            </w:tcBorders>
          </w:tcPr>
          <w:p>
            <w:pPr>
              <w:pStyle w:val="Normal"/>
              <w:rPr>
                <w:rFonts w:ascii="Cambria" w:hAnsi="Cambria" w:cs="Arial"/>
                <w:sz w:val="22"/>
                <w:szCs w:val="22"/>
              </w:rPr>
            </w:pPr>
            <w:r>
              <w:rPr>
                <w:rFonts w:cs="Arial" w:ascii="Cambria" w:hAnsi="Cambria"/>
                <w:sz w:val="22"/>
                <w:szCs w:val="22"/>
              </w:rPr>
              <w:t>Promoteur</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lang w:val="fr-CA" w:eastAsia="fr-CA"/>
              </w:rPr>
            </w:pPr>
            <w:r>
              <w:rPr>
                <w:lang w:eastAsia="fr-CA"/>
              </w:rPr>
              <w:t>50 000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lang w:val="fr-CA" w:eastAsia="fr-CA"/>
              </w:rPr>
            </w:pPr>
            <w:r>
              <w:rPr>
                <w:lang w:eastAsia="fr-CA"/>
              </w:rPr>
              <w:t>600 000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p>
            <w:pPr>
              <w:pStyle w:val="Normal"/>
              <w:jc w:val="both"/>
              <w:rPr>
                <w:sz w:val="22"/>
                <w:szCs w:val="22"/>
                <w:lang w:eastAsia="fr-CA"/>
              </w:rPr>
            </w:pPr>
            <w:r>
              <w:rPr>
                <w:sz w:val="22"/>
                <w:szCs w:val="22"/>
                <w:lang w:eastAsia="fr-CA"/>
              </w:rPr>
              <w:t>Agronome</w:t>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M</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1</w:t>
            </w:r>
          </w:p>
        </w:tc>
        <w:tc>
          <w:tcPr>
            <w:tcW w:w="2269" w:type="dxa"/>
            <w:tcBorders>
              <w:top w:val="single" w:sz="4" w:space="0" w:color="000000"/>
              <w:left w:val="single" w:sz="4" w:space="0" w:color="000000"/>
              <w:bottom w:val="single" w:sz="4" w:space="0" w:color="000000"/>
              <w:right w:val="single" w:sz="4" w:space="0" w:color="000000"/>
            </w:tcBorders>
          </w:tcPr>
          <w:p>
            <w:pPr>
              <w:pStyle w:val="Normal"/>
              <w:rPr>
                <w:rFonts w:ascii="Cambria" w:hAnsi="Cambria" w:cs="Arial"/>
                <w:sz w:val="22"/>
                <w:szCs w:val="22"/>
              </w:rPr>
            </w:pPr>
            <w:r>
              <w:rPr>
                <w:rFonts w:cs="Arial" w:ascii="Cambria" w:hAnsi="Cambria"/>
                <w:sz w:val="22"/>
                <w:szCs w:val="22"/>
              </w:rPr>
              <w:t>Contractuel</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lang w:eastAsia="fr-CA"/>
              </w:rPr>
              <w:t>50 000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lang w:eastAsia="fr-CA"/>
              </w:rPr>
              <w:t>600 000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p>
            <w:pPr>
              <w:pStyle w:val="Normal"/>
              <w:jc w:val="both"/>
              <w:rPr>
                <w:sz w:val="22"/>
                <w:szCs w:val="22"/>
                <w:lang w:eastAsia="fr-CA"/>
              </w:rPr>
            </w:pPr>
            <w:r>
              <w:rPr>
                <w:sz w:val="22"/>
                <w:szCs w:val="22"/>
                <w:lang w:eastAsia="fr-CA"/>
              </w:rPr>
              <w:t>Ouvriers</w:t>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M</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3</w:t>
            </w:r>
          </w:p>
        </w:tc>
        <w:tc>
          <w:tcPr>
            <w:tcW w:w="2269" w:type="dxa"/>
            <w:tcBorders>
              <w:top w:val="single" w:sz="4" w:space="0" w:color="000000"/>
              <w:left w:val="single" w:sz="4" w:space="0" w:color="000000"/>
              <w:bottom w:val="single" w:sz="4" w:space="0" w:color="000000"/>
              <w:right w:val="single" w:sz="4" w:space="0" w:color="000000"/>
            </w:tcBorders>
          </w:tcPr>
          <w:p>
            <w:pPr>
              <w:pStyle w:val="Normal"/>
              <w:rPr>
                <w:rFonts w:ascii="Cambria" w:hAnsi="Cambria" w:cs="Arial"/>
                <w:sz w:val="22"/>
                <w:szCs w:val="22"/>
              </w:rPr>
            </w:pPr>
            <w:r>
              <w:rPr>
                <w:rFonts w:cs="Arial" w:ascii="Cambria" w:hAnsi="Cambria"/>
                <w:sz w:val="22"/>
                <w:szCs w:val="22"/>
              </w:rPr>
              <w:t>Saisonniers (6 mois)</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eastAsia="fr-CA"/>
              </w:rPr>
            </w:pPr>
            <w:r>
              <w:rPr>
                <w:lang w:eastAsia="fr-CA"/>
              </w:rPr>
              <w:t>50 000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lang w:eastAsia="fr-CA"/>
              </w:rPr>
              <w:t>900 000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both"/>
              <w:rPr>
                <w:rFonts w:ascii="Cambria" w:hAnsi="Cambria" w:cs="Arial"/>
                <w:b/>
                <w:bCs/>
                <w:sz w:val="22"/>
                <w:szCs w:val="22"/>
              </w:rPr>
            </w:pPr>
            <w:r>
              <w:rPr>
                <w:rFonts w:cs="Arial" w:ascii="Cambria" w:hAnsi="Cambria"/>
                <w:b/>
                <w:bCs/>
                <w:sz w:val="22"/>
                <w:szCs w:val="22"/>
              </w:rPr>
              <w:t>Total</w:t>
            </w:r>
          </w:p>
        </w:tc>
        <w:tc>
          <w:tcPr>
            <w:tcW w:w="963"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
          </w:p>
        </w:tc>
        <w:tc>
          <w:tcPr>
            <w:tcW w:w="100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Fonts w:cs="Arial" w:ascii="Cambria" w:hAnsi="Cambria"/>
                <w:b/>
                <w:bCs/>
                <w:sz w:val="22"/>
                <w:szCs w:val="22"/>
              </w:rPr>
              <w:t>5</w:t>
            </w:r>
          </w:p>
        </w:tc>
        <w:tc>
          <w:tcPr>
            <w:tcW w:w="2269" w:type="dxa"/>
            <w:tcBorders>
              <w:top w:val="single" w:sz="4" w:space="0" w:color="000000"/>
              <w:left w:val="single" w:sz="4" w:space="0" w:color="000000"/>
              <w:bottom w:val="single" w:sz="4" w:space="0" w:color="000000"/>
              <w:right w:val="single" w:sz="4" w:space="0" w:color="000000"/>
            </w:tcBorders>
            <w:shd w:fill="C4BD97" w:val="clear"/>
          </w:tcPr>
          <w:p>
            <w:pPr>
              <w:pStyle w:val="Normal"/>
              <w:snapToGrid w:val="false"/>
              <w:jc w:val="center"/>
              <w:rPr>
                <w:rFonts w:ascii="Cambria" w:hAnsi="Cambria" w:cs="Arial"/>
                <w:b/>
                <w:bCs/>
                <w:sz w:val="22"/>
                <w:szCs w:val="22"/>
              </w:rPr>
            </w:pPr>
            <w:r>
              <w:rPr>
                <w:rFonts w:cs="Arial" w:ascii="Cambria" w:hAnsi="Cambria"/>
                <w:b/>
                <w:bCs/>
                <w:sz w:val="22"/>
                <w:szCs w:val="22"/>
              </w:rPr>
            </w:r>
          </w:p>
        </w:tc>
        <w:tc>
          <w:tcPr>
            <w:tcW w:w="107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Fonts w:cs="Arial" w:ascii="Cambria" w:hAnsi="Cambria"/>
                <w:b/>
                <w:bCs/>
                <w:sz w:val="22"/>
                <w:szCs w:val="22"/>
              </w:rPr>
              <w:t>150 000</w:t>
            </w:r>
          </w:p>
        </w:tc>
        <w:tc>
          <w:tcPr>
            <w:tcW w:w="130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Fonts w:cs="Arial" w:ascii="Cambria" w:hAnsi="Cambria"/>
                <w:b/>
                <w:bCs/>
                <w:sz w:val="22"/>
                <w:szCs w:val="22"/>
              </w:rPr>
              <w:t>2 100 000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jc w:val="both"/>
              <w:rPr>
                <w:rFonts w:ascii="Cambria" w:hAnsi="Cambria" w:cs="Arial"/>
                <w:b/>
                <w:bCs/>
                <w:i/>
                <w:i/>
                <w:iCs/>
                <w:sz w:val="22"/>
                <w:szCs w:val="22"/>
              </w:rPr>
            </w:pPr>
            <w:r>
              <w:rPr>
                <w:rFonts w:cs="Arial" w:ascii="Cambria" w:hAnsi="Cambria"/>
                <w:b/>
                <w:bCs/>
                <w:i/>
                <w:iCs/>
                <w:sz w:val="22"/>
                <w:szCs w:val="22"/>
              </w:rPr>
              <w:t>Frais du personnel</w:t>
            </w:r>
          </w:p>
        </w:tc>
        <w:tc>
          <w:tcPr>
            <w:tcW w:w="963"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snapToGrid w:val="false"/>
              <w:jc w:val="center"/>
              <w:rPr>
                <w:rFonts w:ascii="Cambria" w:hAnsi="Cambria" w:cs="Arial"/>
                <w:b/>
                <w:bCs/>
                <w:i/>
                <w:i/>
                <w:iCs/>
                <w:sz w:val="22"/>
                <w:szCs w:val="22"/>
              </w:rPr>
            </w:pPr>
            <w:r>
              <w:rPr>
                <w:rFonts w:cs="Arial" w:ascii="Cambria" w:hAnsi="Cambria"/>
                <w:b/>
                <w:bCs/>
                <w:i/>
                <w:iCs/>
                <w:sz w:val="22"/>
                <w:szCs w:val="22"/>
              </w:rPr>
            </w:r>
          </w:p>
        </w:tc>
        <w:tc>
          <w:tcPr>
            <w:tcW w:w="100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snapToGrid w:val="false"/>
              <w:jc w:val="center"/>
              <w:rPr>
                <w:rFonts w:ascii="Cambria" w:hAnsi="Cambria" w:cs="Arial"/>
                <w:b/>
                <w:bCs/>
                <w:i/>
                <w:i/>
                <w:iCs/>
                <w:sz w:val="22"/>
                <w:szCs w:val="22"/>
              </w:rPr>
            </w:pPr>
            <w:r>
              <w:rPr>
                <w:rFonts w:cs="Arial" w:ascii="Cambria" w:hAnsi="Cambria"/>
                <w:b/>
                <w:bCs/>
                <w:i/>
                <w:iCs/>
                <w:sz w:val="22"/>
                <w:szCs w:val="22"/>
              </w:rPr>
            </w:r>
          </w:p>
        </w:tc>
        <w:tc>
          <w:tcPr>
            <w:tcW w:w="2269" w:type="dxa"/>
            <w:tcBorders>
              <w:top w:val="single" w:sz="4" w:space="0" w:color="000000"/>
              <w:left w:val="single" w:sz="4" w:space="0" w:color="000000"/>
              <w:bottom w:val="single" w:sz="4" w:space="0" w:color="000000"/>
              <w:right w:val="single" w:sz="4" w:space="0" w:color="000000"/>
            </w:tcBorders>
            <w:shd w:fill="8DB4E2" w:val="clear"/>
          </w:tcPr>
          <w:p>
            <w:pPr>
              <w:pStyle w:val="Normal"/>
              <w:snapToGrid w:val="false"/>
              <w:jc w:val="center"/>
              <w:rPr>
                <w:rFonts w:ascii="Cambria" w:hAnsi="Cambria" w:cs="Arial"/>
                <w:b/>
                <w:bCs/>
                <w:i/>
                <w:i/>
                <w:iCs/>
                <w:sz w:val="22"/>
                <w:szCs w:val="22"/>
              </w:rPr>
            </w:pPr>
            <w:r>
              <w:rPr>
                <w:rFonts w:cs="Arial" w:ascii="Cambria" w:hAnsi="Cambria"/>
                <w:b/>
                <w:bCs/>
                <w:i/>
                <w:iCs/>
                <w:sz w:val="22"/>
                <w:szCs w:val="22"/>
              </w:rPr>
            </w:r>
          </w:p>
        </w:tc>
        <w:tc>
          <w:tcPr>
            <w:tcW w:w="107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jc w:val="center"/>
              <w:rPr>
                <w:rFonts w:ascii="Cambria" w:hAnsi="Cambria" w:cs="Arial"/>
                <w:b/>
                <w:bCs/>
                <w:i/>
                <w:i/>
                <w:iCs/>
                <w:sz w:val="22"/>
                <w:szCs w:val="22"/>
              </w:rPr>
            </w:pPr>
            <w:r>
              <w:rPr>
                <w:rFonts w:cs="Arial" w:ascii="Cambria" w:hAnsi="Cambria"/>
                <w:b/>
                <w:bCs/>
                <w:i/>
                <w:iCs/>
                <w:sz w:val="22"/>
                <w:szCs w:val="22"/>
              </w:rPr>
              <w:t>150 000</w:t>
            </w:r>
          </w:p>
        </w:tc>
        <w:tc>
          <w:tcPr>
            <w:tcW w:w="130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jc w:val="center"/>
              <w:rPr>
                <w:rFonts w:ascii="Cambria" w:hAnsi="Cambria" w:cs="Arial"/>
                <w:b/>
                <w:bCs/>
                <w:i/>
                <w:i/>
                <w:iCs/>
                <w:sz w:val="22"/>
                <w:szCs w:val="22"/>
              </w:rPr>
            </w:pPr>
            <w:r>
              <w:rPr>
                <w:rFonts w:cs="Arial" w:ascii="Cambria" w:hAnsi="Cambria"/>
                <w:b/>
                <w:bCs/>
                <w:i/>
                <w:iCs/>
                <w:sz w:val="22"/>
                <w:szCs w:val="22"/>
              </w:rPr>
              <w:t>2 100 000</w:t>
            </w:r>
          </w:p>
        </w:tc>
      </w:tr>
    </w:tbl>
    <w:p>
      <w:pPr>
        <w:pStyle w:val="Heading1"/>
        <w:keepLines/>
        <w:numPr>
          <w:ilvl w:val="0"/>
          <w:numId w:val="4"/>
        </w:numPr>
        <w:spacing w:before="240" w:after="120"/>
        <w:ind w:hanging="431" w:left="431" w:right="0"/>
        <w:jc w:val="both"/>
        <w:rPr>
          <w:rFonts w:ascii="Times New Roman" w:hAnsi="Times New Roman" w:cs="Times New Roman"/>
          <w:caps/>
          <w:color w:val="166B7F"/>
          <w:kern w:val="0"/>
          <w:lang w:eastAsia="en-US"/>
        </w:rPr>
      </w:pPr>
      <w:bookmarkStart w:id="14" w:name="__RefHeading___Toc234831713"/>
      <w:bookmarkEnd w:id="14"/>
      <w:r>
        <w:rPr>
          <w:rFonts w:cs="Times New Roman" w:ascii="Times New Roman" w:hAnsi="Times New Roman"/>
          <w:caps/>
          <w:color w:val="166B7F"/>
          <w:kern w:val="0"/>
          <w:lang w:eastAsia="en-US"/>
        </w:rPr>
        <w:t>ÉTUDE ÉCONOMIQUE ET FINANCIÈRE</w:t>
      </w:r>
    </w:p>
    <w:p>
      <w:pPr>
        <w:pStyle w:val="Heading2"/>
        <w:keepLines/>
        <w:numPr>
          <w:ilvl w:val="1"/>
          <w:numId w:val="4"/>
        </w:numPr>
        <w:spacing w:before="120" w:after="120"/>
        <w:ind w:hanging="491" w:left="851" w:right="0"/>
        <w:jc w:val="both"/>
        <w:rPr>
          <w:rFonts w:ascii="Times New Roman" w:hAnsi="Times New Roman" w:cs="Times New Roman"/>
          <w:i w:val="false"/>
          <w:i w:val="false"/>
          <w:iCs w:val="false"/>
          <w:lang w:val="fr-CI"/>
        </w:rPr>
      </w:pPr>
      <w:bookmarkStart w:id="15" w:name="__RefHeading___Toc234831714"/>
      <w:bookmarkEnd w:id="15"/>
      <w:r>
        <w:rPr>
          <w:rFonts w:cs="Times New Roman" w:ascii="Times New Roman" w:hAnsi="Times New Roman"/>
          <w:i w:val="false"/>
          <w:iCs w:val="false"/>
          <w:lang w:val="fr-CI"/>
        </w:rPr>
        <w:t xml:space="preserve">Hypothèses de base </w:t>
      </w:r>
    </w:p>
    <w:p>
      <w:pPr>
        <w:pStyle w:val="Heading3"/>
        <w:numPr>
          <w:ilvl w:val="2"/>
          <w:numId w:val="4"/>
        </w:numPr>
        <w:ind w:hanging="720" w:left="502" w:right="0"/>
        <w:rPr>
          <w:rFonts w:ascii="Times New Roman" w:hAnsi="Times New Roman" w:cs="Times New Roman"/>
          <w:sz w:val="24"/>
          <w:szCs w:val="24"/>
        </w:rPr>
      </w:pPr>
      <w:bookmarkStart w:id="16" w:name="__RefHeading___Toc234831715"/>
      <w:bookmarkEnd w:id="16"/>
      <w:r>
        <w:rPr>
          <w:rFonts w:cs="Times New Roman" w:ascii="Times New Roman" w:hAnsi="Times New Roman"/>
          <w:sz w:val="24"/>
          <w:szCs w:val="24"/>
        </w:rPr>
        <w:t>Recettes prévisionnelles annuelles</w:t>
      </w:r>
    </w:p>
    <w:p>
      <w:pPr>
        <w:pStyle w:val="Normal"/>
        <w:rPr/>
      </w:pPr>
      <w:r>
        <w:rPr>
          <w:sz w:val="22"/>
          <w:szCs w:val="22"/>
        </w:rPr>
        <w:t>Les recettes prévisionnelles annuelles sont croissantes sur les cinq années. Elles sont décrites</w:t>
      </w:r>
      <w:r>
        <w:rPr/>
        <w:t xml:space="preserve"> dans le tableau ci-dessous :</w:t>
      </w:r>
    </w:p>
    <w:p>
      <w:pPr>
        <w:pStyle w:val="Normal"/>
        <w:rPr/>
      </w:pPr>
      <w:r>
        <w:rPr/>
      </w:r>
    </w:p>
    <w:tbl>
      <w:tblPr>
        <w:tblW w:w="9791" w:type="dxa"/>
        <w:jc w:val="left"/>
        <w:tblInd w:w="60" w:type="dxa"/>
        <w:tblLayout w:type="fixed"/>
        <w:tblCellMar>
          <w:top w:w="0" w:type="dxa"/>
          <w:left w:w="70" w:type="dxa"/>
          <w:bottom w:w="0" w:type="dxa"/>
          <w:right w:w="70" w:type="dxa"/>
        </w:tblCellMar>
      </w:tblPr>
      <w:tblGrid>
        <w:gridCol w:w="3271"/>
        <w:gridCol w:w="1274"/>
        <w:gridCol w:w="1276"/>
        <w:gridCol w:w="1277"/>
        <w:gridCol w:w="1276"/>
        <w:gridCol w:w="1416"/>
      </w:tblGrid>
      <w:tr>
        <w:trPr>
          <w:trHeight w:val="360" w:hRule="atLeast"/>
        </w:trPr>
        <w:tc>
          <w:tcPr>
            <w:tcW w:w="3271"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8"/>
                <w:szCs w:val="28"/>
              </w:rPr>
            </w:pPr>
            <w:r>
              <w:rPr>
                <w:rFonts w:cs="Calibri" w:ascii="Cambria" w:hAnsi="Cambria"/>
                <w:b/>
                <w:bCs/>
                <w:i/>
                <w:iCs/>
                <w:color w:val="FFFFFF"/>
                <w:sz w:val="28"/>
                <w:szCs w:val="28"/>
              </w:rPr>
              <w:t>Recettes prévisionnelles</w:t>
            </w:r>
          </w:p>
        </w:tc>
        <w:tc>
          <w:tcPr>
            <w:tcW w:w="1274"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27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277"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27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41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r>
      <w:tr>
        <w:trPr>
          <w:trHeight w:val="285" w:hRule="atLeast"/>
        </w:trPr>
        <w:tc>
          <w:tcPr>
            <w:tcW w:w="3271" w:type="dxa"/>
            <w:tcBorders/>
            <w:vAlign w:val="bottom"/>
          </w:tcPr>
          <w:p>
            <w:pPr>
              <w:pStyle w:val="Normal"/>
              <w:rPr>
                <w:rFonts w:ascii="Cambria" w:hAnsi="Cambria" w:cs="Calibri"/>
                <w:b/>
                <w:bCs/>
                <w:i/>
                <w:i/>
                <w:iCs/>
                <w:sz w:val="20"/>
                <w:szCs w:val="20"/>
              </w:rPr>
            </w:pPr>
            <w:r>
              <w:rPr>
                <w:rFonts w:cs="Calibri" w:ascii="Cambria" w:hAnsi="Cambria"/>
                <w:b/>
                <w:bCs/>
                <w:i/>
                <w:iCs/>
                <w:sz w:val="20"/>
                <w:szCs w:val="20"/>
              </w:rPr>
              <w:t>Taux de croissance</w:t>
            </w:r>
          </w:p>
        </w:tc>
        <w:tc>
          <w:tcPr>
            <w:tcW w:w="1274"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0%</w:t>
            </w:r>
          </w:p>
        </w:tc>
        <w:tc>
          <w:tcPr>
            <w:tcW w:w="1276"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c>
          <w:tcPr>
            <w:tcW w:w="1277"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c>
          <w:tcPr>
            <w:tcW w:w="1276"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c>
          <w:tcPr>
            <w:tcW w:w="1416"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r>
      <w:tr>
        <w:trPr>
          <w:trHeight w:val="315" w:hRule="atLeast"/>
        </w:trPr>
        <w:tc>
          <w:tcPr>
            <w:tcW w:w="3271"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rPr>
            </w:pPr>
            <w:r>
              <w:rPr>
                <w:rFonts w:cs="Calibri" w:ascii="Cambria" w:hAnsi="Cambria"/>
                <w:b/>
                <w:bCs/>
                <w:i/>
                <w:iCs/>
              </w:rPr>
              <w:t>Désignations/Années</w:t>
            </w:r>
          </w:p>
        </w:tc>
        <w:tc>
          <w:tcPr>
            <w:tcW w:w="1274"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AN1</w:t>
            </w:r>
          </w:p>
        </w:tc>
        <w:tc>
          <w:tcPr>
            <w:tcW w:w="1276"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AN2</w:t>
            </w:r>
          </w:p>
        </w:tc>
        <w:tc>
          <w:tcPr>
            <w:tcW w:w="1277"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AN3</w:t>
            </w:r>
          </w:p>
        </w:tc>
        <w:tc>
          <w:tcPr>
            <w:tcW w:w="1276"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AN4</w:t>
            </w:r>
          </w:p>
        </w:tc>
        <w:tc>
          <w:tcPr>
            <w:tcW w:w="1416"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AN5</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Vente pastèque gros calibre (6-8 kg)</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2 400 000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2 448 000</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2 496 960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2 546 899</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2 597 837</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Vente pastèque moyen calibre (4-5 kg)</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2 400 000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2 448 000</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2 496 960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2 546 899</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2 597 837</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Vente pastèque petit calibre (2-3 kg)</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1 200 000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1 224 000</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1 248 480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1 273 450</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1 298 919</w:t>
            </w:r>
          </w:p>
        </w:tc>
      </w:tr>
      <w:tr>
        <w:trPr>
          <w:trHeight w:val="285" w:hRule="atLeast"/>
        </w:trPr>
        <w:tc>
          <w:tcPr>
            <w:tcW w:w="3271" w:type="dxa"/>
            <w:tcBorders>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Total recettes</w:t>
            </w:r>
          </w:p>
        </w:tc>
        <w:tc>
          <w:tcPr>
            <w:tcW w:w="1274"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6 000 000</w:t>
            </w:r>
          </w:p>
        </w:tc>
        <w:tc>
          <w:tcPr>
            <w:tcW w:w="1276"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6 120 000</w:t>
            </w:r>
          </w:p>
        </w:tc>
        <w:tc>
          <w:tcPr>
            <w:tcW w:w="1277"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6 242 400</w:t>
            </w:r>
          </w:p>
        </w:tc>
        <w:tc>
          <w:tcPr>
            <w:tcW w:w="1276"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6 367 248</w:t>
            </w:r>
          </w:p>
        </w:tc>
        <w:tc>
          <w:tcPr>
            <w:tcW w:w="1416"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6 494 593</w:t>
            </w:r>
          </w:p>
        </w:tc>
      </w:tr>
    </w:tbl>
    <w:p>
      <w:pPr>
        <w:pStyle w:val="Heading3"/>
        <w:numPr>
          <w:ilvl w:val="2"/>
          <w:numId w:val="4"/>
        </w:numPr>
        <w:spacing w:before="0" w:after="60"/>
        <w:ind w:hanging="720" w:left="502" w:right="0"/>
        <w:rPr>
          <w:rFonts w:ascii="Times New Roman" w:hAnsi="Times New Roman" w:cs="Times New Roman"/>
          <w:sz w:val="24"/>
          <w:szCs w:val="24"/>
        </w:rPr>
      </w:pPr>
      <w:bookmarkStart w:id="17" w:name="__RefHeading___Toc234831716"/>
      <w:bookmarkEnd w:id="17"/>
      <w:r>
        <w:rPr>
          <w:rFonts w:cs="Times New Roman" w:ascii="Times New Roman" w:hAnsi="Times New Roman"/>
          <w:sz w:val="24"/>
          <w:szCs w:val="24"/>
        </w:rPr>
        <w:t xml:space="preserve">Données prévisionnelles sur les achats </w:t>
      </w:r>
    </w:p>
    <w:p>
      <w:pPr>
        <w:pStyle w:val="Heading3"/>
        <w:numPr>
          <w:ilvl w:val="2"/>
          <w:numId w:val="1"/>
        </w:numPr>
        <w:tabs>
          <w:tab w:val="clear" w:pos="0"/>
        </w:tabs>
        <w:spacing w:before="0" w:after="60"/>
        <w:ind w:hanging="720" w:left="720" w:right="0"/>
        <w:rPr>
          <w:rFonts w:ascii="Times New Roman" w:hAnsi="Times New Roman" w:cs="Times New Roman"/>
          <w:sz w:val="24"/>
          <w:szCs w:val="24"/>
        </w:rPr>
      </w:pPr>
      <w:bookmarkStart w:id="18" w:name="__RefHeading___Toc234831717"/>
      <w:bookmarkEnd w:id="18"/>
      <w:r>
        <w:rPr>
          <w:rFonts w:cs="Times New Roman" w:ascii="Times New Roman" w:hAnsi="Times New Roman"/>
          <w:sz w:val="24"/>
          <w:szCs w:val="24"/>
        </w:rPr>
        <w:t>Achats de matières premières</w:t>
      </w:r>
    </w:p>
    <w:p>
      <w:pPr>
        <w:pStyle w:val="Normal"/>
        <w:jc w:val="both"/>
        <w:rPr>
          <w:iCs/>
          <w:sz w:val="22"/>
          <w:szCs w:val="22"/>
        </w:rPr>
      </w:pPr>
      <w:r>
        <w:rPr>
          <w:iCs/>
          <w:sz w:val="22"/>
          <w:szCs w:val="22"/>
        </w:rPr>
        <w:t>Les achats de matières premières ont été évalués en tenant compte des quantités qui seront utilisées par an. Les projections d’achat sont les suivantes :</w:t>
      </w:r>
    </w:p>
    <w:p>
      <w:pPr>
        <w:pStyle w:val="Normal"/>
        <w:jc w:val="both"/>
        <w:rPr>
          <w:b/>
          <w:bCs/>
          <w:iCs/>
          <w:sz w:val="22"/>
          <w:szCs w:val="22"/>
          <w:lang w:eastAsia="fr-CA"/>
        </w:rPr>
      </w:pPr>
      <w:r>
        <w:rPr>
          <w:b/>
          <w:bCs/>
          <w:iCs/>
          <w:sz w:val="22"/>
          <w:szCs w:val="22"/>
          <w:lang w:eastAsia="fr-CA"/>
        </w:rPr>
        <w:t>ACHAT DE MATIERES PREMIERES :</w:t>
      </w:r>
    </w:p>
    <w:tbl>
      <w:tblPr>
        <w:tblW w:w="9928" w:type="dxa"/>
        <w:jc w:val="left"/>
        <w:tblInd w:w="65" w:type="dxa"/>
        <w:tblLayout w:type="fixed"/>
        <w:tblCellMar>
          <w:top w:w="0" w:type="dxa"/>
          <w:left w:w="70" w:type="dxa"/>
          <w:bottom w:w="0" w:type="dxa"/>
          <w:right w:w="70" w:type="dxa"/>
        </w:tblCellMar>
      </w:tblPr>
      <w:tblGrid>
        <w:gridCol w:w="2415"/>
        <w:gridCol w:w="709"/>
        <w:gridCol w:w="992"/>
        <w:gridCol w:w="947"/>
        <w:gridCol w:w="1037"/>
        <w:gridCol w:w="1022"/>
        <w:gridCol w:w="821"/>
        <w:gridCol w:w="851"/>
        <w:gridCol w:w="1133"/>
      </w:tblGrid>
      <w:tr>
        <w:trPr>
          <w:trHeight w:val="255" w:hRule="atLeast"/>
        </w:trPr>
        <w:tc>
          <w:tcPr>
            <w:tcW w:w="2415" w:type="dxa"/>
            <w:tcBorders>
              <w:top w:val="single" w:sz="4" w:space="0" w:color="000000"/>
              <w:left w:val="single" w:sz="4" w:space="0" w:color="000000"/>
              <w:bottom w:val="single" w:sz="4" w:space="0" w:color="000000"/>
              <w:right w:val="single" w:sz="4" w:space="0" w:color="000000"/>
            </w:tcBorders>
            <w:shd w:fill="C55A11" w:val="clear"/>
            <w:vAlign w:val="center"/>
          </w:tcPr>
          <w:p>
            <w:pPr>
              <w:pStyle w:val="Normal"/>
              <w:jc w:val="center"/>
              <w:rPr>
                <w:rFonts w:ascii="Cambria" w:hAnsi="Cambria" w:cs="Calibri"/>
                <w:b/>
                <w:bCs/>
                <w:color w:val="FFFFFF"/>
                <w:sz w:val="20"/>
                <w:szCs w:val="20"/>
              </w:rPr>
            </w:pPr>
            <w:r>
              <w:rPr>
                <w:rFonts w:cs="Calibri" w:ascii="Cambria" w:hAnsi="Cambria"/>
                <w:b/>
                <w:bCs/>
                <w:color w:val="FFFFFF"/>
                <w:sz w:val="20"/>
                <w:szCs w:val="20"/>
              </w:rPr>
              <w:t>Désignation</w:t>
            </w:r>
          </w:p>
        </w:tc>
        <w:tc>
          <w:tcPr>
            <w:tcW w:w="709"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Unité</w:t>
            </w:r>
          </w:p>
        </w:tc>
        <w:tc>
          <w:tcPr>
            <w:tcW w:w="99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Qté/jour</w:t>
            </w:r>
          </w:p>
        </w:tc>
        <w:tc>
          <w:tcPr>
            <w:tcW w:w="94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Qté/Sme</w:t>
            </w:r>
          </w:p>
        </w:tc>
        <w:tc>
          <w:tcPr>
            <w:tcW w:w="103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Qté/mois</w:t>
            </w:r>
          </w:p>
        </w:tc>
        <w:tc>
          <w:tcPr>
            <w:tcW w:w="102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Qté/Trim</w:t>
            </w:r>
          </w:p>
        </w:tc>
        <w:tc>
          <w:tcPr>
            <w:tcW w:w="82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Qté/an</w:t>
            </w:r>
          </w:p>
        </w:tc>
        <w:tc>
          <w:tcPr>
            <w:tcW w:w="85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PU</w:t>
            </w:r>
          </w:p>
        </w:tc>
        <w:tc>
          <w:tcPr>
            <w:tcW w:w="1133"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Montant</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Semence pastèque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Boîte</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3</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70 000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210 000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Engrais NPK 50 kg</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Sac</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10</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25 000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250 000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Intrant Urée 50 kg</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Sac</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5</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100 000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Fongicide + insecticide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Boîte</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3</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60 000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180 000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Fumure organique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Sac</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40</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40 000</w:t>
            </w:r>
          </w:p>
        </w:tc>
      </w:tr>
      <w:tr>
        <w:trPr>
          <w:trHeight w:val="255" w:hRule="atLeast"/>
        </w:trPr>
        <w:tc>
          <w:tcPr>
            <w:tcW w:w="2415" w:type="dxa"/>
            <w:tcBorders>
              <w:left w:val="single" w:sz="4" w:space="0" w:color="000000"/>
              <w:bottom w:val="single" w:sz="4" w:space="0" w:color="000000"/>
              <w:right w:val="single" w:sz="4" w:space="0" w:color="000000"/>
            </w:tcBorders>
            <w:shd w:fill="ACB9CA" w:val="clear"/>
            <w:vAlign w:val="bottom"/>
          </w:tcPr>
          <w:p>
            <w:pPr>
              <w:pStyle w:val="Normal"/>
              <w:rPr>
                <w:rFonts w:ascii="Cambria" w:hAnsi="Cambria" w:cs="Calibri"/>
                <w:b/>
                <w:bCs/>
                <w:sz w:val="20"/>
                <w:szCs w:val="20"/>
              </w:rPr>
            </w:pPr>
            <w:r>
              <w:rPr>
                <w:rFonts w:cs="Calibri" w:ascii="Cambria" w:hAnsi="Cambria"/>
                <w:b/>
                <w:bCs/>
                <w:sz w:val="20"/>
                <w:szCs w:val="20"/>
              </w:rPr>
              <w:t>TOTAL</w:t>
            </w:r>
          </w:p>
        </w:tc>
        <w:tc>
          <w:tcPr>
            <w:tcW w:w="709" w:type="dxa"/>
            <w:tcBorders>
              <w:bottom w:val="single" w:sz="4" w:space="0" w:color="000000"/>
              <w:right w:val="single" w:sz="4" w:space="0" w:color="000000"/>
            </w:tcBorders>
            <w:shd w:fill="ACB9CA" w:val="clear"/>
            <w:vAlign w:val="center"/>
          </w:tcPr>
          <w:p>
            <w:pPr>
              <w:pStyle w:val="Normal"/>
              <w:rPr>
                <w:rFonts w:ascii="Cambria" w:hAnsi="Cambria" w:cs="Calibri"/>
                <w:b/>
                <w:bCs/>
                <w:sz w:val="20"/>
                <w:szCs w:val="20"/>
              </w:rPr>
            </w:pPr>
            <w:r>
              <w:rPr/>
            </w:r>
          </w:p>
        </w:tc>
        <w:tc>
          <w:tcPr>
            <w:tcW w:w="99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94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3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2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2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5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133"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780 000</w:t>
            </w:r>
          </w:p>
        </w:tc>
      </w:tr>
    </w:tbl>
    <w:p>
      <w:pPr>
        <w:pStyle w:val="Normal"/>
        <w:jc w:val="both"/>
        <w:rPr>
          <w:b/>
          <w:bCs/>
          <w:iCs/>
          <w:sz w:val="22"/>
          <w:szCs w:val="22"/>
          <w:lang w:eastAsia="fr-CA"/>
        </w:rPr>
      </w:pPr>
      <w:r>
        <w:rPr>
          <w:b/>
          <w:bCs/>
          <w:iCs/>
          <w:sz w:val="22"/>
          <w:szCs w:val="22"/>
          <w:lang w:eastAsia="fr-CA"/>
        </w:rPr>
        <w:t>AUTRES ACHATS :</w:t>
      </w:r>
    </w:p>
    <w:tbl>
      <w:tblPr>
        <w:tblW w:w="9928" w:type="dxa"/>
        <w:jc w:val="left"/>
        <w:tblInd w:w="65" w:type="dxa"/>
        <w:tblLayout w:type="fixed"/>
        <w:tblCellMar>
          <w:top w:w="0" w:type="dxa"/>
          <w:left w:w="70" w:type="dxa"/>
          <w:bottom w:w="0" w:type="dxa"/>
          <w:right w:w="70" w:type="dxa"/>
        </w:tblCellMar>
      </w:tblPr>
      <w:tblGrid>
        <w:gridCol w:w="2415"/>
        <w:gridCol w:w="709"/>
        <w:gridCol w:w="992"/>
        <w:gridCol w:w="947"/>
        <w:gridCol w:w="1037"/>
        <w:gridCol w:w="1022"/>
        <w:gridCol w:w="821"/>
        <w:gridCol w:w="851"/>
        <w:gridCol w:w="1133"/>
      </w:tblGrid>
      <w:tr>
        <w:trPr>
          <w:trHeight w:val="255" w:hRule="atLeast"/>
        </w:trPr>
        <w:tc>
          <w:tcPr>
            <w:tcW w:w="2415" w:type="dxa"/>
            <w:tcBorders>
              <w:top w:val="single" w:sz="4" w:space="0" w:color="000000"/>
              <w:left w:val="single" w:sz="4" w:space="0" w:color="000000"/>
              <w:bottom w:val="single" w:sz="4" w:space="0" w:color="000000"/>
              <w:right w:val="single" w:sz="4" w:space="0" w:color="000000"/>
            </w:tcBorders>
            <w:shd w:fill="C55A11" w:val="clear"/>
            <w:vAlign w:val="center"/>
          </w:tcPr>
          <w:p>
            <w:pPr>
              <w:pStyle w:val="Normal"/>
              <w:jc w:val="center"/>
              <w:rPr>
                <w:rFonts w:ascii="Cambria" w:hAnsi="Cambria" w:cs="Calibri"/>
                <w:b/>
                <w:bCs/>
                <w:color w:val="FFFFFF"/>
                <w:sz w:val="20"/>
                <w:szCs w:val="20"/>
              </w:rPr>
            </w:pPr>
            <w:r>
              <w:rPr>
                <w:rFonts w:cs="Calibri" w:ascii="Cambria" w:hAnsi="Cambria"/>
                <w:b/>
                <w:bCs/>
                <w:color w:val="FFFFFF"/>
                <w:sz w:val="20"/>
                <w:szCs w:val="20"/>
              </w:rPr>
              <w:t>Désignation</w:t>
            </w:r>
          </w:p>
        </w:tc>
        <w:tc>
          <w:tcPr>
            <w:tcW w:w="709"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Unité</w:t>
            </w:r>
          </w:p>
        </w:tc>
        <w:tc>
          <w:tcPr>
            <w:tcW w:w="99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Qté/jour</w:t>
            </w:r>
          </w:p>
        </w:tc>
        <w:tc>
          <w:tcPr>
            <w:tcW w:w="94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Qté/Sme</w:t>
            </w:r>
          </w:p>
        </w:tc>
        <w:tc>
          <w:tcPr>
            <w:tcW w:w="103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Qté/mois</w:t>
            </w:r>
          </w:p>
        </w:tc>
        <w:tc>
          <w:tcPr>
            <w:tcW w:w="102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Qté/Trim</w:t>
            </w:r>
          </w:p>
        </w:tc>
        <w:tc>
          <w:tcPr>
            <w:tcW w:w="82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Qté/an</w:t>
            </w:r>
          </w:p>
        </w:tc>
        <w:tc>
          <w:tcPr>
            <w:tcW w:w="85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PU</w:t>
            </w:r>
          </w:p>
        </w:tc>
        <w:tc>
          <w:tcPr>
            <w:tcW w:w="1133"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Montant</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Carburant / énergie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Forfait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250 000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250 000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Emballages (sacs, caisses)</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Lot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100 000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100 000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Eau d'irrigation</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Forfait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50 000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50 000</w:t>
            </w:r>
          </w:p>
        </w:tc>
      </w:tr>
      <w:tr>
        <w:trPr>
          <w:trHeight w:val="255" w:hRule="atLeast"/>
        </w:trPr>
        <w:tc>
          <w:tcPr>
            <w:tcW w:w="2415" w:type="dxa"/>
            <w:tcBorders>
              <w:left w:val="single" w:sz="4" w:space="0" w:color="000000"/>
              <w:bottom w:val="single" w:sz="4" w:space="0" w:color="000000"/>
              <w:right w:val="single" w:sz="4" w:space="0" w:color="000000"/>
            </w:tcBorders>
            <w:shd w:fill="ACB9CA" w:val="clear"/>
            <w:vAlign w:val="bottom"/>
          </w:tcPr>
          <w:p>
            <w:pPr>
              <w:pStyle w:val="Normal"/>
              <w:rPr>
                <w:rFonts w:ascii="Cambria" w:hAnsi="Cambria" w:cs="Calibri"/>
                <w:b/>
                <w:bCs/>
                <w:sz w:val="20"/>
                <w:szCs w:val="20"/>
              </w:rPr>
            </w:pPr>
            <w:r>
              <w:rPr>
                <w:rFonts w:cs="Calibri" w:ascii="Cambria" w:hAnsi="Cambria"/>
                <w:b/>
                <w:bCs/>
                <w:sz w:val="20"/>
                <w:szCs w:val="20"/>
              </w:rPr>
              <w:t>TOTAL</w:t>
            </w:r>
          </w:p>
        </w:tc>
        <w:tc>
          <w:tcPr>
            <w:tcW w:w="709" w:type="dxa"/>
            <w:tcBorders>
              <w:bottom w:val="single" w:sz="4" w:space="0" w:color="000000"/>
              <w:right w:val="single" w:sz="4" w:space="0" w:color="000000"/>
            </w:tcBorders>
            <w:shd w:fill="ACB9CA" w:val="clear"/>
            <w:vAlign w:val="center"/>
          </w:tcPr>
          <w:p>
            <w:pPr>
              <w:pStyle w:val="Normal"/>
              <w:rPr>
                <w:rFonts w:ascii="Cambria" w:hAnsi="Cambria" w:cs="Calibri"/>
                <w:b/>
                <w:bCs/>
                <w:sz w:val="20"/>
                <w:szCs w:val="20"/>
              </w:rPr>
            </w:pPr>
            <w:r>
              <w:rPr/>
            </w:r>
          </w:p>
        </w:tc>
        <w:tc>
          <w:tcPr>
            <w:tcW w:w="99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94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3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2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2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5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133"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400 000</w:t>
            </w:r>
          </w:p>
        </w:tc>
      </w:tr>
    </w:tbl>
    <w:p>
      <w:pPr>
        <w:pStyle w:val="Heading3"/>
        <w:numPr>
          <w:ilvl w:val="2"/>
          <w:numId w:val="4"/>
        </w:numPr>
        <w:ind w:hanging="720" w:left="502" w:right="0"/>
        <w:rPr>
          <w:rFonts w:ascii="Times New Roman" w:hAnsi="Times New Roman" w:cs="Times New Roman"/>
          <w:sz w:val="24"/>
          <w:szCs w:val="24"/>
        </w:rPr>
      </w:pPr>
      <w:bookmarkStart w:id="19" w:name="__RefHeading___Toc234831718"/>
      <w:bookmarkEnd w:id="19"/>
      <w:r>
        <w:rPr>
          <w:rFonts w:cs="Times New Roman" w:ascii="Times New Roman" w:hAnsi="Times New Roman"/>
          <w:sz w:val="24"/>
          <w:szCs w:val="24"/>
        </w:rPr>
        <w:t>Frais Généraux</w:t>
      </w:r>
    </w:p>
    <w:p>
      <w:pPr>
        <w:pStyle w:val="Normal"/>
        <w:rPr>
          <w:sz w:val="22"/>
          <w:szCs w:val="22"/>
        </w:rPr>
      </w:pPr>
      <w:r>
        <w:rPr>
          <w:sz w:val="22"/>
          <w:szCs w:val="22"/>
        </w:rPr>
        <w:t>Les frais généraux de l’entreprise portent sur les éléments qui sont : transports/déplacements et communication/publicité. Le montant est évalué à 250 000 F durant toute l’année.</w:t>
      </w:r>
    </w:p>
    <w:p>
      <w:pPr>
        <w:pStyle w:val="Normal"/>
        <w:rPr>
          <w:b/>
          <w:bCs/>
          <w:sz w:val="22"/>
          <w:szCs w:val="22"/>
          <w:lang w:eastAsia="fr-CA"/>
        </w:rPr>
      </w:pPr>
      <w:r>
        <w:rPr>
          <w:b/>
          <w:bCs/>
          <w:sz w:val="22"/>
          <w:szCs w:val="22"/>
          <w:lang w:eastAsia="fr-CA"/>
        </w:rPr>
        <w:t>Frais généraux :</w:t>
      </w:r>
    </w:p>
    <w:tbl>
      <w:tblPr>
        <w:tblW w:w="9828" w:type="dxa"/>
        <w:jc w:val="center"/>
        <w:tblInd w:w="0" w:type="dxa"/>
        <w:tblLayout w:type="fixed"/>
        <w:tblCellMar>
          <w:top w:w="0" w:type="dxa"/>
          <w:left w:w="70" w:type="dxa"/>
          <w:bottom w:w="0" w:type="dxa"/>
          <w:right w:w="70" w:type="dxa"/>
        </w:tblCellMar>
      </w:tblPr>
      <w:tblGrid>
        <w:gridCol w:w="3546"/>
        <w:gridCol w:w="920"/>
        <w:gridCol w:w="1545"/>
        <w:gridCol w:w="1392"/>
        <w:gridCol w:w="1069"/>
        <w:gridCol w:w="1355"/>
      </w:tblGrid>
      <w:tr>
        <w:trPr>
          <w:trHeight w:val="573" w:hRule="atLeast"/>
        </w:trPr>
        <w:tc>
          <w:tcPr>
            <w:tcW w:w="3546" w:type="dxa"/>
            <w:tcBorders>
              <w:top w:val="single" w:sz="8" w:space="0" w:color="000000"/>
              <w:left w:val="single" w:sz="8" w:space="0" w:color="000000"/>
              <w:bottom w:val="single" w:sz="8" w:space="0" w:color="000000"/>
              <w:right w:val="single" w:sz="4" w:space="0" w:color="000000"/>
            </w:tcBorders>
            <w:shd w:fill="C65911" w:val="clear"/>
            <w:vAlign w:val="center"/>
          </w:tcPr>
          <w:p>
            <w:pPr>
              <w:pStyle w:val="Normal"/>
              <w:rPr>
                <w:b/>
                <w:bCs/>
                <w:color w:val="FFFFFF"/>
                <w:sz w:val="22"/>
                <w:szCs w:val="22"/>
                <w:lang w:eastAsia="fr-CA"/>
              </w:rPr>
            </w:pPr>
            <w:r>
              <w:rPr>
                <w:b/>
                <w:bCs/>
                <w:color w:val="FFFFFF"/>
                <w:sz w:val="22"/>
                <w:szCs w:val="22"/>
                <w:lang w:eastAsia="fr-CA"/>
              </w:rPr>
              <w:t>Désignation</w:t>
            </w:r>
          </w:p>
        </w:tc>
        <w:tc>
          <w:tcPr>
            <w:tcW w:w="920"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Unité</w:t>
            </w:r>
          </w:p>
        </w:tc>
        <w:tc>
          <w:tcPr>
            <w:tcW w:w="1545"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Qté/nbre/mois</w:t>
            </w:r>
          </w:p>
        </w:tc>
        <w:tc>
          <w:tcPr>
            <w:tcW w:w="1392"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Qté/nbre/an</w:t>
            </w:r>
          </w:p>
        </w:tc>
        <w:tc>
          <w:tcPr>
            <w:tcW w:w="1069"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Prix unitaire</w:t>
            </w:r>
          </w:p>
        </w:tc>
        <w:tc>
          <w:tcPr>
            <w:tcW w:w="1355" w:type="dxa"/>
            <w:tcBorders>
              <w:top w:val="single" w:sz="8" w:space="0" w:color="000000"/>
              <w:right w:val="single" w:sz="8"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Montant</w:t>
              <w:br/>
              <w:t xml:space="preserve"> (F.CFA)</w:t>
            </w:r>
          </w:p>
        </w:tc>
      </w:tr>
      <w:tr>
        <w:trPr>
          <w:trHeight w:val="278" w:hRule="atLeast"/>
        </w:trPr>
        <w:tc>
          <w:tcPr>
            <w:tcW w:w="3546" w:type="dxa"/>
            <w:tcBorders>
              <w:top w:val="single" w:sz="4" w:space="0" w:color="000000"/>
              <w:left w:val="single" w:sz="4" w:space="0" w:color="000000"/>
              <w:right w:val="single" w:sz="4" w:space="0" w:color="000000"/>
            </w:tcBorders>
            <w:vAlign w:val="center"/>
          </w:tcPr>
          <w:p>
            <w:pPr>
              <w:pStyle w:val="Normal"/>
              <w:rPr>
                <w:sz w:val="22"/>
                <w:szCs w:val="22"/>
                <w:lang w:eastAsia="fr-CA"/>
              </w:rPr>
            </w:pPr>
            <w:r>
              <w:rPr>
                <w:sz w:val="22"/>
                <w:szCs w:val="22"/>
                <w:lang w:eastAsia="fr-CA"/>
              </w:rPr>
              <w:t>Transports / déplacements</w:t>
            </w:r>
          </w:p>
        </w:tc>
        <w:tc>
          <w:tcPr>
            <w:tcW w:w="920"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Unité</w:t>
            </w:r>
          </w:p>
        </w:tc>
        <w:tc>
          <w:tcPr>
            <w:tcW w:w="154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w:t>
            </w:r>
          </w:p>
        </w:tc>
        <w:tc>
          <w:tcPr>
            <w:tcW w:w="1392" w:type="dxa"/>
            <w:tcBorders>
              <w:top w:val="single" w:sz="4" w:space="0" w:color="000000"/>
              <w:bottom w:val="single" w:sz="4" w:space="0" w:color="000000"/>
              <w:right w:val="single" w:sz="4" w:space="0" w:color="000000"/>
            </w:tcBorders>
            <w:vAlign w:val="bottom"/>
          </w:tcPr>
          <w:p>
            <w:pPr>
              <w:pStyle w:val="Normal"/>
              <w:jc w:val="center"/>
              <w:rPr>
                <w:color w:val="000000"/>
                <w:sz w:val="22"/>
                <w:szCs w:val="22"/>
                <w:lang w:eastAsia="fr-CA"/>
              </w:rPr>
            </w:pPr>
            <w:r>
              <w:rPr>
                <w:color w:val="000000"/>
                <w:sz w:val="22"/>
                <w:szCs w:val="22"/>
                <w:lang w:eastAsia="fr-CA"/>
              </w:rPr>
              <w:t>12</w:t>
            </w:r>
          </w:p>
        </w:tc>
        <w:tc>
          <w:tcPr>
            <w:tcW w:w="1069"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12 500</w:t>
            </w:r>
          </w:p>
        </w:tc>
        <w:tc>
          <w:tcPr>
            <w:tcW w:w="135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150 000</w:t>
            </w:r>
          </w:p>
        </w:tc>
      </w:tr>
      <w:tr>
        <w:trPr>
          <w:trHeight w:val="278" w:hRule="atLeast"/>
        </w:trPr>
        <w:tc>
          <w:tcPr>
            <w:tcW w:w="3546" w:type="dxa"/>
            <w:tcBorders>
              <w:top w:val="single" w:sz="4" w:space="0" w:color="000000"/>
              <w:left w:val="single" w:sz="4" w:space="0" w:color="000000"/>
              <w:right w:val="single" w:sz="4" w:space="0" w:color="000000"/>
            </w:tcBorders>
            <w:vAlign w:val="center"/>
          </w:tcPr>
          <w:p>
            <w:pPr>
              <w:pStyle w:val="Normal"/>
              <w:rPr>
                <w:sz w:val="22"/>
                <w:szCs w:val="22"/>
                <w:lang w:eastAsia="fr-CA"/>
              </w:rPr>
            </w:pPr>
            <w:r>
              <w:rPr>
                <w:sz w:val="22"/>
                <w:szCs w:val="22"/>
                <w:lang w:eastAsia="fr-CA"/>
              </w:rPr>
              <w:t>Communication / publicité</w:t>
            </w:r>
          </w:p>
        </w:tc>
        <w:tc>
          <w:tcPr>
            <w:tcW w:w="920"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Unité</w:t>
            </w:r>
          </w:p>
        </w:tc>
        <w:tc>
          <w:tcPr>
            <w:tcW w:w="154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w:t>
            </w:r>
          </w:p>
        </w:tc>
        <w:tc>
          <w:tcPr>
            <w:tcW w:w="1392" w:type="dxa"/>
            <w:tcBorders>
              <w:top w:val="single" w:sz="4" w:space="0" w:color="000000"/>
              <w:bottom w:val="single" w:sz="4" w:space="0" w:color="000000"/>
              <w:right w:val="single" w:sz="4" w:space="0" w:color="000000"/>
            </w:tcBorders>
            <w:vAlign w:val="bottom"/>
          </w:tcPr>
          <w:p>
            <w:pPr>
              <w:pStyle w:val="Normal"/>
              <w:jc w:val="center"/>
              <w:rPr>
                <w:color w:val="000000"/>
                <w:sz w:val="22"/>
                <w:szCs w:val="22"/>
                <w:lang w:eastAsia="fr-CA"/>
              </w:rPr>
            </w:pPr>
            <w:r>
              <w:rPr>
                <w:color w:val="000000"/>
                <w:sz w:val="22"/>
                <w:szCs w:val="22"/>
                <w:lang w:eastAsia="fr-CA"/>
              </w:rPr>
              <w:t>12</w:t>
            </w:r>
          </w:p>
        </w:tc>
        <w:tc>
          <w:tcPr>
            <w:tcW w:w="1069"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8 333</w:t>
            </w:r>
          </w:p>
        </w:tc>
        <w:tc>
          <w:tcPr>
            <w:tcW w:w="135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100 000</w:t>
            </w:r>
          </w:p>
        </w:tc>
      </w:tr>
      <w:tr>
        <w:trPr>
          <w:trHeight w:val="295" w:hRule="atLeast"/>
        </w:trPr>
        <w:tc>
          <w:tcPr>
            <w:tcW w:w="3546" w:type="dxa"/>
            <w:tcBorders>
              <w:top w:val="single" w:sz="4" w:space="0" w:color="000000"/>
              <w:left w:val="single" w:sz="4" w:space="0" w:color="000000"/>
              <w:bottom w:val="single" w:sz="8" w:space="0" w:color="000000"/>
              <w:right w:val="single" w:sz="4" w:space="0" w:color="000000"/>
            </w:tcBorders>
            <w:shd w:fill="ACB9CA" w:val="clear"/>
            <w:vAlign w:val="center"/>
          </w:tcPr>
          <w:p>
            <w:pPr>
              <w:pStyle w:val="Normal"/>
              <w:jc w:val="center"/>
              <w:rPr>
                <w:b/>
                <w:bCs/>
                <w:sz w:val="22"/>
                <w:szCs w:val="22"/>
                <w:lang w:eastAsia="fr-CA"/>
              </w:rPr>
            </w:pPr>
            <w:r>
              <w:rPr>
                <w:b/>
                <w:bCs/>
                <w:sz w:val="22"/>
                <w:szCs w:val="22"/>
                <w:lang w:eastAsia="fr-CA"/>
              </w:rPr>
              <w:t>TOTAL</w:t>
            </w:r>
          </w:p>
        </w:tc>
        <w:tc>
          <w:tcPr>
            <w:tcW w:w="920"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545"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392"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069"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355" w:type="dxa"/>
            <w:tcBorders>
              <w:bottom w:val="single" w:sz="8" w:space="0" w:color="000000"/>
              <w:right w:val="single" w:sz="4" w:space="0" w:color="000000"/>
            </w:tcBorders>
            <w:shd w:fill="ACB9CA" w:val="clear"/>
            <w:vAlign w:val="center"/>
          </w:tcPr>
          <w:p>
            <w:pPr>
              <w:pStyle w:val="Normal"/>
              <w:jc w:val="center"/>
              <w:rPr>
                <w:sz w:val="22"/>
                <w:szCs w:val="22"/>
                <w:lang w:eastAsia="fr-CA"/>
              </w:rPr>
            </w:pPr>
            <w:r>
              <w:rPr>
                <w:sz w:val="22"/>
                <w:szCs w:val="22"/>
                <w:lang w:eastAsia="fr-CA"/>
              </w:rPr>
              <w:t>250 000</w:t>
            </w:r>
          </w:p>
        </w:tc>
      </w:tr>
    </w:tbl>
    <w:p>
      <w:pPr>
        <w:pStyle w:val="Heading3"/>
        <w:numPr>
          <w:ilvl w:val="2"/>
          <w:numId w:val="4"/>
        </w:numPr>
        <w:ind w:hanging="720" w:left="502" w:right="0"/>
        <w:rPr>
          <w:rFonts w:ascii="Times New Roman" w:hAnsi="Times New Roman" w:cs="Times New Roman"/>
          <w:sz w:val="24"/>
          <w:szCs w:val="24"/>
        </w:rPr>
      </w:pPr>
      <w:bookmarkStart w:id="20" w:name="__RefHeading___Toc234831719"/>
      <w:bookmarkEnd w:id="20"/>
      <w:r>
        <w:rPr>
          <w:rFonts w:cs="Times New Roman" w:ascii="Times New Roman" w:hAnsi="Times New Roman"/>
          <w:sz w:val="24"/>
          <w:szCs w:val="24"/>
        </w:rPr>
        <w:t>Dotations aux amortissements</w:t>
      </w:r>
    </w:p>
    <w:p>
      <w:pPr>
        <w:pStyle w:val="Normal"/>
        <w:spacing w:before="120" w:after="0"/>
        <w:jc w:val="both"/>
        <w:rPr>
          <w:iCs/>
          <w:sz w:val="22"/>
          <w:szCs w:val="22"/>
        </w:rPr>
      </w:pPr>
      <w:r>
        <w:rPr>
          <w:iCs/>
          <w:sz w:val="22"/>
          <w:szCs w:val="22"/>
        </w:rPr>
        <w:t>Les dotations aux amortissements sont calculées dans le tableau ci-dessous sur les cinq prochaines années.</w:t>
      </w:r>
    </w:p>
    <w:tbl>
      <w:tblPr>
        <w:tblW w:w="9644" w:type="dxa"/>
        <w:jc w:val="left"/>
        <w:tblInd w:w="65" w:type="dxa"/>
        <w:tblLayout w:type="fixed"/>
        <w:tblCellMar>
          <w:top w:w="0" w:type="dxa"/>
          <w:left w:w="70" w:type="dxa"/>
          <w:bottom w:w="0" w:type="dxa"/>
          <w:right w:w="70" w:type="dxa"/>
        </w:tblCellMar>
      </w:tblPr>
      <w:tblGrid>
        <w:gridCol w:w="2511"/>
        <w:gridCol w:w="1005"/>
        <w:gridCol w:w="1105"/>
        <w:gridCol w:w="1004"/>
        <w:gridCol w:w="1005"/>
        <w:gridCol w:w="1005"/>
        <w:gridCol w:w="1004"/>
        <w:gridCol w:w="1003"/>
      </w:tblGrid>
      <w:tr>
        <w:trPr>
          <w:trHeight w:val="315" w:hRule="atLeast"/>
        </w:trPr>
        <w:tc>
          <w:tcPr>
            <w:tcW w:w="2511" w:type="dxa"/>
            <w:tcBorders>
              <w:top w:val="single" w:sz="4" w:space="0" w:color="000000"/>
              <w:left w:val="single" w:sz="4" w:space="0" w:color="000000"/>
              <w:bottom w:val="single" w:sz="4" w:space="0" w:color="000000"/>
              <w:right w:val="single" w:sz="4" w:space="0" w:color="000000"/>
            </w:tcBorders>
            <w:shd w:fill="166B7F" w:val="clear"/>
            <w:vAlign w:val="bottom"/>
          </w:tcPr>
          <w:p>
            <w:pPr>
              <w:pStyle w:val="Normal"/>
              <w:jc w:val="center"/>
              <w:rPr>
                <w:b/>
                <w:bCs/>
                <w:color w:val="FFFFFF"/>
                <w:sz w:val="22"/>
                <w:szCs w:val="22"/>
              </w:rPr>
            </w:pPr>
            <w:r>
              <w:rPr>
                <w:b/>
                <w:bCs/>
                <w:color w:val="FFFFFF"/>
                <w:sz w:val="22"/>
                <w:szCs w:val="22"/>
              </w:rPr>
              <w:t>Dotation aux amortissements</w:t>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color w:val="FFFFFF"/>
                <w:sz w:val="22"/>
                <w:szCs w:val="22"/>
              </w:rPr>
            </w:pPr>
            <w:r>
              <w:rPr>
                <w:b/>
                <w:bCs/>
                <w:color w:val="FFFFFF"/>
                <w:sz w:val="22"/>
                <w:szCs w:val="22"/>
              </w:rPr>
            </w:r>
          </w:p>
        </w:tc>
        <w:tc>
          <w:tcPr>
            <w:tcW w:w="11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color w:val="FFFFFF"/>
                <w:sz w:val="22"/>
                <w:szCs w:val="22"/>
              </w:rPr>
            </w:pPr>
            <w:r>
              <w:rPr>
                <w:b/>
                <w:bCs/>
                <w:color w:val="FFFFFF"/>
                <w:sz w:val="22"/>
                <w:szCs w:val="22"/>
              </w:rPr>
            </w:r>
          </w:p>
        </w:tc>
        <w:tc>
          <w:tcPr>
            <w:tcW w:w="1004"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4"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3"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r>
      <w:tr>
        <w:trPr>
          <w:trHeight w:val="315" w:hRule="atLeast"/>
        </w:trPr>
        <w:tc>
          <w:tcPr>
            <w:tcW w:w="2511"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Désignations/Années</w:t>
            </w:r>
          </w:p>
        </w:tc>
        <w:tc>
          <w:tcPr>
            <w:tcW w:w="10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Montant</w:t>
            </w:r>
          </w:p>
        </w:tc>
        <w:tc>
          <w:tcPr>
            <w:tcW w:w="11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Taux</w:t>
            </w:r>
          </w:p>
        </w:tc>
        <w:tc>
          <w:tcPr>
            <w:tcW w:w="1004"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AN1</w:t>
            </w:r>
          </w:p>
        </w:tc>
        <w:tc>
          <w:tcPr>
            <w:tcW w:w="10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AN2</w:t>
            </w:r>
          </w:p>
        </w:tc>
        <w:tc>
          <w:tcPr>
            <w:tcW w:w="10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AN3</w:t>
            </w:r>
          </w:p>
        </w:tc>
        <w:tc>
          <w:tcPr>
            <w:tcW w:w="1004"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AN4</w:t>
            </w:r>
          </w:p>
        </w:tc>
        <w:tc>
          <w:tcPr>
            <w:tcW w:w="1003"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AN5</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Frais d'établissement</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15 000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100,00%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15 000</w:t>
            </w:r>
          </w:p>
        </w:tc>
        <w:tc>
          <w:tcPr>
            <w:tcW w:w="1005"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r>
          </w:p>
        </w:tc>
        <w:tc>
          <w:tcPr>
            <w:tcW w:w="1005"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t>-</w:t>
            </w:r>
          </w:p>
        </w:tc>
        <w:tc>
          <w:tcPr>
            <w:tcW w:w="1003"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2.1 Constructions</w:t>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3"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2.2 Agencement-Aménagement-Installations</w:t>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Aménagement préparatoire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45 000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11 250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11 250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11 250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11 250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Formation des billons</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60 000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15 000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15 000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Système goutte-à-goutte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500 000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125 000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125 000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125 000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125 000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Pompe solaire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1 200 000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300 000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300 000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300 000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300 000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Panneaux solaires</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800 000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200 000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200 000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200 000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200 000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Tuyaux, vannes, pulvérisateur</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500 000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125 000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125 000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125 000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125 000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2.3 Mobiliers et matériels</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Balance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33%</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6 667</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6 667</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6 667</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Petit matériel divers (1 lot)</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60 000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33%</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20 000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2.4 Equipements de production</w:t>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Paillage en plastique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40 000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40 000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40 000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40 000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40 000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Pulvérisateurs</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50 000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10 000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Brouettes + Houes</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40 000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8 000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8 000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8 000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8 000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8 000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P 17 (2000 m)</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150 000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30 000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30 000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30 000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Outils divers (dabas, pioches, pelles)</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45 000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9 000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9 000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9 000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9 000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9 000</w:t>
            </w:r>
          </w:p>
        </w:tc>
      </w:tr>
      <w:tr>
        <w:trPr>
          <w:trHeight w:val="285" w:hRule="atLeast"/>
        </w:trPr>
        <w:tc>
          <w:tcPr>
            <w:tcW w:w="2511"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Total</w:t>
            </w:r>
          </w:p>
        </w:tc>
        <w:tc>
          <w:tcPr>
            <w:tcW w:w="1005"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3 685 000</w:t>
            </w:r>
          </w:p>
        </w:tc>
        <w:tc>
          <w:tcPr>
            <w:tcW w:w="1105" w:type="dxa"/>
            <w:tcBorders>
              <w:bottom w:val="single" w:sz="4" w:space="0" w:color="000000"/>
              <w:right w:val="single" w:sz="4" w:space="0" w:color="000000"/>
            </w:tcBorders>
            <w:shd w:fill="F4C9C8" w:val="clear"/>
            <w:vAlign w:val="bottom"/>
          </w:tcPr>
          <w:p>
            <w:pPr>
              <w:pStyle w:val="Normal"/>
              <w:snapToGrid w:val="false"/>
              <w:jc w:val="center"/>
              <w:rPr>
                <w:b/>
                <w:bCs/>
                <w:i/>
                <w:i/>
                <w:iCs/>
                <w:sz w:val="22"/>
                <w:szCs w:val="22"/>
              </w:rPr>
            </w:pPr>
            <w:r>
              <w:rPr>
                <w:b/>
                <w:bCs/>
                <w:i/>
                <w:iCs/>
                <w:sz w:val="22"/>
                <w:szCs w:val="22"/>
              </w:rPr>
            </w:r>
          </w:p>
        </w:tc>
        <w:tc>
          <w:tcPr>
            <w:tcW w:w="1004"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914 917</w:t>
            </w:r>
          </w:p>
        </w:tc>
        <w:tc>
          <w:tcPr>
            <w:tcW w:w="1005"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899 917</w:t>
            </w:r>
          </w:p>
        </w:tc>
        <w:tc>
          <w:tcPr>
            <w:tcW w:w="1005"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899 917</w:t>
            </w:r>
          </w:p>
        </w:tc>
        <w:tc>
          <w:tcPr>
            <w:tcW w:w="1004"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873 250</w:t>
            </w:r>
          </w:p>
        </w:tc>
        <w:tc>
          <w:tcPr>
            <w:tcW w:w="1003"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97 000</w:t>
            </w:r>
          </w:p>
        </w:tc>
      </w:tr>
      <w:tr>
        <w:trPr>
          <w:trHeight w:val="285" w:hRule="atLeast"/>
        </w:trPr>
        <w:tc>
          <w:tcPr>
            <w:tcW w:w="2511" w:type="dxa"/>
            <w:tcBorders/>
            <w:vAlign w:val="bottom"/>
          </w:tcPr>
          <w:p>
            <w:pPr>
              <w:pStyle w:val="Normal"/>
              <w:snapToGrid w:val="false"/>
              <w:jc w:val="right"/>
              <w:rPr>
                <w:b/>
                <w:bCs/>
                <w:i/>
                <w:i/>
                <w:iCs/>
                <w:sz w:val="22"/>
                <w:szCs w:val="22"/>
              </w:rPr>
            </w:pPr>
            <w:r>
              <w:rPr>
                <w:b/>
                <w:bCs/>
                <w:i/>
                <w:iCs/>
                <w:sz w:val="22"/>
                <w:szCs w:val="22"/>
              </w:rPr>
            </w:r>
          </w:p>
        </w:tc>
        <w:tc>
          <w:tcPr>
            <w:tcW w:w="1005" w:type="dxa"/>
            <w:tcBorders/>
            <w:vAlign w:val="bottom"/>
          </w:tcPr>
          <w:p>
            <w:pPr>
              <w:pStyle w:val="Normal"/>
              <w:snapToGrid w:val="false"/>
              <w:jc w:val="right"/>
              <w:rPr>
                <w:b/>
                <w:bCs/>
                <w:i/>
                <w:i/>
                <w:iCs/>
                <w:sz w:val="22"/>
                <w:szCs w:val="22"/>
              </w:rPr>
            </w:pPr>
            <w:r>
              <w:rPr>
                <w:b/>
                <w:bCs/>
                <w:i/>
                <w:iCs/>
                <w:sz w:val="22"/>
                <w:szCs w:val="22"/>
              </w:rPr>
            </w:r>
          </w:p>
        </w:tc>
        <w:tc>
          <w:tcPr>
            <w:tcW w:w="1105" w:type="dxa"/>
            <w:tcBorders/>
            <w:vAlign w:val="bottom"/>
          </w:tcPr>
          <w:p>
            <w:pPr>
              <w:pStyle w:val="Normal"/>
              <w:snapToGrid w:val="false"/>
              <w:jc w:val="right"/>
              <w:rPr>
                <w:sz w:val="22"/>
                <w:szCs w:val="22"/>
              </w:rPr>
            </w:pPr>
            <w:r>
              <w:rPr>
                <w:sz w:val="22"/>
                <w:szCs w:val="22"/>
              </w:rPr>
            </w:r>
          </w:p>
        </w:tc>
        <w:tc>
          <w:tcPr>
            <w:tcW w:w="1004" w:type="dxa"/>
            <w:tcBorders/>
            <w:vAlign w:val="bottom"/>
          </w:tcPr>
          <w:p>
            <w:pPr>
              <w:pStyle w:val="Normal"/>
              <w:snapToGrid w:val="false"/>
              <w:jc w:val="right"/>
              <w:rPr>
                <w:sz w:val="22"/>
                <w:szCs w:val="22"/>
              </w:rPr>
            </w:pPr>
            <w:r>
              <w:rPr>
                <w:sz w:val="22"/>
                <w:szCs w:val="22"/>
              </w:rPr>
            </w:r>
          </w:p>
        </w:tc>
        <w:tc>
          <w:tcPr>
            <w:tcW w:w="1005" w:type="dxa"/>
            <w:tcBorders/>
            <w:vAlign w:val="bottom"/>
          </w:tcPr>
          <w:p>
            <w:pPr>
              <w:pStyle w:val="Normal"/>
              <w:snapToGrid w:val="false"/>
              <w:jc w:val="right"/>
              <w:rPr>
                <w:sz w:val="22"/>
                <w:szCs w:val="22"/>
              </w:rPr>
            </w:pPr>
            <w:r>
              <w:rPr>
                <w:sz w:val="22"/>
                <w:szCs w:val="22"/>
              </w:rPr>
            </w:r>
          </w:p>
        </w:tc>
        <w:tc>
          <w:tcPr>
            <w:tcW w:w="1005" w:type="dxa"/>
            <w:tcBorders/>
            <w:vAlign w:val="bottom"/>
          </w:tcPr>
          <w:p>
            <w:pPr>
              <w:pStyle w:val="Normal"/>
              <w:snapToGrid w:val="false"/>
              <w:jc w:val="right"/>
              <w:rPr>
                <w:sz w:val="22"/>
                <w:szCs w:val="22"/>
              </w:rPr>
            </w:pPr>
            <w:r>
              <w:rPr>
                <w:sz w:val="22"/>
                <w:szCs w:val="22"/>
              </w:rPr>
            </w:r>
          </w:p>
        </w:tc>
        <w:tc>
          <w:tcPr>
            <w:tcW w:w="1004" w:type="dxa"/>
            <w:tcBorders/>
            <w:vAlign w:val="bottom"/>
          </w:tcPr>
          <w:p>
            <w:pPr>
              <w:pStyle w:val="Normal"/>
              <w:snapToGrid w:val="false"/>
              <w:jc w:val="right"/>
              <w:rPr>
                <w:sz w:val="22"/>
                <w:szCs w:val="22"/>
              </w:rPr>
            </w:pPr>
            <w:r>
              <w:rPr>
                <w:sz w:val="22"/>
                <w:szCs w:val="22"/>
              </w:rPr>
            </w:r>
          </w:p>
        </w:tc>
        <w:tc>
          <w:tcPr>
            <w:tcW w:w="1003" w:type="dxa"/>
            <w:tcBorders/>
            <w:vAlign w:val="bottom"/>
          </w:tcPr>
          <w:p>
            <w:pPr>
              <w:pStyle w:val="Normal"/>
              <w:snapToGrid w:val="false"/>
              <w:jc w:val="right"/>
              <w:rPr>
                <w:sz w:val="22"/>
                <w:szCs w:val="22"/>
              </w:rPr>
            </w:pPr>
            <w:r>
              <w:rPr>
                <w:sz w:val="22"/>
                <w:szCs w:val="22"/>
              </w:rPr>
            </w:r>
          </w:p>
        </w:tc>
      </w:tr>
    </w:tbl>
    <w:p>
      <w:pPr>
        <w:pStyle w:val="Heading3"/>
        <w:numPr>
          <w:ilvl w:val="2"/>
          <w:numId w:val="4"/>
        </w:numPr>
        <w:spacing w:before="120" w:after="120"/>
        <w:ind w:hanging="720" w:left="502" w:right="0"/>
        <w:jc w:val="both"/>
        <w:rPr>
          <w:rFonts w:ascii="Times New Roman" w:hAnsi="Times New Roman" w:cs="Times New Roman"/>
          <w:iCs/>
          <w:sz w:val="22"/>
          <w:szCs w:val="22"/>
        </w:rPr>
      </w:pPr>
      <w:bookmarkStart w:id="21" w:name="__RefHeading___Toc234831720"/>
      <w:bookmarkEnd w:id="21"/>
      <w:r>
        <w:rPr>
          <w:rFonts w:cs="Times New Roman" w:ascii="Times New Roman" w:hAnsi="Times New Roman"/>
          <w:sz w:val="24"/>
          <w:szCs w:val="24"/>
        </w:rPr>
        <w:t>Echéancier de remboursement</w:t>
      </w:r>
    </w:p>
    <w:p>
      <w:pPr>
        <w:pStyle w:val="Normal"/>
        <w:spacing w:before="120" w:after="120"/>
        <w:jc w:val="both"/>
        <w:rPr>
          <w:iCs/>
          <w:sz w:val="22"/>
          <w:szCs w:val="22"/>
        </w:rPr>
      </w:pPr>
      <w:r>
        <w:rPr>
          <w:iCs/>
          <w:sz w:val="22"/>
          <w:szCs w:val="22"/>
        </w:rPr>
        <w:t>L’échéancier de remboursement porte sur 36 mois, dont un différé de 3 mois pendant lequel seuls les intérêts sont payés, soit 33 échéances mensuelles.</w:t>
      </w:r>
    </w:p>
    <w:tbl>
      <w:tblPr>
        <w:tblW w:w="10070" w:type="dxa"/>
        <w:jc w:val="left"/>
        <w:tblInd w:w="65" w:type="dxa"/>
        <w:tblLayout w:type="fixed"/>
        <w:tblCellMar>
          <w:top w:w="0" w:type="dxa"/>
          <w:left w:w="70" w:type="dxa"/>
          <w:bottom w:w="0" w:type="dxa"/>
          <w:right w:w="70" w:type="dxa"/>
        </w:tblCellMar>
      </w:tblPr>
      <w:tblGrid>
        <w:gridCol w:w="997"/>
        <w:gridCol w:w="1417"/>
        <w:gridCol w:w="1134"/>
        <w:gridCol w:w="1134"/>
        <w:gridCol w:w="1135"/>
        <w:gridCol w:w="1701"/>
        <w:gridCol w:w="1276"/>
        <w:gridCol w:w="1274"/>
      </w:tblGrid>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Montant du Prêt :</w:t>
            </w:r>
          </w:p>
        </w:tc>
        <w:tc>
          <w:tcPr>
            <w:tcW w:w="1134" w:type="dxa"/>
            <w:tcBorders>
              <w:top w:val="single" w:sz="4" w:space="0" w:color="000000"/>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4 500 000</w:t>
            </w:r>
          </w:p>
        </w:tc>
        <w:tc>
          <w:tcPr>
            <w:tcW w:w="1134" w:type="dxa"/>
            <w:tcBorders>
              <w:top w:val="single" w:sz="4" w:space="0" w:color="000000"/>
              <w:bottom w:val="single" w:sz="4" w:space="0" w:color="000000"/>
              <w:right w:val="single" w:sz="4" w:space="0" w:color="000000"/>
            </w:tcBorders>
            <w:shd w:fill="F2F2F2" w:val="clear"/>
            <w:vAlign w:val="bottom"/>
          </w:tcPr>
          <w:p>
            <w:pPr>
              <w:pStyle w:val="Normal"/>
              <w:jc w:val="center"/>
              <w:rPr>
                <w:b/>
                <w:bCs/>
                <w:color w:val="800000"/>
                <w:sz w:val="22"/>
                <w:szCs w:val="22"/>
              </w:rPr>
            </w:pPr>
            <w:r>
              <w:rPr>
                <w:b/>
                <w:bCs/>
                <w:color w:val="800000"/>
                <w:sz w:val="22"/>
                <w:szCs w:val="22"/>
              </w:rPr>
              <w:t>FCFA</w:t>
            </w:r>
          </w:p>
        </w:tc>
        <w:tc>
          <w:tcPr>
            <w:tcW w:w="1135"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Taux d'intérêt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8%</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an soit</w:t>
            </w:r>
          </w:p>
        </w:tc>
        <w:tc>
          <w:tcPr>
            <w:tcW w:w="1135" w:type="dxa"/>
            <w:tcBorders>
              <w:bottom w:val="single" w:sz="4" w:space="0" w:color="000000"/>
              <w:right w:val="single" w:sz="4" w:space="0" w:color="000000"/>
            </w:tcBorders>
            <w:shd w:fill="F2F2F2" w:val="clear"/>
            <w:vAlign w:val="bottom"/>
          </w:tcPr>
          <w:p>
            <w:pPr>
              <w:pStyle w:val="Normal"/>
              <w:jc w:val="center"/>
              <w:rPr>
                <w:b/>
                <w:bCs/>
                <w:color w:val="800000"/>
                <w:sz w:val="22"/>
                <w:szCs w:val="22"/>
              </w:rPr>
            </w:pPr>
            <w:r>
              <w:rPr>
                <w:b/>
                <w:bCs/>
                <w:color w:val="800000"/>
                <w:sz w:val="22"/>
                <w:szCs w:val="22"/>
              </w:rPr>
              <w:t>0,67%</w:t>
            </w:r>
          </w:p>
        </w:tc>
        <w:tc>
          <w:tcPr>
            <w:tcW w:w="1701"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mois</w:t>
            </w:r>
          </w:p>
        </w:tc>
        <w:tc>
          <w:tcPr>
            <w:tcW w:w="1276" w:type="dxa"/>
            <w:tcBorders>
              <w:bottom w:val="single" w:sz="4" w:space="0" w:color="000000"/>
              <w:right w:val="single" w:sz="4" w:space="0" w:color="000000"/>
            </w:tcBorders>
            <w:shd w:fill="F2F2F2" w:val="clear"/>
            <w:vAlign w:val="bottom"/>
          </w:tcPr>
          <w:p>
            <w:pPr>
              <w:pStyle w:val="Normal"/>
              <w:snapToGrid w:val="false"/>
              <w:jc w:val="center"/>
              <w:rPr>
                <w:sz w:val="22"/>
                <w:szCs w:val="22"/>
              </w:rPr>
            </w:pPr>
            <w:r>
              <w:rPr>
                <w:sz w:val="22"/>
                <w:szCs w:val="22"/>
              </w:rPr>
            </w:r>
          </w:p>
        </w:tc>
        <w:tc>
          <w:tcPr>
            <w:tcW w:w="1274" w:type="dxa"/>
            <w:tcBorders/>
            <w:shd w:fill="F2F2F2" w:val="clear"/>
            <w:vAlign w:val="bottom"/>
          </w:tcPr>
          <w:p>
            <w:pPr>
              <w:pStyle w:val="Normal"/>
              <w:snapToGrid w:val="false"/>
              <w:jc w:val="center"/>
              <w:rPr>
                <w:sz w:val="22"/>
                <w:szCs w:val="22"/>
              </w:rPr>
            </w:pPr>
            <w:r>
              <w:rPr>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TAF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17%</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an</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Taux d'intérêt appliqué TTC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9,36%</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an</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sz w:val="22"/>
                <w:szCs w:val="22"/>
              </w:rPr>
            </w:pPr>
            <w:r>
              <w:rPr>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Période de remboursement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sz w:val="22"/>
                <w:szCs w:val="22"/>
              </w:rPr>
            </w:pPr>
            <w:r>
              <w:rPr>
                <w:sz w:val="22"/>
                <w:szCs w:val="22"/>
              </w:rPr>
              <w:t>par mois</w:t>
            </w:r>
          </w:p>
        </w:tc>
        <w:tc>
          <w:tcPr>
            <w:tcW w:w="1134" w:type="dxa"/>
            <w:tcBorders>
              <w:bottom w:val="single" w:sz="4" w:space="0" w:color="000000"/>
              <w:right w:val="single" w:sz="4" w:space="0" w:color="000000"/>
            </w:tcBorders>
            <w:shd w:fill="F2F2F2" w:val="clear"/>
            <w:vAlign w:val="bottom"/>
          </w:tcPr>
          <w:p>
            <w:pPr>
              <w:pStyle w:val="Normal"/>
              <w:snapToGrid w:val="false"/>
              <w:jc w:val="center"/>
              <w:rPr>
                <w:sz w:val="22"/>
                <w:szCs w:val="22"/>
              </w:rPr>
            </w:pPr>
            <w:r>
              <w:rPr>
                <w:sz w:val="22"/>
                <w:szCs w:val="22"/>
              </w:rPr>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Période de différé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3</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mois</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Durée du prêt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36</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mois</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Nombre d'échéance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33</w:t>
            </w:r>
          </w:p>
        </w:tc>
        <w:tc>
          <w:tcPr>
            <w:tcW w:w="1134"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color w:val="800000"/>
                <w:sz w:val="22"/>
                <w:szCs w:val="22"/>
              </w:rPr>
            </w:pPr>
            <w:r>
              <w:rPr>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color w:val="800000"/>
                <w:sz w:val="22"/>
                <w:szCs w:val="22"/>
              </w:rPr>
            </w:pPr>
            <w:r>
              <w:rPr>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00" w:hRule="atLeast"/>
        </w:trPr>
        <w:tc>
          <w:tcPr>
            <w:tcW w:w="997" w:type="dxa"/>
            <w:tcBorders/>
            <w:shd w:fill="FFFFFF" w:val="clear"/>
            <w:vAlign w:val="bottom"/>
          </w:tcPr>
          <w:p>
            <w:pPr>
              <w:pStyle w:val="Normal"/>
              <w:snapToGrid w:val="false"/>
              <w:jc w:val="center"/>
              <w:rPr>
                <w:color w:val="800000"/>
                <w:sz w:val="22"/>
                <w:szCs w:val="22"/>
              </w:rPr>
            </w:pPr>
            <w:r>
              <w:rPr>
                <w:color w:val="800000"/>
                <w:sz w:val="22"/>
                <w:szCs w:val="22"/>
              </w:rPr>
            </w:r>
          </w:p>
        </w:tc>
        <w:tc>
          <w:tcPr>
            <w:tcW w:w="1417" w:type="dxa"/>
            <w:tcBorders/>
            <w:shd w:fill="FFFFFF" w:val="clear"/>
            <w:vAlign w:val="bottom"/>
          </w:tcPr>
          <w:p>
            <w:pPr>
              <w:pStyle w:val="Normal"/>
              <w:snapToGrid w:val="false"/>
              <w:jc w:val="center"/>
              <w:rPr>
                <w:color w:val="800000"/>
                <w:sz w:val="22"/>
                <w:szCs w:val="22"/>
              </w:rPr>
            </w:pPr>
            <w:r>
              <w:rPr>
                <w:color w:val="800000"/>
                <w:sz w:val="22"/>
                <w:szCs w:val="22"/>
              </w:rPr>
            </w:r>
          </w:p>
        </w:tc>
        <w:tc>
          <w:tcPr>
            <w:tcW w:w="1134" w:type="dxa"/>
            <w:tcBorders/>
            <w:shd w:fill="FFFFFF" w:val="clear"/>
            <w:vAlign w:val="bottom"/>
          </w:tcPr>
          <w:p>
            <w:pPr>
              <w:pStyle w:val="Normal"/>
              <w:snapToGrid w:val="false"/>
              <w:jc w:val="center"/>
              <w:rPr>
                <w:sz w:val="22"/>
                <w:szCs w:val="22"/>
              </w:rPr>
            </w:pPr>
            <w:r>
              <w:rPr>
                <w:sz w:val="22"/>
                <w:szCs w:val="22"/>
              </w:rPr>
            </w:r>
          </w:p>
        </w:tc>
        <w:tc>
          <w:tcPr>
            <w:tcW w:w="1134" w:type="dxa"/>
            <w:tcBorders/>
            <w:shd w:fill="FFFFFF" w:val="clear"/>
            <w:vAlign w:val="bottom"/>
          </w:tcPr>
          <w:p>
            <w:pPr>
              <w:pStyle w:val="Normal"/>
              <w:snapToGrid w:val="false"/>
              <w:jc w:val="center"/>
              <w:rPr>
                <w:sz w:val="22"/>
                <w:szCs w:val="22"/>
              </w:rPr>
            </w:pPr>
            <w:r>
              <w:rPr>
                <w:sz w:val="22"/>
                <w:szCs w:val="22"/>
              </w:rPr>
            </w:r>
          </w:p>
        </w:tc>
        <w:tc>
          <w:tcPr>
            <w:tcW w:w="1135" w:type="dxa"/>
            <w:tcBorders/>
            <w:shd w:fill="FFFFFF" w:val="clear"/>
            <w:vAlign w:val="bottom"/>
          </w:tcPr>
          <w:p>
            <w:pPr>
              <w:pStyle w:val="Normal"/>
              <w:snapToGrid w:val="false"/>
              <w:jc w:val="center"/>
              <w:rPr>
                <w:sz w:val="22"/>
                <w:szCs w:val="22"/>
              </w:rPr>
            </w:pPr>
            <w:r>
              <w:rPr>
                <w:sz w:val="22"/>
                <w:szCs w:val="22"/>
              </w:rPr>
            </w:r>
          </w:p>
        </w:tc>
        <w:tc>
          <w:tcPr>
            <w:tcW w:w="1701" w:type="dxa"/>
            <w:tcBorders/>
            <w:shd w:fill="FFFFFF" w:val="clear"/>
            <w:vAlign w:val="bottom"/>
          </w:tcPr>
          <w:p>
            <w:pPr>
              <w:pStyle w:val="Normal"/>
              <w:snapToGrid w:val="false"/>
              <w:jc w:val="center"/>
              <w:rPr>
                <w:sz w:val="22"/>
                <w:szCs w:val="22"/>
              </w:rPr>
            </w:pPr>
            <w:r>
              <w:rPr>
                <w:sz w:val="22"/>
                <w:szCs w:val="22"/>
              </w:rPr>
            </w:r>
          </w:p>
        </w:tc>
        <w:tc>
          <w:tcPr>
            <w:tcW w:w="1276" w:type="dxa"/>
            <w:tcBorders/>
            <w:shd w:fill="FFFFFF" w:val="clear"/>
            <w:vAlign w:val="bottom"/>
          </w:tcPr>
          <w:p>
            <w:pPr>
              <w:pStyle w:val="Normal"/>
              <w:snapToGrid w:val="false"/>
              <w:jc w:val="center"/>
              <w:rPr>
                <w:sz w:val="22"/>
                <w:szCs w:val="22"/>
              </w:rPr>
            </w:pPr>
            <w:r>
              <w:rPr>
                <w:sz w:val="22"/>
                <w:szCs w:val="22"/>
              </w:rPr>
            </w:r>
          </w:p>
        </w:tc>
        <w:tc>
          <w:tcPr>
            <w:tcW w:w="1274" w:type="dxa"/>
            <w:tcBorders/>
            <w:shd w:fill="FFFFFF" w:val="clear"/>
            <w:vAlign w:val="bottom"/>
          </w:tcPr>
          <w:p>
            <w:pPr>
              <w:pStyle w:val="Normal"/>
              <w:snapToGrid w:val="false"/>
              <w:jc w:val="center"/>
              <w:rPr>
                <w:sz w:val="22"/>
                <w:szCs w:val="22"/>
              </w:rPr>
            </w:pPr>
            <w:r>
              <w:rPr>
                <w:sz w:val="22"/>
                <w:szCs w:val="22"/>
              </w:rPr>
            </w:r>
          </w:p>
        </w:tc>
      </w:tr>
      <w:tr>
        <w:trPr>
          <w:trHeight w:val="315" w:hRule="atLeast"/>
        </w:trPr>
        <w:tc>
          <w:tcPr>
            <w:tcW w:w="997"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Période</w:t>
            </w:r>
          </w:p>
        </w:tc>
        <w:tc>
          <w:tcPr>
            <w:tcW w:w="1417"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Montant</w:t>
            </w:r>
          </w:p>
        </w:tc>
        <w:tc>
          <w:tcPr>
            <w:tcW w:w="1134"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Intérêts</w:t>
            </w:r>
          </w:p>
        </w:tc>
        <w:tc>
          <w:tcPr>
            <w:tcW w:w="1134"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TAF</w:t>
            </w:r>
          </w:p>
        </w:tc>
        <w:tc>
          <w:tcPr>
            <w:tcW w:w="1135"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Frais Financier</w:t>
            </w:r>
          </w:p>
        </w:tc>
        <w:tc>
          <w:tcPr>
            <w:tcW w:w="1701" w:type="dxa"/>
            <w:tcBorders>
              <w:top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Remboursement</w:t>
            </w:r>
          </w:p>
        </w:tc>
        <w:tc>
          <w:tcPr>
            <w:tcW w:w="1276" w:type="dxa"/>
            <w:tcBorders>
              <w:top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274" w:type="dxa"/>
            <w:tcBorders>
              <w:top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r>
      <w:tr>
        <w:trPr>
          <w:trHeight w:val="630" w:hRule="atLeast"/>
        </w:trPr>
        <w:tc>
          <w:tcPr>
            <w:tcW w:w="997"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417"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134"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134"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135"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701" w:type="dxa"/>
            <w:tcBorders>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Principal</w:t>
            </w:r>
          </w:p>
        </w:tc>
        <w:tc>
          <w:tcPr>
            <w:tcW w:w="1276" w:type="dxa"/>
            <w:tcBorders>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Périodicité</w:t>
              <w:br/>
              <w:t>dégressive</w:t>
            </w:r>
          </w:p>
        </w:tc>
        <w:tc>
          <w:tcPr>
            <w:tcW w:w="1274" w:type="dxa"/>
            <w:tcBorders>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Périodicité</w:t>
              <w:br/>
              <w:t>linéaire</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b/>
                <w:bCs/>
                <w:sz w:val="22"/>
                <w:szCs w:val="22"/>
              </w:rPr>
            </w:pPr>
            <w:r>
              <w:rPr>
                <w:b/>
                <w:bCs/>
                <w:sz w:val="22"/>
                <w:szCs w:val="22"/>
              </w:rPr>
              <w:t>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4 500 000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5 100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35 100</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35 100</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4 500 000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5 100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35 100</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35 100</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4 500 000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5 100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35 100</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35 100</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4 500 000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5 100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35 100</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171 464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4 363 636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29 091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4 945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34 036</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170 400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4 227 273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28 182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4 791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32 973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169 336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4 090 909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27 273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4 636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31 909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168 273</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3 954 545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26 364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4 482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30 845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167 209</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3 818 182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25 455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4 327</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29 782</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166 145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3 681 818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24 545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4 173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28 718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165 082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3 545 455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23 636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4 018</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27 655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164 018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12</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3 409 091</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22 727</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3 864</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26 591</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136 364</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162 955</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3 272 727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21 818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3 709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25 527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161 891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3 136 364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20 909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3 555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24 464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160 827</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3 000 000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3 400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23 400</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159 764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2 863 636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19 091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3 245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22 336</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158 700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2 727 273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18 182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3 091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21 273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2 590 909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17 273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2 936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20 209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156 573</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2 454 545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16 364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2 782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19 145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155 509</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2 318 182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15 455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2 627</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18 082</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154 445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2 181 818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14 545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2 473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17 018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153 382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2 045 455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13 636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2 318</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15 955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152 318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1 909 091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12 727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2 164</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14 891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151 255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24</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1 772 727</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11 818</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2 009</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13 827</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136 364</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150 191</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1 636 364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10 909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1 855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12 764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149 127</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1 500 000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1 700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11 700</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148 064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1 363 636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9 091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1 545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10 636</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147 000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1 227 273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8 182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1 391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9 573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145 936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1 090 909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7 273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1 236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8 509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144 873</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954 545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6 364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1 082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7 445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143 809</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818 182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5 455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927</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6 382</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142 745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681 818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4 545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5 318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141 682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545 455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3 636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618</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4 255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140 618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409 091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2 727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464</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3 191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139 555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272 727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1 818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309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2 127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136 364</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138 491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36</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136 364</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909</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155</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1 064</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136 364</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137 427</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157 636</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TOTAL</w:t>
            </w:r>
          </w:p>
        </w:tc>
        <w:tc>
          <w:tcPr>
            <w:tcW w:w="1417" w:type="dxa"/>
            <w:tcBorders>
              <w:bottom w:val="single" w:sz="4" w:space="0" w:color="000000"/>
              <w:right w:val="single" w:sz="4" w:space="0" w:color="000000"/>
            </w:tcBorders>
            <w:shd w:fill="FFFFFF" w:val="clear"/>
            <w:vAlign w:val="center"/>
          </w:tcPr>
          <w:p>
            <w:pPr>
              <w:pStyle w:val="Normal"/>
              <w:snapToGrid w:val="false"/>
              <w:jc w:val="center"/>
              <w:rPr>
                <w:b/>
                <w:bCs/>
                <w:color w:val="000080"/>
                <w:sz w:val="22"/>
                <w:szCs w:val="22"/>
              </w:rPr>
            </w:pPr>
            <w:r>
              <w:rPr>
                <w:b/>
                <w:bCs/>
                <w:color w:val="000080"/>
                <w:sz w:val="22"/>
                <w:szCs w:val="22"/>
              </w:rPr>
            </w:r>
          </w:p>
        </w:tc>
        <w:tc>
          <w:tcPr>
            <w:tcW w:w="1134" w:type="dxa"/>
            <w:tcBorders>
              <w:bottom w:val="single" w:sz="4" w:space="0" w:color="000000"/>
              <w:right w:val="single" w:sz="4" w:space="0" w:color="000000"/>
            </w:tcBorders>
            <w:shd w:fill="FFFFFF" w:val="clear"/>
            <w:vAlign w:val="center"/>
          </w:tcPr>
          <w:p>
            <w:pPr>
              <w:pStyle w:val="Normal"/>
              <w:snapToGrid w:val="false"/>
              <w:jc w:val="center"/>
              <w:rPr>
                <w:b/>
                <w:bCs/>
                <w:color w:val="000080"/>
                <w:sz w:val="22"/>
                <w:szCs w:val="22"/>
              </w:rPr>
            </w:pPr>
            <w:r>
              <w:rPr>
                <w:b/>
                <w:bCs/>
                <w:color w:val="000080"/>
                <w:sz w:val="22"/>
                <w:szCs w:val="22"/>
              </w:rPr>
            </w:r>
          </w:p>
        </w:tc>
        <w:tc>
          <w:tcPr>
            <w:tcW w:w="1134" w:type="dxa"/>
            <w:tcBorders>
              <w:bottom w:val="single" w:sz="4" w:space="0" w:color="000000"/>
              <w:right w:val="single" w:sz="4" w:space="0" w:color="000000"/>
            </w:tcBorders>
            <w:shd w:fill="FFFFFF" w:val="clear"/>
            <w:vAlign w:val="center"/>
          </w:tcPr>
          <w:p>
            <w:pPr>
              <w:pStyle w:val="Normal"/>
              <w:snapToGrid w:val="false"/>
              <w:jc w:val="center"/>
              <w:rPr>
                <w:b/>
                <w:bCs/>
                <w:color w:val="000080"/>
                <w:sz w:val="22"/>
                <w:szCs w:val="22"/>
              </w:rPr>
            </w:pPr>
            <w:r>
              <w:rPr>
                <w:b/>
                <w:bCs/>
                <w:color w:val="000080"/>
                <w:sz w:val="22"/>
                <w:szCs w:val="22"/>
              </w:rPr>
            </w:r>
          </w:p>
        </w:tc>
        <w:tc>
          <w:tcPr>
            <w:tcW w:w="1135"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702 000</w:t>
            </w:r>
          </w:p>
        </w:tc>
        <w:tc>
          <w:tcPr>
            <w:tcW w:w="1701"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4 500 000</w:t>
            </w:r>
          </w:p>
        </w:tc>
        <w:tc>
          <w:tcPr>
            <w:tcW w:w="1276"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5 202 000</w:t>
            </w:r>
          </w:p>
        </w:tc>
        <w:tc>
          <w:tcPr>
            <w:tcW w:w="1274"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5 202 000</w:t>
            </w:r>
          </w:p>
        </w:tc>
      </w:tr>
    </w:tbl>
    <w:p>
      <w:pPr>
        <w:pStyle w:val="Heading2"/>
        <w:keepLines/>
        <w:numPr>
          <w:ilvl w:val="1"/>
          <w:numId w:val="4"/>
        </w:numPr>
        <w:spacing w:before="120" w:after="120"/>
        <w:ind w:hanging="491" w:left="851" w:right="0"/>
        <w:jc w:val="both"/>
        <w:rPr>
          <w:rFonts w:ascii="Times New Roman" w:hAnsi="Times New Roman" w:cs="Times New Roman"/>
          <w:i w:val="false"/>
          <w:i w:val="false"/>
          <w:iCs w:val="false"/>
          <w:lang w:val="fr-CI"/>
        </w:rPr>
      </w:pPr>
      <w:bookmarkStart w:id="22" w:name="__RefHeading___Toc234831721"/>
      <w:bookmarkEnd w:id="22"/>
      <w:r>
        <w:rPr>
          <w:rFonts w:cs="Times New Roman" w:ascii="Times New Roman" w:hAnsi="Times New Roman"/>
          <w:i w:val="false"/>
          <w:iCs w:val="false"/>
          <w:lang w:val="fr-CI"/>
        </w:rPr>
        <w:t>Coût total du projet</w:t>
      </w:r>
    </w:p>
    <w:p>
      <w:pPr>
        <w:pStyle w:val="Normal"/>
        <w:spacing w:before="120" w:after="120"/>
        <w:rPr>
          <w:iCs/>
          <w:sz w:val="22"/>
          <w:szCs w:val="22"/>
        </w:rPr>
      </w:pPr>
      <w:r>
        <w:rPr>
          <w:iCs/>
          <w:sz w:val="22"/>
          <w:szCs w:val="22"/>
        </w:rPr>
        <w:t xml:space="preserve">Le coût total du projet est évalué à </w:t>
      </w:r>
      <w:r>
        <w:rPr>
          <w:b/>
          <w:bCs/>
          <w:iCs/>
          <w:color w:val="000000"/>
          <w:sz w:val="22"/>
          <w:szCs w:val="22"/>
          <w:lang w:eastAsia="fr-CA"/>
        </w:rPr>
        <w:t xml:space="preserve">5 000 000 </w:t>
      </w:r>
      <w:r>
        <w:rPr>
          <w:iCs/>
          <w:sz w:val="22"/>
          <w:szCs w:val="22"/>
        </w:rPr>
        <w:t xml:space="preserve">FCFA. Ce montant est composé par : les frais d’investissement </w:t>
      </w:r>
      <w:r>
        <w:rPr>
          <w:b/>
          <w:bCs/>
          <w:iCs/>
          <w:sz w:val="22"/>
          <w:szCs w:val="22"/>
          <w:lang w:eastAsia="fr-CA"/>
        </w:rPr>
        <w:t xml:space="preserve">3 670 000 </w:t>
      </w:r>
      <w:r>
        <w:rPr>
          <w:iCs/>
          <w:sz w:val="22"/>
          <w:szCs w:val="22"/>
        </w:rPr>
        <w:t xml:space="preserve">FCFA (73,4%) , le besoin en fonds de roulement </w:t>
      </w:r>
      <w:r>
        <w:rPr>
          <w:b/>
          <w:bCs/>
          <w:iCs/>
          <w:sz w:val="22"/>
          <w:szCs w:val="22"/>
          <w:lang w:eastAsia="fr-CA"/>
        </w:rPr>
        <w:t xml:space="preserve">1 315 000 </w:t>
      </w:r>
      <w:r>
        <w:rPr>
          <w:iCs/>
          <w:sz w:val="22"/>
          <w:szCs w:val="22"/>
        </w:rPr>
        <w:t xml:space="preserve"> FCFA (26,3%) et les frais d’établissement 15 000 FCFA (0,3%).</w:t>
      </w:r>
    </w:p>
    <w:tbl>
      <w:tblPr>
        <w:tblW w:w="9600" w:type="dxa"/>
        <w:jc w:val="left"/>
        <w:tblInd w:w="65" w:type="dxa"/>
        <w:tblLayout w:type="fixed"/>
        <w:tblCellMar>
          <w:top w:w="0" w:type="dxa"/>
          <w:left w:w="70" w:type="dxa"/>
          <w:bottom w:w="0" w:type="dxa"/>
          <w:right w:w="70" w:type="dxa"/>
        </w:tblCellMar>
      </w:tblPr>
      <w:tblGrid>
        <w:gridCol w:w="5940"/>
        <w:gridCol w:w="1289"/>
        <w:gridCol w:w="1551"/>
        <w:gridCol w:w="819"/>
      </w:tblGrid>
      <w:tr>
        <w:trPr>
          <w:trHeight w:val="405" w:hRule="atLeast"/>
        </w:trPr>
        <w:tc>
          <w:tcPr>
            <w:tcW w:w="5940" w:type="dxa"/>
            <w:tcBorders>
              <w:top w:val="single" w:sz="4" w:space="0" w:color="000000"/>
              <w:left w:val="single" w:sz="4" w:space="0" w:color="000000"/>
              <w:bottom w:val="single" w:sz="4" w:space="0" w:color="000000"/>
            </w:tcBorders>
            <w:shd w:fill="166B7F" w:val="clear"/>
            <w:vAlign w:val="bottom"/>
          </w:tcPr>
          <w:p>
            <w:pPr>
              <w:pStyle w:val="Normal"/>
              <w:rPr>
                <w:b/>
                <w:bCs/>
                <w:color w:val="FFFFFF"/>
                <w:sz w:val="22"/>
                <w:szCs w:val="22"/>
              </w:rPr>
            </w:pPr>
            <w:r>
              <w:rPr>
                <w:b/>
                <w:bCs/>
                <w:color w:val="FFFFFF"/>
                <w:sz w:val="22"/>
                <w:szCs w:val="22"/>
              </w:rPr>
              <w:t>EVALUATION DU COÛT DE  PROJET (FCFA)</w:t>
            </w:r>
          </w:p>
        </w:tc>
        <w:tc>
          <w:tcPr>
            <w:tcW w:w="2840" w:type="dxa"/>
            <w:gridSpan w:val="2"/>
            <w:tcBorders>
              <w:top w:val="single" w:sz="4" w:space="0" w:color="000000"/>
              <w:left w:val="single" w:sz="4" w:space="0" w:color="000000"/>
              <w:bottom w:val="single" w:sz="4" w:space="0" w:color="000000"/>
              <w:right w:val="single" w:sz="4" w:space="0" w:color="000000"/>
            </w:tcBorders>
            <w:shd w:fill="166B7F" w:val="clear"/>
            <w:vAlign w:val="bottom"/>
          </w:tcPr>
          <w:p>
            <w:pPr>
              <w:pStyle w:val="Normal"/>
              <w:jc w:val="center"/>
              <w:rPr>
                <w:b/>
                <w:bCs/>
                <w:color w:val="FFFFFF"/>
                <w:sz w:val="22"/>
                <w:szCs w:val="22"/>
              </w:rPr>
            </w:pPr>
            <w:r>
              <w:rPr>
                <w:b/>
                <w:bCs/>
                <w:color w:val="FFFFFF"/>
                <w:sz w:val="22"/>
                <w:szCs w:val="22"/>
              </w:rPr>
              <w:t>Montant FCFA</w:t>
            </w:r>
          </w:p>
        </w:tc>
        <w:tc>
          <w:tcPr>
            <w:tcW w:w="819" w:type="dxa"/>
            <w:tcBorders>
              <w:top w:val="single" w:sz="4" w:space="0" w:color="000000"/>
              <w:right w:val="single" w:sz="4" w:space="0" w:color="000000"/>
            </w:tcBorders>
            <w:shd w:fill="166B7F" w:val="clear"/>
            <w:vAlign w:val="bottom"/>
          </w:tcPr>
          <w:p>
            <w:pPr>
              <w:pStyle w:val="Normal"/>
              <w:jc w:val="center"/>
              <w:rPr>
                <w:b/>
                <w:bCs/>
                <w:color w:val="FFFFFF"/>
                <w:sz w:val="22"/>
                <w:szCs w:val="22"/>
              </w:rPr>
            </w:pPr>
            <w:r>
              <w:rPr>
                <w:b/>
                <w:bCs/>
                <w:color w:val="FFFFFF"/>
                <w:sz w:val="22"/>
                <w:szCs w:val="22"/>
              </w:rPr>
              <w:t>%</w:t>
            </w:r>
          </w:p>
        </w:tc>
      </w:tr>
      <w:tr>
        <w:trPr>
          <w:trHeight w:val="300" w:hRule="atLeast"/>
        </w:trPr>
        <w:tc>
          <w:tcPr>
            <w:tcW w:w="5940" w:type="dxa"/>
            <w:tcBorders>
              <w:left w:val="single" w:sz="4" w:space="0" w:color="000000"/>
            </w:tcBorders>
            <w:vAlign w:val="bottom"/>
          </w:tcPr>
          <w:p>
            <w:pPr>
              <w:pStyle w:val="Normal"/>
              <w:rPr>
                <w:color w:val="000000"/>
                <w:sz w:val="22"/>
                <w:szCs w:val="22"/>
              </w:rPr>
            </w:pPr>
            <w:r>
              <w:rPr/>
            </w:r>
          </w:p>
        </w:tc>
        <w:tc>
          <w:tcPr>
            <w:tcW w:w="1289" w:type="dxa"/>
            <w:tcBorders/>
            <w:vAlign w:val="center"/>
          </w:tcPr>
          <w:p>
            <w:pPr>
              <w:pStyle w:val="Normal"/>
              <w:snapToGrid w:val="false"/>
              <w:jc w:val="center"/>
              <w:rPr>
                <w:color w:val="000000"/>
                <w:sz w:val="22"/>
                <w:szCs w:val="22"/>
              </w:rPr>
            </w:pPr>
            <w:r>
              <w:rPr>
                <w:color w:val="000000"/>
                <w:sz w:val="22"/>
                <w:szCs w:val="22"/>
              </w:rPr>
            </w:r>
          </w:p>
        </w:tc>
        <w:tc>
          <w:tcPr>
            <w:tcW w:w="1551" w:type="dxa"/>
            <w:tcBorders/>
            <w:vAlign w:val="center"/>
          </w:tcPr>
          <w:p>
            <w:pPr>
              <w:pStyle w:val="Normal"/>
              <w:snapToGrid w:val="false"/>
              <w:jc w:val="center"/>
              <w:rPr>
                <w:color w:val="000000"/>
                <w:sz w:val="22"/>
                <w:szCs w:val="22"/>
              </w:rPr>
            </w:pPr>
            <w:r>
              <w:rPr>
                <w:color w:val="000000"/>
                <w:sz w:val="22"/>
                <w:szCs w:val="22"/>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1. Frais d'établissement</w:t>
            </w:r>
          </w:p>
        </w:tc>
        <w:tc>
          <w:tcPr>
            <w:tcW w:w="128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r>
          </w:p>
        </w:tc>
        <w:tc>
          <w:tcPr>
            <w:tcW w:w="1551"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15 000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0,3%</w:t>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Frais de constitution</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15 000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2. Frais d'investissement</w:t>
            </w:r>
          </w:p>
        </w:tc>
        <w:tc>
          <w:tcPr>
            <w:tcW w:w="1289"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r>
          </w:p>
        </w:tc>
        <w:tc>
          <w:tcPr>
            <w:tcW w:w="1551"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3 670 000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73,4%</w:t>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2.1 Constructions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2.2 Agencement-Aménagement-Installations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3 105 000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Aménagement préparatoire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45 000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pPr>
            <w:r>
              <w:rPr>
                <w:color w:val="000000"/>
                <w:sz w:val="22"/>
                <w:szCs w:val="22"/>
              </w:rPr>
              <w:t>Formation des billons</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60 000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Système goutte-à-goutte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500 000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Pompe solaire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1 200 000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Panneaux solaires</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800 000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Tuyaux, vannes, pulvérisateur</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500 000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2.3 Mobiliers et matériels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80 000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Balance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20 000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Petit matériel divers (1 lot)</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60 000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2.4 Equipements de production</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485 000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Paillage en plastique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200 000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Pulvérisateurs</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50 000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Brouettes + Houes</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40 000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P 17 (2000 m)</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150 000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Outils divers (dabas, pioches, pelles)</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45 000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3. Besoin en fonds de roulement</w:t>
            </w:r>
          </w:p>
        </w:tc>
        <w:tc>
          <w:tcPr>
            <w:tcW w:w="1289"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r>
          </w:p>
        </w:tc>
        <w:tc>
          <w:tcPr>
            <w:tcW w:w="1551"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1 315 000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26,3%</w:t>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Achats de matières premières (3 mois)</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295 000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Sécurité de caisse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1 020 000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447" w:hRule="atLeast"/>
        </w:trPr>
        <w:tc>
          <w:tcPr>
            <w:tcW w:w="7229" w:type="dxa"/>
            <w:gridSpan w:val="2"/>
            <w:tcBorders>
              <w:top w:val="single" w:sz="4" w:space="0" w:color="000000"/>
              <w:left w:val="single" w:sz="4" w:space="0" w:color="000000"/>
              <w:bottom w:val="single" w:sz="4" w:space="0" w:color="000000"/>
              <w:right w:val="single" w:sz="4" w:space="0" w:color="000000"/>
            </w:tcBorders>
            <w:shd w:fill="CCFFFF" w:val="clear"/>
            <w:vAlign w:val="center"/>
          </w:tcPr>
          <w:p>
            <w:pPr>
              <w:pStyle w:val="Normal"/>
              <w:jc w:val="center"/>
              <w:rPr>
                <w:b/>
                <w:bCs/>
                <w:color w:val="000000"/>
                <w:sz w:val="22"/>
                <w:szCs w:val="22"/>
              </w:rPr>
            </w:pPr>
            <w:r>
              <w:rPr>
                <w:b/>
                <w:bCs/>
                <w:color w:val="000000"/>
                <w:sz w:val="22"/>
                <w:szCs w:val="22"/>
              </w:rPr>
              <w:t>COÛT TOTAL DU PROJET</w:t>
            </w:r>
          </w:p>
        </w:tc>
        <w:tc>
          <w:tcPr>
            <w:tcW w:w="1551" w:type="dxa"/>
            <w:tcBorders>
              <w:bottom w:val="single" w:sz="4" w:space="0" w:color="000000"/>
              <w:right w:val="single" w:sz="4" w:space="0" w:color="000000"/>
            </w:tcBorders>
            <w:shd w:fill="CCFFFF" w:val="clear"/>
            <w:vAlign w:val="center"/>
          </w:tcPr>
          <w:p>
            <w:pPr>
              <w:pStyle w:val="Normal"/>
              <w:jc w:val="right"/>
              <w:rPr>
                <w:b/>
                <w:bCs/>
                <w:color w:val="000000"/>
                <w:sz w:val="22"/>
                <w:szCs w:val="22"/>
              </w:rPr>
            </w:pPr>
            <w:r>
              <w:rPr>
                <w:b/>
                <w:bCs/>
                <w:color w:val="000000"/>
                <w:sz w:val="22"/>
                <w:szCs w:val="22"/>
              </w:rPr>
              <w:t>5 000 000</w:t>
            </w:r>
          </w:p>
        </w:tc>
        <w:tc>
          <w:tcPr>
            <w:tcW w:w="819" w:type="dxa"/>
            <w:tcBorders>
              <w:bottom w:val="single" w:sz="4" w:space="0" w:color="000000"/>
              <w:right w:val="single" w:sz="4" w:space="0" w:color="000000"/>
            </w:tcBorders>
            <w:shd w:fill="CCFFFF" w:val="clear"/>
            <w:vAlign w:val="center"/>
          </w:tcPr>
          <w:p>
            <w:pPr>
              <w:pStyle w:val="Normal"/>
              <w:rPr>
                <w:b/>
                <w:bCs/>
                <w:color w:val="000000"/>
                <w:sz w:val="22"/>
                <w:szCs w:val="22"/>
              </w:rPr>
            </w:pPr>
            <w:r>
              <w:rPr/>
            </w:r>
          </w:p>
        </w:tc>
      </w:tr>
    </w:tbl>
    <w:p>
      <w:pPr>
        <w:pStyle w:val="Normal"/>
        <w:spacing w:before="120" w:after="120"/>
        <w:jc w:val="both"/>
        <w:rPr>
          <w:iCs/>
          <w:sz w:val="22"/>
          <w:szCs w:val="22"/>
        </w:rPr>
      </w:pPr>
      <w:r>
        <w:rPr>
          <w:iCs/>
          <w:sz w:val="22"/>
          <w:szCs w:val="22"/>
        </w:rPr>
      </w:r>
    </w:p>
    <w:p>
      <w:pPr>
        <w:pStyle w:val="Normal"/>
        <w:spacing w:before="120" w:after="120"/>
        <w:rPr>
          <w:iCs/>
          <w:sz w:val="22"/>
          <w:szCs w:val="22"/>
        </w:rPr>
      </w:pPr>
      <w:r>
        <w:rPr>
          <w:iCs/>
          <w:sz w:val="22"/>
          <w:szCs w:val="22"/>
        </w:rPr>
      </w:r>
    </w:p>
    <w:p>
      <w:pPr>
        <w:pStyle w:val="Normal"/>
        <w:spacing w:before="120" w:after="120"/>
        <w:rPr>
          <w:iCs/>
          <w:sz w:val="22"/>
          <w:szCs w:val="22"/>
        </w:rPr>
      </w:pPr>
      <w:r>
        <w:rPr>
          <w:iCs/>
          <w:sz w:val="22"/>
          <w:szCs w:val="22"/>
        </w:rPr>
      </w:r>
    </w:p>
    <w:p>
      <w:pPr>
        <w:pStyle w:val="Normal"/>
        <w:spacing w:before="120" w:after="120"/>
        <w:rPr>
          <w:iCs/>
          <w:sz w:val="22"/>
          <w:szCs w:val="22"/>
        </w:rPr>
      </w:pPr>
      <w:r>
        <w:rPr>
          <w:iCs/>
          <w:sz w:val="22"/>
          <w:szCs w:val="22"/>
        </w:rPr>
      </w:r>
    </w:p>
    <w:p>
      <w:pPr>
        <w:pStyle w:val="Heading2"/>
        <w:keepLines/>
        <w:numPr>
          <w:ilvl w:val="1"/>
          <w:numId w:val="4"/>
        </w:numPr>
        <w:spacing w:before="120" w:after="120"/>
        <w:ind w:hanging="491" w:left="851" w:right="0"/>
        <w:jc w:val="both"/>
        <w:rPr>
          <w:rFonts w:ascii="Times New Roman" w:hAnsi="Times New Roman" w:cs="Times New Roman"/>
          <w:i w:val="false"/>
          <w:i w:val="false"/>
          <w:iCs w:val="false"/>
          <w:lang w:val="fr-CI"/>
        </w:rPr>
      </w:pPr>
      <w:bookmarkStart w:id="23" w:name="__RefHeading___Toc234831722"/>
      <w:bookmarkEnd w:id="23"/>
      <w:r>
        <w:rPr>
          <w:rFonts w:cs="Times New Roman" w:ascii="Times New Roman" w:hAnsi="Times New Roman"/>
          <w:i w:val="false"/>
          <w:iCs w:val="false"/>
          <w:lang w:val="fr-CI"/>
        </w:rPr>
        <w:t>Plan de financement</w:t>
      </w:r>
    </w:p>
    <w:p>
      <w:pPr>
        <w:pStyle w:val="Normal"/>
        <w:spacing w:before="120" w:after="120"/>
        <w:jc w:val="both"/>
        <w:rPr>
          <w:iCs/>
          <w:sz w:val="22"/>
          <w:szCs w:val="22"/>
        </w:rPr>
      </w:pPr>
      <w:r>
        <w:rPr>
          <w:iCs/>
          <w:sz w:val="22"/>
          <w:szCs w:val="22"/>
        </w:rPr>
        <w:t xml:space="preserve">Le plan de financement montre que sur un coût total du projet de </w:t>
      </w:r>
      <w:r>
        <w:rPr>
          <w:b/>
          <w:bCs/>
          <w:iCs/>
          <w:color w:val="000000"/>
          <w:sz w:val="22"/>
          <w:szCs w:val="22"/>
          <w:lang w:eastAsia="fr-CA"/>
        </w:rPr>
        <w:t>5 000 000</w:t>
      </w:r>
      <w:r>
        <w:rPr>
          <w:iCs/>
          <w:sz w:val="22"/>
          <w:szCs w:val="22"/>
        </w:rPr>
        <w:t xml:space="preserve"> FCFA, le promoteur s’engage à contribuer à hauteur de 10% de ce montant, soit </w:t>
      </w:r>
      <w:r>
        <w:rPr>
          <w:rFonts w:cs="Calibri" w:ascii="Cambria" w:hAnsi="Cambria"/>
          <w:b/>
          <w:iCs/>
          <w:color w:val="000000"/>
          <w:sz w:val="22"/>
          <w:szCs w:val="22"/>
        </w:rPr>
        <w:t>500 000</w:t>
      </w:r>
      <w:r>
        <w:rPr>
          <w:rFonts w:cs="Calibri" w:ascii="Cambria" w:hAnsi="Cambria"/>
          <w:iCs/>
          <w:color w:val="000000"/>
          <w:sz w:val="22"/>
          <w:szCs w:val="22"/>
        </w:rPr>
        <w:t xml:space="preserve"> </w:t>
      </w:r>
      <w:r>
        <w:rPr>
          <w:iCs/>
          <w:sz w:val="22"/>
          <w:szCs w:val="22"/>
        </w:rPr>
        <w:t>FCFA, le crédit sollicité (90 %) s’élevant à 4 500 000 FCFA.</w:t>
      </w:r>
    </w:p>
    <w:tbl>
      <w:tblPr>
        <w:tblW w:w="8580" w:type="dxa"/>
        <w:jc w:val="left"/>
        <w:tblInd w:w="65" w:type="dxa"/>
        <w:tblLayout w:type="fixed"/>
        <w:tblCellMar>
          <w:top w:w="0" w:type="dxa"/>
          <w:left w:w="70" w:type="dxa"/>
          <w:bottom w:w="0" w:type="dxa"/>
          <w:right w:w="70" w:type="dxa"/>
        </w:tblCellMar>
      </w:tblPr>
      <w:tblGrid>
        <w:gridCol w:w="5860"/>
        <w:gridCol w:w="1199"/>
        <w:gridCol w:w="1521"/>
      </w:tblGrid>
      <w:tr>
        <w:trPr>
          <w:trHeight w:val="420" w:hRule="atLeast"/>
        </w:trPr>
        <w:tc>
          <w:tcPr>
            <w:tcW w:w="5860" w:type="dxa"/>
            <w:tcBorders>
              <w:top w:val="single" w:sz="4" w:space="0" w:color="000000"/>
              <w:left w:val="single" w:sz="4" w:space="0" w:color="000000"/>
              <w:bottom w:val="single" w:sz="4" w:space="0" w:color="000000"/>
              <w:right w:val="single" w:sz="4" w:space="0" w:color="000000"/>
            </w:tcBorders>
            <w:shd w:fill="166B7F" w:val="clear"/>
            <w:vAlign w:val="bottom"/>
          </w:tcPr>
          <w:p>
            <w:pPr>
              <w:pStyle w:val="Normal"/>
              <w:rPr>
                <w:b/>
                <w:bCs/>
                <w:color w:val="FFFFFF"/>
                <w:sz w:val="22"/>
                <w:szCs w:val="22"/>
              </w:rPr>
            </w:pPr>
            <w:r>
              <w:rPr>
                <w:b/>
                <w:bCs/>
                <w:color w:val="FFFFFF"/>
                <w:sz w:val="22"/>
                <w:szCs w:val="22"/>
              </w:rPr>
              <w:t>PLAN DE FINANCEMENT</w:t>
            </w:r>
          </w:p>
        </w:tc>
        <w:tc>
          <w:tcPr>
            <w:tcW w:w="1199" w:type="dxa"/>
            <w:tcBorders>
              <w:top w:val="single" w:sz="4" w:space="0" w:color="000000"/>
              <w:bottom w:val="single" w:sz="4" w:space="0" w:color="000000"/>
              <w:right w:val="single" w:sz="4" w:space="0" w:color="000000"/>
            </w:tcBorders>
            <w:shd w:fill="166B7F" w:val="clear"/>
            <w:vAlign w:val="bottom"/>
          </w:tcPr>
          <w:p>
            <w:pPr>
              <w:pStyle w:val="Normal"/>
              <w:rPr>
                <w:b/>
                <w:bCs/>
                <w:color w:val="FFFFFF"/>
                <w:sz w:val="22"/>
                <w:szCs w:val="22"/>
              </w:rPr>
            </w:pPr>
            <w:r>
              <w:rPr/>
            </w:r>
          </w:p>
        </w:tc>
        <w:tc>
          <w:tcPr>
            <w:tcW w:w="1521" w:type="dxa"/>
            <w:tcBorders>
              <w:top w:val="single" w:sz="4" w:space="0" w:color="000000"/>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r>
      <w:tr>
        <w:trPr>
          <w:trHeight w:val="360" w:hRule="atLeast"/>
        </w:trPr>
        <w:tc>
          <w:tcPr>
            <w:tcW w:w="5860"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1. Le coût total de projet</w:t>
            </w:r>
          </w:p>
        </w:tc>
        <w:tc>
          <w:tcPr>
            <w:tcW w:w="1199" w:type="dxa"/>
            <w:tcBorders>
              <w:top w:val="single" w:sz="8"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bCs/>
                <w:i/>
                <w:iCs/>
                <w:color w:val="FFFFFF"/>
                <w:sz w:val="22"/>
                <w:szCs w:val="22"/>
              </w:rPr>
              <w:t>100%</w:t>
            </w:r>
          </w:p>
        </w:tc>
        <w:tc>
          <w:tcPr>
            <w:tcW w:w="1521" w:type="dxa"/>
            <w:tcBorders>
              <w:top w:val="single" w:sz="8" w:space="0" w:color="000000"/>
              <w:bottom w:val="single" w:sz="4" w:space="0" w:color="000000"/>
              <w:right w:val="single" w:sz="8" w:space="0" w:color="000000"/>
            </w:tcBorders>
            <w:shd w:fill="7F1F1F" w:val="clear"/>
            <w:vAlign w:val="center"/>
          </w:tcPr>
          <w:p>
            <w:pPr>
              <w:pStyle w:val="Normal"/>
              <w:jc w:val="center"/>
              <w:rPr>
                <w:b/>
                <w:bCs/>
                <w:i/>
                <w:i/>
                <w:iCs/>
                <w:color w:val="FFFFFF"/>
                <w:sz w:val="22"/>
                <w:szCs w:val="22"/>
              </w:rPr>
            </w:pPr>
            <w:r>
              <w:rPr>
                <w:b/>
                <w:bCs/>
                <w:i/>
                <w:iCs/>
                <w:color w:val="FFFFFF"/>
                <w:sz w:val="22"/>
                <w:szCs w:val="22"/>
              </w:rPr>
              <w:t>5 000 000</w:t>
            </w:r>
          </w:p>
        </w:tc>
      </w:tr>
      <w:tr>
        <w:trPr>
          <w:trHeight w:val="360" w:hRule="atLeast"/>
        </w:trPr>
        <w:tc>
          <w:tcPr>
            <w:tcW w:w="5860" w:type="dxa"/>
            <w:tcBorders>
              <w:top w:val="single" w:sz="4" w:space="0" w:color="000000"/>
              <w:left w:val="single" w:sz="8"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2. Le financement de projet</w:t>
            </w:r>
          </w:p>
        </w:tc>
        <w:tc>
          <w:tcPr>
            <w:tcW w:w="1199" w:type="dxa"/>
            <w:tcBorders>
              <w:top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r>
          </w:p>
        </w:tc>
        <w:tc>
          <w:tcPr>
            <w:tcW w:w="1521" w:type="dxa"/>
            <w:tcBorders>
              <w:top w:val="single" w:sz="4" w:space="0" w:color="000000"/>
              <w:bottom w:val="single" w:sz="4" w:space="0" w:color="000000"/>
              <w:right w:val="single" w:sz="8" w:space="0" w:color="000000"/>
            </w:tcBorders>
            <w:shd w:fill="7F1F1F" w:val="clear"/>
            <w:vAlign w:val="center"/>
          </w:tcPr>
          <w:p>
            <w:pPr>
              <w:pStyle w:val="Normal"/>
              <w:jc w:val="center"/>
              <w:rPr>
                <w:b/>
                <w:bCs/>
                <w:i/>
                <w:i/>
                <w:iCs/>
                <w:color w:val="FFFFFF"/>
                <w:sz w:val="22"/>
                <w:szCs w:val="22"/>
              </w:rPr>
            </w:pPr>
            <w:r>
              <w:rPr/>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2.1 L'apport personnel</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10%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sz w:val="22"/>
                <w:szCs w:val="22"/>
              </w:rPr>
            </w:pPr>
            <w:r>
              <w:rPr>
                <w:b/>
                <w:bCs/>
                <w:i/>
                <w:iCs/>
                <w:color w:val="FFFFFF"/>
                <w:sz w:val="22"/>
                <w:szCs w:val="22"/>
              </w:rPr>
              <w:t>500 000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Apport en numéraire</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500 000</w:t>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2.2 La contribution (Primes) du FACEJ</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sz w:val="22"/>
                <w:szCs w:val="22"/>
              </w:rPr>
            </w:pPr>
            <w:r>
              <w:rPr>
                <w:b/>
                <w:bCs/>
                <w:i/>
                <w:iCs/>
                <w:color w:val="FFFFFF"/>
                <w:sz w:val="22"/>
                <w:szCs w:val="22"/>
              </w:rPr>
              <w:t>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Subvention « création emploi »</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Subvention « innovants»</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Subvention (Projets verts et Verdissement)</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2.3 Le crédit sollicité</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90%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sz w:val="22"/>
                <w:szCs w:val="22"/>
              </w:rPr>
            </w:pPr>
            <w:r>
              <w:rPr>
                <w:b/>
                <w:bCs/>
                <w:i/>
                <w:iCs/>
                <w:color w:val="FFFFFF"/>
                <w:sz w:val="22"/>
                <w:szCs w:val="22"/>
              </w:rPr>
              <w:t>4 500 000</w:t>
            </w:r>
          </w:p>
        </w:tc>
      </w:tr>
      <w:tr>
        <w:trPr>
          <w:trHeight w:val="300" w:hRule="atLeast"/>
        </w:trPr>
        <w:tc>
          <w:tcPr>
            <w:tcW w:w="5860" w:type="dxa"/>
            <w:tcBorders>
              <w:left w:val="single" w:sz="8" w:space="0" w:color="000000"/>
              <w:bottom w:val="single" w:sz="8" w:space="0" w:color="000000"/>
              <w:right w:val="single" w:sz="4" w:space="0" w:color="000000"/>
            </w:tcBorders>
            <w:vAlign w:val="bottom"/>
          </w:tcPr>
          <w:p>
            <w:pPr>
              <w:pStyle w:val="Normal"/>
              <w:rPr>
                <w:color w:val="000000"/>
                <w:sz w:val="22"/>
                <w:szCs w:val="22"/>
              </w:rPr>
            </w:pPr>
            <w:r>
              <w:rPr>
                <w:color w:val="000000"/>
                <w:sz w:val="22"/>
                <w:szCs w:val="22"/>
              </w:rPr>
              <w:t>Financement</w:t>
            </w:r>
          </w:p>
        </w:tc>
        <w:tc>
          <w:tcPr>
            <w:tcW w:w="1199" w:type="dxa"/>
            <w:tcBorders>
              <w:bottom w:val="single" w:sz="8" w:space="0" w:color="000000"/>
              <w:right w:val="single" w:sz="4" w:space="0" w:color="000000"/>
            </w:tcBorders>
            <w:vAlign w:val="center"/>
          </w:tcPr>
          <w:p>
            <w:pPr>
              <w:pStyle w:val="Normal"/>
              <w:jc w:val="center"/>
              <w:rPr>
                <w:color w:val="000000"/>
                <w:sz w:val="22"/>
                <w:szCs w:val="22"/>
              </w:rPr>
            </w:pPr>
            <w:r>
              <w:rPr>
                <w:color w:val="000000"/>
                <w:sz w:val="22"/>
                <w:szCs w:val="22"/>
              </w:rPr>
              <w:t>90%</w:t>
            </w:r>
          </w:p>
        </w:tc>
        <w:tc>
          <w:tcPr>
            <w:tcW w:w="1521" w:type="dxa"/>
            <w:tcBorders>
              <w:bottom w:val="single" w:sz="8" w:space="0" w:color="000000"/>
              <w:right w:val="single" w:sz="8" w:space="0" w:color="000000"/>
            </w:tcBorders>
            <w:shd w:fill="E2EFD9" w:val="clear"/>
            <w:vAlign w:val="center"/>
          </w:tcPr>
          <w:p>
            <w:pPr>
              <w:pStyle w:val="Normal"/>
              <w:jc w:val="center"/>
              <w:rPr>
                <w:b/>
                <w:bCs/>
                <w:color w:val="000000"/>
                <w:sz w:val="22"/>
                <w:szCs w:val="22"/>
              </w:rPr>
            </w:pPr>
            <w:r>
              <w:rPr>
                <w:b/>
                <w:bCs/>
                <w:color w:val="000000"/>
                <w:sz w:val="22"/>
                <w:szCs w:val="22"/>
              </w:rPr>
              <w:t>4 500 000</w:t>
            </w:r>
          </w:p>
        </w:tc>
      </w:tr>
      <w:tr>
        <w:trPr>
          <w:trHeight w:val="285" w:hRule="atLeast"/>
        </w:trPr>
        <w:tc>
          <w:tcPr>
            <w:tcW w:w="5860" w:type="dxa"/>
            <w:tcBorders>
              <w:left w:val="single" w:sz="8" w:space="0" w:color="000000"/>
              <w:bottom w:val="single" w:sz="4" w:space="0" w:color="000000"/>
              <w:right w:val="single" w:sz="4" w:space="0" w:color="000000"/>
            </w:tcBorders>
            <w:shd w:fill="D63431" w:val="clear"/>
            <w:vAlign w:val="center"/>
          </w:tcPr>
          <w:p>
            <w:pPr>
              <w:pStyle w:val="Normal"/>
              <w:rPr>
                <w:b/>
                <w:bCs/>
                <w:i/>
                <w:i/>
                <w:iCs/>
                <w:color w:val="FFFFFF"/>
                <w:sz w:val="22"/>
                <w:szCs w:val="22"/>
              </w:rPr>
            </w:pPr>
            <w:r>
              <w:rPr>
                <w:b/>
                <w:bCs/>
                <w:i/>
                <w:iCs/>
                <w:color w:val="FFFFFF"/>
                <w:sz w:val="22"/>
                <w:szCs w:val="22"/>
              </w:rPr>
              <w:t>Conditions de financement des IFS</w:t>
            </w:r>
          </w:p>
        </w:tc>
        <w:tc>
          <w:tcPr>
            <w:tcW w:w="1199" w:type="dxa"/>
            <w:tcBorders>
              <w:bottom w:val="single" w:sz="4" w:space="0" w:color="000000"/>
              <w:right w:val="single" w:sz="4" w:space="0" w:color="000000"/>
            </w:tcBorders>
            <w:shd w:fill="D63431" w:val="clear"/>
            <w:vAlign w:val="bottom"/>
          </w:tcPr>
          <w:p>
            <w:pPr>
              <w:pStyle w:val="Normal"/>
              <w:rPr>
                <w:b/>
                <w:bCs/>
                <w:i/>
                <w:i/>
                <w:iCs/>
                <w:color w:val="FFFFFF"/>
                <w:sz w:val="22"/>
                <w:szCs w:val="22"/>
              </w:rPr>
            </w:pPr>
            <w:r>
              <w:rPr/>
            </w:r>
          </w:p>
        </w:tc>
        <w:tc>
          <w:tcPr>
            <w:tcW w:w="1521" w:type="dxa"/>
            <w:tcBorders>
              <w:bottom w:val="single" w:sz="4" w:space="0" w:color="000000"/>
              <w:right w:val="single" w:sz="8" w:space="0" w:color="000000"/>
            </w:tcBorders>
            <w:shd w:fill="D63431" w:val="clear"/>
            <w:vAlign w:val="bottom"/>
          </w:tcPr>
          <w:p>
            <w:pPr>
              <w:pStyle w:val="Normal"/>
              <w:rPr>
                <w:b/>
                <w:bCs/>
                <w:i/>
                <w:i/>
                <w:iCs/>
                <w:color w:val="FFFFFF"/>
                <w:sz w:val="22"/>
                <w:szCs w:val="22"/>
              </w:rPr>
            </w:pPr>
            <w:r>
              <w:rPr/>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Durée du prêt</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36</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Mois</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Taux d'intérêt</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8%</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An</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Différé</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3</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mois</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Échéance de paiement</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33</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échéances</w:t>
            </w:r>
          </w:p>
        </w:tc>
      </w:tr>
      <w:tr>
        <w:trPr>
          <w:trHeight w:val="300" w:hRule="atLeast"/>
        </w:trPr>
        <w:tc>
          <w:tcPr>
            <w:tcW w:w="5860" w:type="dxa"/>
            <w:tcBorders>
              <w:left w:val="single" w:sz="8" w:space="0" w:color="000000"/>
              <w:bottom w:val="single" w:sz="8" w:space="0" w:color="000000"/>
              <w:right w:val="single" w:sz="4" w:space="0" w:color="000000"/>
            </w:tcBorders>
            <w:shd w:fill="FFFFFF" w:val="clear"/>
            <w:vAlign w:val="center"/>
          </w:tcPr>
          <w:p>
            <w:pPr>
              <w:pStyle w:val="Normal"/>
              <w:rPr>
                <w:color w:val="000000"/>
                <w:sz w:val="22"/>
                <w:szCs w:val="22"/>
              </w:rPr>
            </w:pPr>
            <w:r>
              <w:rPr>
                <w:color w:val="000000"/>
                <w:sz w:val="22"/>
                <w:szCs w:val="22"/>
              </w:rPr>
              <w:t>TAF</w:t>
            </w:r>
          </w:p>
        </w:tc>
        <w:tc>
          <w:tcPr>
            <w:tcW w:w="1199" w:type="dxa"/>
            <w:tcBorders>
              <w:bottom w:val="single" w:sz="8"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17%</w:t>
            </w:r>
          </w:p>
        </w:tc>
        <w:tc>
          <w:tcPr>
            <w:tcW w:w="1521" w:type="dxa"/>
            <w:tcBorders>
              <w:bottom w:val="single" w:sz="8" w:space="0" w:color="000000"/>
              <w:right w:val="single" w:sz="8" w:space="0" w:color="000000"/>
            </w:tcBorders>
            <w:shd w:fill="FFFFFF" w:val="clear"/>
            <w:vAlign w:val="center"/>
          </w:tcPr>
          <w:p>
            <w:pPr>
              <w:pStyle w:val="Normal"/>
              <w:jc w:val="center"/>
              <w:rPr>
                <w:color w:val="000000"/>
                <w:sz w:val="22"/>
                <w:szCs w:val="22"/>
              </w:rPr>
            </w:pPr>
            <w:r>
              <w:rPr/>
            </w:r>
          </w:p>
        </w:tc>
      </w:tr>
    </w:tbl>
    <w:p>
      <w:pPr>
        <w:pStyle w:val="Normal"/>
        <w:jc w:val="center"/>
        <w:rPr/>
      </w:pPr>
      <w:r>
        <w:rPr/>
        <w:drawing>
          <wp:inline distT="0" distB="0" distL="0" distR="0">
            <wp:extent cx="5400040" cy="200533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2"/>
                    <a:stretch>
                      <a:fillRect/>
                    </a:stretch>
                  </pic:blipFill>
                  <pic:spPr bwMode="auto">
                    <a:xfrm>
                      <a:off x="0" y="0"/>
                      <a:ext cx="5400040" cy="2005330"/>
                    </a:xfrm>
                    <a:prstGeom prst="rect">
                      <a:avLst/>
                    </a:prstGeom>
                  </pic:spPr>
                </pic:pic>
              </a:graphicData>
            </a:graphic>
          </wp:inline>
        </w:drawing>
      </w:r>
    </w:p>
    <w:p>
      <w:pPr>
        <w:pStyle w:val="Normal"/>
        <w:jc w:val="center"/>
        <w:rPr/>
      </w:pPr>
      <w:r>
        <w:rPr>
          <w:i/>
          <w:sz w:val="18"/>
        </w:rPr>
        <w:t>Graphique 1 – Emplois et ressources du projet (millions de F CFA)</w:t>
      </w:r>
    </w:p>
    <w:p>
      <w:pPr>
        <w:pStyle w:val="Heading2"/>
        <w:keepLines/>
        <w:numPr>
          <w:ilvl w:val="1"/>
          <w:numId w:val="4"/>
        </w:numPr>
        <w:spacing w:before="120" w:after="120"/>
        <w:ind w:hanging="491" w:left="851" w:right="0"/>
        <w:jc w:val="both"/>
        <w:rPr>
          <w:rFonts w:ascii="Times New Roman" w:hAnsi="Times New Roman" w:cs="Times New Roman"/>
          <w:i w:val="false"/>
          <w:i w:val="false"/>
          <w:iCs w:val="false"/>
          <w:lang w:val="fr-CI"/>
        </w:rPr>
      </w:pPr>
      <w:bookmarkStart w:id="24" w:name="__RefHeading___Toc234831723"/>
      <w:bookmarkEnd w:id="24"/>
      <w:r>
        <w:rPr>
          <w:rFonts w:cs="Times New Roman" w:ascii="Times New Roman" w:hAnsi="Times New Roman"/>
          <w:i w:val="false"/>
          <w:iCs w:val="false"/>
          <w:lang w:val="fr-CI"/>
        </w:rPr>
        <w:t>Compte d'exploitation prévisionnel</w:t>
      </w:r>
    </w:p>
    <w:tbl>
      <w:tblPr>
        <w:tblW w:w="9928" w:type="dxa"/>
        <w:jc w:val="left"/>
        <w:tblInd w:w="65" w:type="dxa"/>
        <w:tblLayout w:type="fixed"/>
        <w:tblCellMar>
          <w:top w:w="0" w:type="dxa"/>
          <w:left w:w="70" w:type="dxa"/>
          <w:bottom w:w="0" w:type="dxa"/>
          <w:right w:w="70" w:type="dxa"/>
        </w:tblCellMar>
      </w:tblPr>
      <w:tblGrid>
        <w:gridCol w:w="3124"/>
        <w:gridCol w:w="1276"/>
        <w:gridCol w:w="1416"/>
        <w:gridCol w:w="1418"/>
        <w:gridCol w:w="1418"/>
        <w:gridCol w:w="284"/>
        <w:gridCol w:w="991"/>
      </w:tblGrid>
      <w:tr>
        <w:trPr>
          <w:trHeight w:val="405" w:hRule="atLeast"/>
        </w:trPr>
        <w:tc>
          <w:tcPr>
            <w:tcW w:w="7234" w:type="dxa"/>
            <w:gridSpan w:val="4"/>
            <w:tcBorders>
              <w:top w:val="single" w:sz="4" w:space="0" w:color="000000"/>
              <w:left w:val="single" w:sz="4" w:space="0" w:color="000000"/>
              <w:bottom w:val="single" w:sz="4" w:space="0" w:color="000000"/>
            </w:tcBorders>
            <w:shd w:fill="166B7F" w:val="clear"/>
            <w:vAlign w:val="bottom"/>
          </w:tcPr>
          <w:p>
            <w:pPr>
              <w:pStyle w:val="Normal"/>
              <w:jc w:val="center"/>
              <w:rPr>
                <w:b/>
                <w:bCs/>
                <w:sz w:val="22"/>
                <w:szCs w:val="22"/>
              </w:rPr>
            </w:pPr>
            <w:r>
              <w:rPr>
                <w:b/>
                <w:bCs/>
                <w:sz w:val="22"/>
                <w:szCs w:val="22"/>
              </w:rPr>
              <w:t>COMPTE D'EXPLOITATION PREVISIONNEL (FCFA)</w:t>
            </w:r>
          </w:p>
        </w:tc>
        <w:tc>
          <w:tcPr>
            <w:tcW w:w="1702" w:type="dxa"/>
            <w:gridSpan w:val="2"/>
            <w:tcBorders>
              <w:top w:val="single" w:sz="4" w:space="0" w:color="000000"/>
              <w:bottom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991"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r>
      <w:tr>
        <w:trPr>
          <w:trHeight w:val="360" w:hRule="atLeast"/>
        </w:trPr>
        <w:tc>
          <w:tcPr>
            <w:tcW w:w="3124"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jc w:val="center"/>
              <w:rPr>
                <w:b/>
                <w:bCs/>
                <w:i/>
                <w:i/>
                <w:iCs/>
                <w:color w:val="FFFFFF"/>
                <w:sz w:val="22"/>
                <w:szCs w:val="22"/>
              </w:rPr>
            </w:pPr>
            <w:r>
              <w:rPr>
                <w:b/>
                <w:bCs/>
                <w:i/>
                <w:iCs/>
                <w:color w:val="FFFFFF"/>
                <w:sz w:val="22"/>
                <w:szCs w:val="22"/>
              </w:rPr>
              <w:t>Désignations/Années</w:t>
            </w:r>
          </w:p>
        </w:tc>
        <w:tc>
          <w:tcPr>
            <w:tcW w:w="127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AN1</w:t>
            </w:r>
          </w:p>
        </w:tc>
        <w:tc>
          <w:tcPr>
            <w:tcW w:w="141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AN2</w:t>
            </w:r>
          </w:p>
        </w:tc>
        <w:tc>
          <w:tcPr>
            <w:tcW w:w="1418"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AN3</w:t>
            </w:r>
          </w:p>
        </w:tc>
        <w:tc>
          <w:tcPr>
            <w:tcW w:w="1418"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AN4</w:t>
            </w:r>
          </w:p>
        </w:tc>
        <w:tc>
          <w:tcPr>
            <w:tcW w:w="1275" w:type="dxa"/>
            <w:gridSpan w:val="2"/>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AN5</w:t>
            </w:r>
          </w:p>
        </w:tc>
      </w:tr>
      <w:tr>
        <w:trPr>
          <w:trHeight w:val="315" w:hRule="atLeast"/>
        </w:trPr>
        <w:tc>
          <w:tcPr>
            <w:tcW w:w="3124"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1. Recettes prévisionnelles</w:t>
            </w:r>
          </w:p>
        </w:tc>
        <w:tc>
          <w:tcPr>
            <w:tcW w:w="127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275" w:type="dxa"/>
            <w:gridSpan w:val="2"/>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Total recettes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6 000 000</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6 120 000</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6 242 400</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6 367 248</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6 494 593</w:t>
            </w:r>
          </w:p>
        </w:tc>
      </w:tr>
      <w:tr>
        <w:trPr>
          <w:trHeight w:val="315" w:hRule="atLeast"/>
        </w:trPr>
        <w:tc>
          <w:tcPr>
            <w:tcW w:w="3124"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2. Charges d'exploitation</w:t>
            </w:r>
          </w:p>
        </w:tc>
        <w:tc>
          <w:tcPr>
            <w:tcW w:w="127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275" w:type="dxa"/>
            <w:gridSpan w:val="2"/>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Achats (matières premières et autres achats)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1 180 000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1 250 800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1 350 864</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1 458 933</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1 575 648</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Charges de Personnel</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2 100 000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2 205 000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2 205 000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2 205 000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2 205 000</w:t>
            </w:r>
          </w:p>
        </w:tc>
      </w:tr>
      <w:tr>
        <w:trPr>
          <w:trHeight w:val="570"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Travaux-Fournitures et Services Extérieurs (TFSE)</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250 000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262 500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262 500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262 500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262 500</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Autres charges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Frais financiers  et charges assimilées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382 909</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236 127</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82 964</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Dotations aux amortissements</w:t>
            </w:r>
          </w:p>
        </w:tc>
        <w:tc>
          <w:tcPr>
            <w:tcW w:w="1276" w:type="dxa"/>
            <w:tcBorders>
              <w:bottom w:val="single" w:sz="4" w:space="0" w:color="000000"/>
              <w:right w:val="single" w:sz="4" w:space="0" w:color="000000"/>
            </w:tcBorders>
            <w:vAlign w:val="bottom"/>
          </w:tcPr>
          <w:p>
            <w:pPr>
              <w:pStyle w:val="Normal"/>
              <w:jc w:val="center"/>
              <w:rPr>
                <w:sz w:val="22"/>
                <w:szCs w:val="22"/>
              </w:rPr>
            </w:pPr>
            <w:r>
              <w:rPr>
                <w:sz w:val="22"/>
                <w:szCs w:val="22"/>
              </w:rPr>
              <w:t>914 917</w:t>
            </w:r>
          </w:p>
        </w:tc>
        <w:tc>
          <w:tcPr>
            <w:tcW w:w="1416" w:type="dxa"/>
            <w:tcBorders>
              <w:bottom w:val="single" w:sz="4" w:space="0" w:color="000000"/>
              <w:right w:val="single" w:sz="4" w:space="0" w:color="000000"/>
            </w:tcBorders>
            <w:vAlign w:val="bottom"/>
          </w:tcPr>
          <w:p>
            <w:pPr>
              <w:pStyle w:val="Normal"/>
              <w:jc w:val="center"/>
              <w:rPr>
                <w:sz w:val="22"/>
                <w:szCs w:val="22"/>
              </w:rPr>
            </w:pPr>
            <w:r>
              <w:rPr>
                <w:sz w:val="22"/>
                <w:szCs w:val="22"/>
              </w:rPr>
              <w:t>899 917</w:t>
            </w:r>
          </w:p>
        </w:tc>
        <w:tc>
          <w:tcPr>
            <w:tcW w:w="1418" w:type="dxa"/>
            <w:tcBorders>
              <w:bottom w:val="single" w:sz="4" w:space="0" w:color="000000"/>
              <w:right w:val="single" w:sz="4" w:space="0" w:color="000000"/>
            </w:tcBorders>
            <w:vAlign w:val="bottom"/>
          </w:tcPr>
          <w:p>
            <w:pPr>
              <w:pStyle w:val="Normal"/>
              <w:jc w:val="center"/>
              <w:rPr>
                <w:sz w:val="22"/>
                <w:szCs w:val="22"/>
              </w:rPr>
            </w:pPr>
            <w:r>
              <w:rPr>
                <w:sz w:val="22"/>
                <w:szCs w:val="22"/>
              </w:rPr>
              <w:t>899 917</w:t>
            </w:r>
          </w:p>
        </w:tc>
        <w:tc>
          <w:tcPr>
            <w:tcW w:w="1418" w:type="dxa"/>
            <w:tcBorders>
              <w:bottom w:val="single" w:sz="4" w:space="0" w:color="000000"/>
              <w:right w:val="single" w:sz="4" w:space="0" w:color="000000"/>
            </w:tcBorders>
            <w:vAlign w:val="bottom"/>
          </w:tcPr>
          <w:p>
            <w:pPr>
              <w:pStyle w:val="Normal"/>
              <w:jc w:val="center"/>
              <w:rPr>
                <w:sz w:val="22"/>
                <w:szCs w:val="22"/>
              </w:rPr>
            </w:pPr>
            <w:r>
              <w:rPr>
                <w:sz w:val="22"/>
                <w:szCs w:val="22"/>
              </w:rPr>
              <w:t>873 250</w:t>
            </w:r>
          </w:p>
        </w:tc>
        <w:tc>
          <w:tcPr>
            <w:tcW w:w="1275" w:type="dxa"/>
            <w:gridSpan w:val="2"/>
            <w:tcBorders>
              <w:bottom w:val="single" w:sz="4" w:space="0" w:color="000000"/>
              <w:right w:val="single" w:sz="4" w:space="0" w:color="000000"/>
            </w:tcBorders>
            <w:vAlign w:val="bottom"/>
          </w:tcPr>
          <w:p>
            <w:pPr>
              <w:pStyle w:val="Normal"/>
              <w:jc w:val="center"/>
              <w:rPr>
                <w:sz w:val="22"/>
                <w:szCs w:val="22"/>
              </w:rPr>
            </w:pPr>
            <w:r>
              <w:rPr>
                <w:sz w:val="22"/>
                <w:szCs w:val="22"/>
              </w:rPr>
              <w:t>97 000</w:t>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Total charges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4 827 826</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4 854 344</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4 801 244</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4 799 683</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4 140 148</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snapToGrid w:val="false"/>
              <w:jc w:val="center"/>
              <w:rPr>
                <w:b/>
                <w:bCs/>
                <w:i/>
                <w:i/>
                <w:iCs/>
                <w:sz w:val="22"/>
                <w:szCs w:val="22"/>
              </w:rPr>
            </w:pPr>
            <w:r>
              <w:rPr>
                <w:b/>
                <w:bCs/>
                <w:i/>
                <w:iCs/>
                <w:sz w:val="22"/>
                <w:szCs w:val="22"/>
              </w:rPr>
            </w:r>
          </w:p>
        </w:tc>
        <w:tc>
          <w:tcPr>
            <w:tcW w:w="1276" w:type="dxa"/>
            <w:tcBorders>
              <w:bottom w:val="single" w:sz="4" w:space="0" w:color="000000"/>
              <w:right w:val="single" w:sz="4" w:space="0" w:color="000000"/>
            </w:tcBorders>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275" w:type="dxa"/>
            <w:gridSpan w:val="2"/>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Résultats bruts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1 172 174</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1 265 656</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1 441 156</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1 567 565</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2 354 445</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BIC</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0</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Impôts et taxes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189 000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198 450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198 450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198 450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198 450</w:t>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Résultats nets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983 174</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1 067 206</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1 242 706</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1 369 115</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2 155 995</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snapToGrid w:val="false"/>
              <w:jc w:val="center"/>
              <w:rPr>
                <w:b/>
                <w:bCs/>
                <w:i/>
                <w:i/>
                <w:iCs/>
                <w:sz w:val="22"/>
                <w:szCs w:val="22"/>
              </w:rPr>
            </w:pPr>
            <w:r>
              <w:rPr>
                <w:b/>
                <w:bCs/>
                <w:i/>
                <w:iCs/>
                <w:sz w:val="22"/>
                <w:szCs w:val="22"/>
              </w:rPr>
            </w:r>
          </w:p>
        </w:tc>
        <w:tc>
          <w:tcPr>
            <w:tcW w:w="1276" w:type="dxa"/>
            <w:tcBorders>
              <w:bottom w:val="single" w:sz="4" w:space="0" w:color="000000"/>
              <w:right w:val="single" w:sz="4" w:space="0" w:color="000000"/>
            </w:tcBorders>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275" w:type="dxa"/>
            <w:gridSpan w:val="2"/>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CAF</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1 898 091</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1 967 123</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2 142 622</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2 242 365</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2 252 995</w:t>
            </w:r>
          </w:p>
        </w:tc>
      </w:tr>
      <w:tr>
        <w:trPr>
          <w:trHeight w:val="360" w:hRule="atLeast"/>
        </w:trPr>
        <w:tc>
          <w:tcPr>
            <w:tcW w:w="3124" w:type="dxa"/>
            <w:tcBorders>
              <w:left w:val="single" w:sz="4" w:space="0" w:color="000000"/>
              <w:bottom w:val="single" w:sz="4" w:space="0" w:color="000000"/>
              <w:right w:val="single" w:sz="4" w:space="0" w:color="000000"/>
            </w:tcBorders>
            <w:shd w:fill="00CCFF" w:val="clear"/>
            <w:vAlign w:val="bottom"/>
          </w:tcPr>
          <w:p>
            <w:pPr>
              <w:pStyle w:val="Normal"/>
              <w:jc w:val="center"/>
              <w:rPr>
                <w:b/>
                <w:bCs/>
                <w:sz w:val="22"/>
                <w:szCs w:val="22"/>
              </w:rPr>
            </w:pPr>
            <w:r>
              <w:rPr>
                <w:b/>
                <w:bCs/>
                <w:sz w:val="22"/>
                <w:szCs w:val="22"/>
              </w:rPr>
              <w:t>CAF CUMULEE</w:t>
            </w:r>
          </w:p>
        </w:tc>
        <w:tc>
          <w:tcPr>
            <w:tcW w:w="1276"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1 898 091</w:t>
            </w:r>
          </w:p>
        </w:tc>
        <w:tc>
          <w:tcPr>
            <w:tcW w:w="1416"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3 865 214</w:t>
            </w:r>
          </w:p>
        </w:tc>
        <w:tc>
          <w:tcPr>
            <w:tcW w:w="1418"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6 007 836</w:t>
            </w:r>
          </w:p>
        </w:tc>
        <w:tc>
          <w:tcPr>
            <w:tcW w:w="1418"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8 250 201</w:t>
            </w:r>
          </w:p>
        </w:tc>
        <w:tc>
          <w:tcPr>
            <w:tcW w:w="1275" w:type="dxa"/>
            <w:gridSpan w:val="2"/>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10 503 196</w:t>
            </w:r>
          </w:p>
        </w:tc>
      </w:tr>
    </w:tbl>
    <w:p>
      <w:pPr>
        <w:pStyle w:val="Normal"/>
        <w:jc w:val="center"/>
        <w:rPr/>
      </w:pPr>
      <w:r>
        <w:rPr/>
        <w:drawing>
          <wp:inline distT="0" distB="0" distL="0" distR="0">
            <wp:extent cx="5400040" cy="262318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3"/>
                    <a:stretch>
                      <a:fillRect/>
                    </a:stretch>
                  </pic:blipFill>
                  <pic:spPr bwMode="auto">
                    <a:xfrm>
                      <a:off x="0" y="0"/>
                      <a:ext cx="5400040" cy="2623185"/>
                    </a:xfrm>
                    <a:prstGeom prst="rect">
                      <a:avLst/>
                    </a:prstGeom>
                  </pic:spPr>
                </pic:pic>
              </a:graphicData>
            </a:graphic>
          </wp:inline>
        </w:drawing>
      </w:r>
    </w:p>
    <w:p>
      <w:pPr>
        <w:pStyle w:val="Normal"/>
        <w:jc w:val="center"/>
        <w:rPr/>
      </w:pPr>
      <w:r>
        <w:rPr>
          <w:i/>
          <w:sz w:val="18"/>
        </w:rPr>
        <w:t>Graphique 2 – Chiffre d'affaires et résultat net sur 5 ans (millions de F CFA)</w:t>
      </w:r>
    </w:p>
    <w:p>
      <w:pPr>
        <w:pStyle w:val="Normal"/>
        <w:jc w:val="center"/>
        <w:rPr>
          <w:sz w:val="22"/>
          <w:szCs w:val="22"/>
          <w:lang w:val="fr-CI"/>
        </w:rPr>
      </w:pPr>
      <w:r>
        <w:rPr>
          <w:sz w:val="22"/>
          <w:szCs w:val="22"/>
          <w:lang w:val="fr-CI"/>
        </w:rPr>
      </w:r>
    </w:p>
    <w:p>
      <w:pPr>
        <w:pStyle w:val="Heading2"/>
        <w:keepLines/>
        <w:numPr>
          <w:ilvl w:val="1"/>
          <w:numId w:val="4"/>
        </w:numPr>
        <w:spacing w:before="120" w:after="120"/>
        <w:ind w:hanging="491" w:left="851" w:right="0"/>
        <w:jc w:val="both"/>
        <w:rPr>
          <w:rFonts w:ascii="Times New Roman" w:hAnsi="Times New Roman" w:cs="Times New Roman"/>
          <w:i w:val="false"/>
          <w:i w:val="false"/>
          <w:iCs w:val="false"/>
          <w:lang w:val="fr-CI"/>
        </w:rPr>
      </w:pPr>
      <w:bookmarkStart w:id="25" w:name="__RefHeading___Toc234831724"/>
      <w:bookmarkEnd w:id="25"/>
      <w:r>
        <w:rPr>
          <w:rFonts w:cs="Times New Roman" w:ascii="Times New Roman" w:hAnsi="Times New Roman"/>
          <w:i w:val="false"/>
          <w:iCs w:val="false"/>
          <w:lang w:val="fr-CI"/>
        </w:rPr>
        <w:t>Tableau de financement annuel</w:t>
      </w:r>
    </w:p>
    <w:tbl>
      <w:tblPr>
        <w:tblW w:w="10070" w:type="dxa"/>
        <w:jc w:val="left"/>
        <w:tblInd w:w="65" w:type="dxa"/>
        <w:tblLayout w:type="fixed"/>
        <w:tblCellMar>
          <w:top w:w="0" w:type="dxa"/>
          <w:left w:w="70" w:type="dxa"/>
          <w:bottom w:w="0" w:type="dxa"/>
          <w:right w:w="70" w:type="dxa"/>
        </w:tblCellMar>
      </w:tblPr>
      <w:tblGrid>
        <w:gridCol w:w="2556"/>
        <w:gridCol w:w="1276"/>
        <w:gridCol w:w="1134"/>
        <w:gridCol w:w="1135"/>
        <w:gridCol w:w="1275"/>
        <w:gridCol w:w="142"/>
        <w:gridCol w:w="1276"/>
        <w:gridCol w:w="1275"/>
      </w:tblGrid>
      <w:tr>
        <w:trPr>
          <w:trHeight w:val="405" w:hRule="atLeast"/>
        </w:trPr>
        <w:tc>
          <w:tcPr>
            <w:tcW w:w="3832" w:type="dxa"/>
            <w:gridSpan w:val="2"/>
            <w:tcBorders>
              <w:top w:val="single" w:sz="4" w:space="0" w:color="000000"/>
              <w:left w:val="single" w:sz="4" w:space="0" w:color="000000"/>
              <w:bottom w:val="single" w:sz="4" w:space="0" w:color="000000"/>
            </w:tcBorders>
            <w:shd w:fill="166B7F" w:val="clear"/>
            <w:vAlign w:val="bottom"/>
          </w:tcPr>
          <w:p>
            <w:pPr>
              <w:pStyle w:val="Normal"/>
              <w:rPr>
                <w:b/>
                <w:bCs/>
                <w:color w:val="FFFFFF"/>
                <w:sz w:val="22"/>
                <w:szCs w:val="22"/>
              </w:rPr>
            </w:pPr>
            <w:r>
              <w:rPr>
                <w:b/>
                <w:bCs/>
                <w:color w:val="FFFFFF"/>
                <w:sz w:val="22"/>
                <w:szCs w:val="22"/>
              </w:rPr>
              <w:t>COMPTE DE TRESORERIE  (FCFA)</w:t>
            </w:r>
          </w:p>
        </w:tc>
        <w:tc>
          <w:tcPr>
            <w:tcW w:w="1134" w:type="dxa"/>
            <w:tcBorders>
              <w:top w:val="single" w:sz="4" w:space="0" w:color="000000"/>
              <w:bottom w:val="single" w:sz="4" w:space="0" w:color="000000"/>
            </w:tcBorders>
            <w:shd w:fill="166B7F" w:val="clear"/>
            <w:vAlign w:val="bottom"/>
          </w:tcPr>
          <w:p>
            <w:pPr>
              <w:pStyle w:val="Normal"/>
              <w:rPr>
                <w:b/>
                <w:bCs/>
                <w:color w:val="FFFFFF"/>
                <w:sz w:val="22"/>
                <w:szCs w:val="22"/>
              </w:rPr>
            </w:pPr>
            <w:r>
              <w:rPr/>
            </w:r>
          </w:p>
        </w:tc>
        <w:tc>
          <w:tcPr>
            <w:tcW w:w="1135" w:type="dxa"/>
            <w:tcBorders>
              <w:top w:val="single" w:sz="4" w:space="0" w:color="000000"/>
              <w:bottom w:val="single" w:sz="4" w:space="0" w:color="000000"/>
            </w:tcBorders>
            <w:shd w:fill="166B7F" w:val="clear"/>
            <w:vAlign w:val="bottom"/>
          </w:tcPr>
          <w:p>
            <w:pPr>
              <w:pStyle w:val="Normal"/>
              <w:rPr>
                <w:b/>
                <w:bCs/>
                <w:color w:val="FFFFFF"/>
                <w:sz w:val="22"/>
                <w:szCs w:val="22"/>
              </w:rPr>
            </w:pPr>
            <w:r>
              <w:rPr/>
            </w:r>
          </w:p>
        </w:tc>
        <w:tc>
          <w:tcPr>
            <w:tcW w:w="1417" w:type="dxa"/>
            <w:gridSpan w:val="2"/>
            <w:tcBorders>
              <w:top w:val="single" w:sz="4" w:space="0" w:color="000000"/>
              <w:bottom w:val="single" w:sz="4" w:space="0" w:color="000000"/>
            </w:tcBorders>
            <w:shd w:fill="166B7F" w:val="clear"/>
            <w:vAlign w:val="bottom"/>
          </w:tcPr>
          <w:p>
            <w:pPr>
              <w:pStyle w:val="Normal"/>
              <w:rPr>
                <w:b/>
                <w:bCs/>
                <w:color w:val="FFFFFF"/>
                <w:sz w:val="22"/>
                <w:szCs w:val="22"/>
              </w:rPr>
            </w:pPr>
            <w:r>
              <w:rPr/>
            </w:r>
          </w:p>
        </w:tc>
        <w:tc>
          <w:tcPr>
            <w:tcW w:w="1276" w:type="dxa"/>
            <w:tcBorders>
              <w:top w:val="single" w:sz="4" w:space="0" w:color="000000"/>
              <w:bottom w:val="single" w:sz="4" w:space="0" w:color="000000"/>
              <w:right w:val="single" w:sz="4" w:space="0" w:color="000000"/>
            </w:tcBorders>
            <w:shd w:fill="166B7F" w:val="clear"/>
            <w:vAlign w:val="bottom"/>
          </w:tcPr>
          <w:p>
            <w:pPr>
              <w:pStyle w:val="Normal"/>
              <w:rPr>
                <w:rFonts w:ascii="Cambria" w:hAnsi="Cambria" w:cs="Calibri"/>
                <w:b/>
                <w:bCs/>
                <w:color w:val="FFFFFF"/>
                <w:sz w:val="32"/>
                <w:szCs w:val="32"/>
              </w:rPr>
            </w:pPr>
            <w:r>
              <w:rPr/>
            </w:r>
          </w:p>
        </w:tc>
        <w:tc>
          <w:tcPr>
            <w:tcW w:w="1275" w:type="dxa"/>
            <w:tcBorders>
              <w:top w:val="single" w:sz="4" w:space="0" w:color="000000"/>
              <w:bottom w:val="single" w:sz="4" w:space="0" w:color="000000"/>
            </w:tcBorders>
            <w:shd w:fill="166B7F" w:val="clear"/>
            <w:vAlign w:val="bottom"/>
          </w:tcPr>
          <w:p>
            <w:pPr>
              <w:pStyle w:val="Normal"/>
              <w:rPr>
                <w:rFonts w:ascii="Cambria" w:hAnsi="Cambria" w:cs="Calibri"/>
                <w:b/>
                <w:bCs/>
                <w:color w:val="FFFFFF"/>
                <w:sz w:val="32"/>
                <w:szCs w:val="32"/>
              </w:rPr>
            </w:pPr>
            <w:r>
              <w:rPr/>
            </w:r>
          </w:p>
        </w:tc>
      </w:tr>
      <w:tr>
        <w:trPr>
          <w:trHeight w:val="375" w:hRule="atLeast"/>
        </w:trPr>
        <w:tc>
          <w:tcPr>
            <w:tcW w:w="2556" w:type="dxa"/>
            <w:tcBorders/>
            <w:vAlign w:val="bottom"/>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1276" w:type="dxa"/>
            <w:tcBorders/>
            <w:vAlign w:val="bottom"/>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1134" w:type="dxa"/>
            <w:tcBorders/>
            <w:vAlign w:val="bottom"/>
          </w:tcPr>
          <w:p>
            <w:pPr>
              <w:pStyle w:val="Normal"/>
              <w:snapToGrid w:val="false"/>
              <w:rPr>
                <w:b/>
                <w:bCs/>
                <w:color w:val="000000"/>
                <w:sz w:val="22"/>
                <w:szCs w:val="22"/>
              </w:rPr>
            </w:pPr>
            <w:r>
              <w:rPr>
                <w:b/>
                <w:bCs/>
                <w:color w:val="000000"/>
                <w:sz w:val="22"/>
                <w:szCs w:val="22"/>
              </w:rPr>
            </w:r>
          </w:p>
        </w:tc>
        <w:tc>
          <w:tcPr>
            <w:tcW w:w="1135" w:type="dxa"/>
            <w:tcBorders/>
            <w:vAlign w:val="bottom"/>
          </w:tcPr>
          <w:p>
            <w:pPr>
              <w:pStyle w:val="Normal"/>
              <w:snapToGrid w:val="false"/>
              <w:rPr>
                <w:b/>
                <w:bCs/>
                <w:color w:val="000000"/>
                <w:sz w:val="22"/>
                <w:szCs w:val="22"/>
              </w:rPr>
            </w:pPr>
            <w:r>
              <w:rPr>
                <w:b/>
                <w:bCs/>
                <w:color w:val="000000"/>
                <w:sz w:val="22"/>
                <w:szCs w:val="22"/>
              </w:rPr>
            </w:r>
          </w:p>
        </w:tc>
        <w:tc>
          <w:tcPr>
            <w:tcW w:w="1417" w:type="dxa"/>
            <w:gridSpan w:val="2"/>
            <w:tcBorders/>
            <w:vAlign w:val="bottom"/>
          </w:tcPr>
          <w:p>
            <w:pPr>
              <w:pStyle w:val="Normal"/>
              <w:snapToGrid w:val="false"/>
              <w:rPr>
                <w:color w:val="000000"/>
                <w:sz w:val="22"/>
                <w:szCs w:val="22"/>
              </w:rPr>
            </w:pPr>
            <w:r>
              <w:rPr>
                <w:color w:val="000000"/>
                <w:sz w:val="22"/>
                <w:szCs w:val="22"/>
              </w:rPr>
            </w:r>
          </w:p>
        </w:tc>
        <w:tc>
          <w:tcPr>
            <w:tcW w:w="1276" w:type="dxa"/>
            <w:tcBorders/>
            <w:vAlign w:val="bottom"/>
          </w:tcPr>
          <w:p>
            <w:pPr>
              <w:pStyle w:val="Normal"/>
              <w:snapToGrid w:val="false"/>
              <w:rPr>
                <w:rFonts w:ascii="Calibri" w:hAnsi="Calibri" w:cs="Calibri"/>
                <w:color w:val="000000"/>
                <w:sz w:val="22"/>
                <w:szCs w:val="22"/>
              </w:rPr>
            </w:pPr>
            <w:r>
              <w:rPr>
                <w:rFonts w:cs="Calibri" w:ascii="Calibri" w:hAnsi="Calibri"/>
                <w:color w:val="000000"/>
                <w:sz w:val="22"/>
                <w:szCs w:val="22"/>
              </w:rPr>
            </w:r>
          </w:p>
        </w:tc>
        <w:tc>
          <w:tcPr>
            <w:tcW w:w="1275" w:type="dxa"/>
            <w:tcBorders/>
            <w:vAlign w:val="bottom"/>
          </w:tcPr>
          <w:p>
            <w:pPr>
              <w:pStyle w:val="Normal"/>
              <w:snapToGrid w:val="false"/>
              <w:rPr>
                <w:rFonts w:ascii="Calibri" w:hAnsi="Calibri" w:cs="Calibri"/>
                <w:color w:val="000000"/>
                <w:sz w:val="22"/>
                <w:szCs w:val="22"/>
              </w:rPr>
            </w:pPr>
            <w:r>
              <w:rPr>
                <w:rFonts w:cs="Calibri" w:ascii="Calibri" w:hAnsi="Calibri"/>
                <w:color w:val="000000"/>
                <w:sz w:val="22"/>
                <w:szCs w:val="22"/>
              </w:rPr>
            </w:r>
          </w:p>
        </w:tc>
      </w:tr>
      <w:tr>
        <w:trPr>
          <w:trHeight w:val="360" w:hRule="atLeast"/>
        </w:trPr>
        <w:tc>
          <w:tcPr>
            <w:tcW w:w="2556"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Désignations/Années</w:t>
            </w:r>
          </w:p>
        </w:tc>
        <w:tc>
          <w:tcPr>
            <w:tcW w:w="127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AN0</w:t>
            </w:r>
          </w:p>
        </w:tc>
        <w:tc>
          <w:tcPr>
            <w:tcW w:w="1134"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AN1</w:t>
            </w:r>
          </w:p>
        </w:tc>
        <w:tc>
          <w:tcPr>
            <w:tcW w:w="1135"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AN2</w:t>
            </w:r>
          </w:p>
        </w:tc>
        <w:tc>
          <w:tcPr>
            <w:tcW w:w="1275"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AN3</w:t>
            </w:r>
          </w:p>
        </w:tc>
        <w:tc>
          <w:tcPr>
            <w:tcW w:w="1418" w:type="dxa"/>
            <w:gridSpan w:val="2"/>
            <w:tcBorders>
              <w:top w:val="single" w:sz="4" w:space="0" w:color="000000"/>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8"/>
                <w:szCs w:val="28"/>
              </w:rPr>
            </w:pPr>
            <w:r>
              <w:rPr>
                <w:rFonts w:cs="Calibri" w:ascii="Cambria" w:hAnsi="Cambria"/>
                <w:b/>
                <w:bCs/>
                <w:i/>
                <w:iCs/>
                <w:color w:val="FFFFFF"/>
                <w:sz w:val="28"/>
                <w:szCs w:val="28"/>
              </w:rPr>
              <w:t>AN4</w:t>
            </w:r>
          </w:p>
        </w:tc>
        <w:tc>
          <w:tcPr>
            <w:tcW w:w="1275" w:type="dxa"/>
            <w:tcBorders>
              <w:top w:val="single" w:sz="4" w:space="0" w:color="000000"/>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8"/>
                <w:szCs w:val="28"/>
              </w:rPr>
            </w:pPr>
            <w:r>
              <w:rPr>
                <w:rFonts w:cs="Calibri" w:ascii="Cambria" w:hAnsi="Cambria"/>
                <w:b/>
                <w:bCs/>
                <w:i/>
                <w:iCs/>
                <w:color w:val="FFFFFF"/>
                <w:sz w:val="28"/>
                <w:szCs w:val="28"/>
              </w:rPr>
              <w:t>AN5</w:t>
            </w:r>
          </w:p>
        </w:tc>
      </w:tr>
      <w:tr>
        <w:trPr>
          <w:trHeight w:val="315" w:hRule="atLeast"/>
        </w:trPr>
        <w:tc>
          <w:tcPr>
            <w:tcW w:w="2556"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SOURCES DE FONDS</w:t>
            </w:r>
          </w:p>
        </w:tc>
        <w:tc>
          <w:tcPr>
            <w:tcW w:w="1276"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4"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27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418" w:type="dxa"/>
            <w:gridSpan w:val="2"/>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c>
          <w:tcPr>
            <w:tcW w:w="1275" w:type="dxa"/>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Apport personnel</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500 000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Crédit</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4 500 000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Dotation aux Amortissements</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914 917</w:t>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899 917</w:t>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899 917</w:t>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873 250</w:t>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97 000</w:t>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Résultats nets</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rPr>
              <w:t>983 174</w:t>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rPr>
              <w:t>1 067 206</w:t>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rPr>
              <w:t>1 242 706</w:t>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mbria" w:ascii="Cambria" w:hAnsi="Cambria"/>
                <w:color w:val="000000"/>
                <w:sz w:val="22"/>
              </w:rPr>
              <w:t>1 369 115</w:t>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mbria" w:ascii="Cambria" w:hAnsi="Cambria"/>
                <w:color w:val="000000"/>
                <w:sz w:val="22"/>
              </w:rPr>
              <w:t>2 155 995</w:t>
            </w:r>
          </w:p>
        </w:tc>
      </w:tr>
      <w:tr>
        <w:trPr>
          <w:trHeight w:val="300" w:hRule="atLeast"/>
        </w:trPr>
        <w:tc>
          <w:tcPr>
            <w:tcW w:w="2556" w:type="dxa"/>
            <w:tcBorders>
              <w:left w:val="single" w:sz="4" w:space="0" w:color="000000"/>
              <w:bottom w:val="single" w:sz="4" w:space="0" w:color="000000"/>
              <w:right w:val="single" w:sz="4" w:space="0" w:color="000000"/>
            </w:tcBorders>
            <w:shd w:fill="D63431" w:val="clear"/>
            <w:vAlign w:val="bottom"/>
          </w:tcPr>
          <w:p>
            <w:pPr>
              <w:pStyle w:val="Normal"/>
              <w:rPr>
                <w:b/>
                <w:bCs/>
                <w:i/>
                <w:i/>
                <w:iCs/>
                <w:color w:val="FFFFFF"/>
                <w:sz w:val="22"/>
                <w:szCs w:val="22"/>
              </w:rPr>
            </w:pPr>
            <w:r>
              <w:rPr>
                <w:b/>
                <w:bCs/>
                <w:i/>
                <w:iCs/>
                <w:color w:val="FFFFFF"/>
                <w:sz w:val="22"/>
                <w:szCs w:val="22"/>
              </w:rPr>
              <w:t>Total RESSOURCES</w:t>
            </w:r>
          </w:p>
        </w:tc>
        <w:tc>
          <w:tcPr>
            <w:tcW w:w="1276"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5 000 000</w:t>
            </w:r>
          </w:p>
        </w:tc>
        <w:tc>
          <w:tcPr>
            <w:tcW w:w="1134"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i/>
                <w:color w:val="FFFFFF"/>
                <w:sz w:val="22"/>
              </w:rPr>
              <w:t>1 898 091</w:t>
            </w:r>
          </w:p>
        </w:tc>
        <w:tc>
          <w:tcPr>
            <w:tcW w:w="113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i/>
                <w:color w:val="FFFFFF"/>
                <w:sz w:val="22"/>
              </w:rPr>
              <w:t>1 967 123</w:t>
            </w:r>
          </w:p>
        </w:tc>
        <w:tc>
          <w:tcPr>
            <w:tcW w:w="127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i/>
                <w:color w:val="FFFFFF"/>
                <w:sz w:val="22"/>
              </w:rPr>
              <w:t>2 142 622</w:t>
            </w:r>
          </w:p>
        </w:tc>
        <w:tc>
          <w:tcPr>
            <w:tcW w:w="1418" w:type="dxa"/>
            <w:gridSpan w:val="2"/>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mbria" w:ascii="Cambria" w:hAnsi="Cambria"/>
                <w:b/>
                <w:i/>
                <w:color w:val="FFFFFF"/>
                <w:sz w:val="22"/>
              </w:rPr>
              <w:t>2 242 365</w:t>
            </w:r>
          </w:p>
        </w:tc>
        <w:tc>
          <w:tcPr>
            <w:tcW w:w="1275" w:type="dxa"/>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mbria" w:ascii="Cambria" w:hAnsi="Cambria"/>
                <w:b/>
                <w:i/>
                <w:color w:val="FFFFFF"/>
                <w:sz w:val="22"/>
              </w:rPr>
              <w:t>2 252 995</w:t>
            </w:r>
          </w:p>
        </w:tc>
      </w:tr>
      <w:tr>
        <w:trPr>
          <w:trHeight w:val="315" w:hRule="atLeast"/>
        </w:trPr>
        <w:tc>
          <w:tcPr>
            <w:tcW w:w="2556"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EMPLOIS DE FONDS</w:t>
            </w:r>
          </w:p>
        </w:tc>
        <w:tc>
          <w:tcPr>
            <w:tcW w:w="1276"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4"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27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418" w:type="dxa"/>
            <w:gridSpan w:val="2"/>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c>
          <w:tcPr>
            <w:tcW w:w="1275" w:type="dxa"/>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Frais d'établissements</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15 000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Frais d'investissement</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3 670 000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BFR</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1 315 000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Remboursement de CREDIT MOYEN TERME</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1 227 273</w:t>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1 636 364</w:t>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1 636 364</w:t>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0</w:t>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0</w:t>
            </w:r>
          </w:p>
        </w:tc>
      </w:tr>
      <w:tr>
        <w:trPr>
          <w:trHeight w:val="300" w:hRule="atLeast"/>
        </w:trPr>
        <w:tc>
          <w:tcPr>
            <w:tcW w:w="2556" w:type="dxa"/>
            <w:tcBorders>
              <w:left w:val="single" w:sz="4" w:space="0" w:color="000000"/>
              <w:bottom w:val="single" w:sz="4" w:space="0" w:color="000000"/>
              <w:right w:val="single" w:sz="4" w:space="0" w:color="000000"/>
            </w:tcBorders>
            <w:shd w:fill="D63431" w:val="clear"/>
            <w:vAlign w:val="bottom"/>
          </w:tcPr>
          <w:p>
            <w:pPr>
              <w:pStyle w:val="Normal"/>
              <w:rPr>
                <w:b/>
                <w:bCs/>
                <w:i/>
                <w:i/>
                <w:iCs/>
                <w:color w:val="FFFFFF"/>
                <w:sz w:val="22"/>
                <w:szCs w:val="22"/>
              </w:rPr>
            </w:pPr>
            <w:r>
              <w:rPr>
                <w:b/>
                <w:bCs/>
                <w:i/>
                <w:iCs/>
                <w:color w:val="FFFFFF"/>
                <w:sz w:val="22"/>
                <w:szCs w:val="22"/>
              </w:rPr>
              <w:t>Total EMPLOIS</w:t>
            </w:r>
          </w:p>
        </w:tc>
        <w:tc>
          <w:tcPr>
            <w:tcW w:w="1276"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5 000 000</w:t>
            </w:r>
          </w:p>
        </w:tc>
        <w:tc>
          <w:tcPr>
            <w:tcW w:w="1134"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1 227 273</w:t>
            </w:r>
          </w:p>
        </w:tc>
        <w:tc>
          <w:tcPr>
            <w:tcW w:w="113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1 636 364</w:t>
            </w:r>
          </w:p>
        </w:tc>
        <w:tc>
          <w:tcPr>
            <w:tcW w:w="127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1 636 364</w:t>
            </w:r>
          </w:p>
        </w:tc>
        <w:tc>
          <w:tcPr>
            <w:tcW w:w="1418" w:type="dxa"/>
            <w:gridSpan w:val="2"/>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0</w:t>
            </w:r>
          </w:p>
        </w:tc>
        <w:tc>
          <w:tcPr>
            <w:tcW w:w="1275" w:type="dxa"/>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0</w:t>
            </w:r>
          </w:p>
        </w:tc>
      </w:tr>
      <w:tr>
        <w:trPr>
          <w:trHeight w:val="300" w:hRule="atLeast"/>
        </w:trPr>
        <w:tc>
          <w:tcPr>
            <w:tcW w:w="2556" w:type="dxa"/>
            <w:tcBorders/>
            <w:vAlign w:val="bottom"/>
          </w:tcPr>
          <w:p>
            <w:pPr>
              <w:pStyle w:val="Normal"/>
              <w:snapToGrid w:val="false"/>
              <w:rPr>
                <w:rFonts w:ascii="Cambria" w:hAnsi="Cambria" w:cs="Calibri"/>
                <w:b/>
                <w:bCs/>
                <w:i/>
                <w:i/>
                <w:iCs/>
                <w:color w:val="000000"/>
                <w:sz w:val="22"/>
                <w:szCs w:val="22"/>
              </w:rPr>
            </w:pPr>
            <w:r>
              <w:rPr>
                <w:rFonts w:cs="Calibri" w:ascii="Cambria" w:hAnsi="Cambria"/>
                <w:b/>
                <w:bCs/>
                <w:i/>
                <w:iCs/>
                <w:color w:val="000000"/>
                <w:sz w:val="22"/>
                <w:szCs w:val="22"/>
              </w:rPr>
            </w:r>
          </w:p>
        </w:tc>
        <w:tc>
          <w:tcPr>
            <w:tcW w:w="1276" w:type="dxa"/>
            <w:tcBorders/>
            <w:vAlign w:val="bottom"/>
          </w:tcPr>
          <w:p>
            <w:pPr>
              <w:pStyle w:val="Normal"/>
              <w:snapToGrid w:val="false"/>
              <w:jc w:val="center"/>
              <w:rPr>
                <w:rFonts w:ascii="Cambria" w:hAnsi="Cambria" w:cs="Calibri"/>
                <w:b/>
                <w:bCs/>
                <w:i/>
                <w:i/>
                <w:iCs/>
                <w:color w:val="000000"/>
                <w:sz w:val="22"/>
                <w:szCs w:val="22"/>
              </w:rPr>
            </w:pPr>
            <w:r>
              <w:rPr>
                <w:rFonts w:cs="Calibri" w:ascii="Cambria" w:hAnsi="Cambria"/>
                <w:b/>
                <w:bCs/>
                <w:i/>
                <w:iCs/>
                <w:color w:val="000000"/>
                <w:sz w:val="22"/>
                <w:szCs w:val="22"/>
              </w:rPr>
            </w:r>
          </w:p>
        </w:tc>
        <w:tc>
          <w:tcPr>
            <w:tcW w:w="1134" w:type="dxa"/>
            <w:tcBorders/>
            <w:vAlign w:val="bottom"/>
          </w:tcPr>
          <w:p>
            <w:pPr>
              <w:pStyle w:val="Normal"/>
              <w:snapToGrid w:val="false"/>
              <w:jc w:val="center"/>
              <w:rPr>
                <w:color w:val="000000"/>
                <w:sz w:val="22"/>
                <w:szCs w:val="22"/>
              </w:rPr>
            </w:pPr>
            <w:r>
              <w:rPr>
                <w:color w:val="000000"/>
                <w:sz w:val="22"/>
                <w:szCs w:val="22"/>
              </w:rPr>
            </w:r>
          </w:p>
        </w:tc>
        <w:tc>
          <w:tcPr>
            <w:tcW w:w="1135" w:type="dxa"/>
            <w:tcBorders/>
            <w:vAlign w:val="bottom"/>
          </w:tcPr>
          <w:p>
            <w:pPr>
              <w:pStyle w:val="Normal"/>
              <w:snapToGrid w:val="false"/>
              <w:jc w:val="center"/>
              <w:rPr>
                <w:color w:val="000000"/>
                <w:sz w:val="22"/>
                <w:szCs w:val="22"/>
              </w:rPr>
            </w:pPr>
            <w:r>
              <w:rPr>
                <w:color w:val="000000"/>
                <w:sz w:val="22"/>
                <w:szCs w:val="22"/>
              </w:rPr>
            </w:r>
          </w:p>
        </w:tc>
        <w:tc>
          <w:tcPr>
            <w:tcW w:w="1275" w:type="dxa"/>
            <w:tcBorders/>
            <w:vAlign w:val="bottom"/>
          </w:tcPr>
          <w:p>
            <w:pPr>
              <w:pStyle w:val="Normal"/>
              <w:snapToGrid w:val="false"/>
              <w:jc w:val="center"/>
              <w:rPr>
                <w:color w:val="000000"/>
                <w:sz w:val="22"/>
                <w:szCs w:val="22"/>
              </w:rPr>
            </w:pPr>
            <w:r>
              <w:rPr>
                <w:color w:val="000000"/>
                <w:sz w:val="22"/>
                <w:szCs w:val="22"/>
              </w:rPr>
            </w:r>
          </w:p>
        </w:tc>
        <w:tc>
          <w:tcPr>
            <w:tcW w:w="1418" w:type="dxa"/>
            <w:gridSpan w:val="2"/>
            <w:tcBorders/>
            <w:vAlign w:val="bottom"/>
          </w:tcPr>
          <w:p>
            <w:pPr>
              <w:pStyle w:val="Normal"/>
              <w:snapToGrid w:val="false"/>
              <w:jc w:val="center"/>
              <w:rPr>
                <w:rFonts w:ascii="Calibri" w:hAnsi="Calibri" w:cs="Calibri"/>
                <w:color w:val="000000"/>
                <w:sz w:val="22"/>
                <w:szCs w:val="22"/>
              </w:rPr>
            </w:pPr>
            <w:r>
              <w:rPr>
                <w:rFonts w:cs="Calibri" w:ascii="Calibri" w:hAnsi="Calibri"/>
                <w:color w:val="000000"/>
                <w:sz w:val="22"/>
                <w:szCs w:val="22"/>
              </w:rPr>
            </w:r>
          </w:p>
        </w:tc>
        <w:tc>
          <w:tcPr>
            <w:tcW w:w="1275" w:type="dxa"/>
            <w:tcBorders/>
            <w:vAlign w:val="bottom"/>
          </w:tcPr>
          <w:p>
            <w:pPr>
              <w:pStyle w:val="Normal"/>
              <w:snapToGrid w:val="false"/>
              <w:jc w:val="center"/>
              <w:rPr>
                <w:rFonts w:ascii="Calibri" w:hAnsi="Calibri" w:cs="Calibri"/>
                <w:color w:val="000000"/>
                <w:sz w:val="22"/>
                <w:szCs w:val="22"/>
              </w:rPr>
            </w:pPr>
            <w:r>
              <w:rPr>
                <w:rFonts w:cs="Calibri" w:ascii="Calibri" w:hAnsi="Calibri"/>
                <w:color w:val="000000"/>
                <w:sz w:val="22"/>
                <w:szCs w:val="22"/>
              </w:rPr>
            </w:r>
          </w:p>
        </w:tc>
      </w:tr>
      <w:tr>
        <w:trPr>
          <w:trHeight w:val="315" w:hRule="atLeast"/>
        </w:trPr>
        <w:tc>
          <w:tcPr>
            <w:tcW w:w="2556"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TRESORERIE DEGAGEE</w:t>
            </w:r>
          </w:p>
        </w:tc>
        <w:tc>
          <w:tcPr>
            <w:tcW w:w="1276"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bCs/>
                <w:i/>
                <w:iCs/>
                <w:color w:val="FFFFFF"/>
                <w:sz w:val="22"/>
                <w:szCs w:val="22"/>
              </w:rPr>
              <w:t>0</w:t>
            </w:r>
          </w:p>
        </w:tc>
        <w:tc>
          <w:tcPr>
            <w:tcW w:w="1134"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670 818</w:t>
            </w:r>
          </w:p>
        </w:tc>
        <w:tc>
          <w:tcPr>
            <w:tcW w:w="1135"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330 759</w:t>
            </w:r>
          </w:p>
        </w:tc>
        <w:tc>
          <w:tcPr>
            <w:tcW w:w="1275"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506 259</w:t>
            </w:r>
          </w:p>
        </w:tc>
        <w:tc>
          <w:tcPr>
            <w:tcW w:w="1418" w:type="dxa"/>
            <w:gridSpan w:val="2"/>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2 242 365</w:t>
            </w:r>
          </w:p>
        </w:tc>
        <w:tc>
          <w:tcPr>
            <w:tcW w:w="1275" w:type="dxa"/>
            <w:tcBorders>
              <w:top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i/>
                <w:color w:val="FFFFFF"/>
                <w:sz w:val="22"/>
              </w:rPr>
              <w:t>2 252 995</w:t>
            </w:r>
          </w:p>
        </w:tc>
      </w:tr>
      <w:tr>
        <w:trPr>
          <w:trHeight w:val="315" w:hRule="atLeast"/>
        </w:trPr>
        <w:tc>
          <w:tcPr>
            <w:tcW w:w="2556"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TRESORERIE CUMULEE</w:t>
            </w:r>
          </w:p>
        </w:tc>
        <w:tc>
          <w:tcPr>
            <w:tcW w:w="1276"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bCs/>
                <w:i/>
                <w:iCs/>
                <w:color w:val="FFFFFF"/>
                <w:sz w:val="22"/>
                <w:szCs w:val="22"/>
              </w:rPr>
              <w:t>0</w:t>
            </w:r>
          </w:p>
        </w:tc>
        <w:tc>
          <w:tcPr>
            <w:tcW w:w="1134"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670 818</w:t>
            </w:r>
          </w:p>
        </w:tc>
        <w:tc>
          <w:tcPr>
            <w:tcW w:w="1135"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1 001 577</w:t>
            </w:r>
          </w:p>
        </w:tc>
        <w:tc>
          <w:tcPr>
            <w:tcW w:w="1275"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1 507 836</w:t>
            </w:r>
          </w:p>
        </w:tc>
        <w:tc>
          <w:tcPr>
            <w:tcW w:w="1418" w:type="dxa"/>
            <w:gridSpan w:val="2"/>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3 750 201</w:t>
            </w:r>
          </w:p>
        </w:tc>
        <w:tc>
          <w:tcPr>
            <w:tcW w:w="1275"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6 003 196</w:t>
            </w:r>
          </w:p>
        </w:tc>
      </w:tr>
    </w:tbl>
    <w:p>
      <w:pPr>
        <w:pStyle w:val="Normal"/>
        <w:jc w:val="center"/>
        <w:rPr/>
      </w:pPr>
      <w:r>
        <w:rPr/>
        <w:drawing>
          <wp:inline distT="0" distB="0" distL="0" distR="0">
            <wp:extent cx="5400040" cy="246824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4"/>
                    <a:stretch>
                      <a:fillRect/>
                    </a:stretch>
                  </pic:blipFill>
                  <pic:spPr bwMode="auto">
                    <a:xfrm>
                      <a:off x="0" y="0"/>
                      <a:ext cx="5400040" cy="2468245"/>
                    </a:xfrm>
                    <a:prstGeom prst="rect">
                      <a:avLst/>
                    </a:prstGeom>
                  </pic:spPr>
                </pic:pic>
              </a:graphicData>
            </a:graphic>
          </wp:inline>
        </w:drawing>
      </w:r>
    </w:p>
    <w:p>
      <w:pPr>
        <w:pStyle w:val="Normal"/>
        <w:jc w:val="center"/>
        <w:rPr/>
      </w:pPr>
      <w:r>
        <w:rPr>
          <w:i/>
          <w:sz w:val="18"/>
        </w:rPr>
        <w:t>Graphique 3 – Trésorerie cumulée sur 5 ans (millions de F CFA)</w:t>
      </w:r>
    </w:p>
    <w:p>
      <w:pPr>
        <w:pStyle w:val="Normal"/>
        <w:rPr>
          <w:lang w:val="fr-CI"/>
        </w:rPr>
      </w:pPr>
      <w:r>
        <w:rPr>
          <w:lang w:val="fr-CI"/>
        </w:rPr>
      </w:r>
    </w:p>
    <w:p>
      <w:pPr>
        <w:pStyle w:val="Heading2"/>
        <w:keepLines/>
        <w:numPr>
          <w:ilvl w:val="1"/>
          <w:numId w:val="4"/>
        </w:numPr>
        <w:spacing w:before="120" w:after="120"/>
        <w:ind w:hanging="491" w:left="851" w:right="0"/>
        <w:jc w:val="both"/>
        <w:rPr>
          <w:rFonts w:ascii="Times New Roman" w:hAnsi="Times New Roman" w:cs="Times New Roman"/>
          <w:i w:val="false"/>
          <w:i w:val="false"/>
          <w:iCs w:val="false"/>
          <w:lang w:val="fr-CI"/>
        </w:rPr>
      </w:pPr>
      <w:bookmarkStart w:id="26" w:name="__RefHeading___Toc234831725"/>
      <w:bookmarkEnd w:id="26"/>
      <w:r>
        <w:rPr>
          <w:rFonts w:cs="Times New Roman" w:ascii="Times New Roman" w:hAnsi="Times New Roman"/>
          <w:i w:val="false"/>
          <w:iCs w:val="false"/>
          <w:lang w:val="fr-CI"/>
        </w:rPr>
        <w:t>Bilan de départ</w:t>
      </w:r>
    </w:p>
    <w:tbl>
      <w:tblPr>
        <w:tblW w:w="16240" w:type="dxa"/>
        <w:jc w:val="left"/>
        <w:tblInd w:w="65" w:type="dxa"/>
        <w:tblLayout w:type="fixed"/>
        <w:tblCellMar>
          <w:top w:w="0" w:type="dxa"/>
          <w:left w:w="70" w:type="dxa"/>
          <w:bottom w:w="0" w:type="dxa"/>
          <w:right w:w="70" w:type="dxa"/>
        </w:tblCellMar>
      </w:tblPr>
      <w:tblGrid>
        <w:gridCol w:w="9860"/>
        <w:gridCol w:w="1559"/>
        <w:gridCol w:w="3403"/>
        <w:gridCol w:w="1417"/>
      </w:tblGrid>
      <w:tr>
        <w:trPr>
          <w:trHeight w:val="300" w:hRule="atLeast"/>
        </w:trPr>
        <w:tc>
          <w:tcPr>
            <w:tcW w:w="9860" w:type="dxa"/>
            <w:tcBorders/>
            <w:shd w:fill="FFFFFF" w:val="clear"/>
            <w:vAlign w:val="bottom"/>
          </w:tcPr>
          <w:tbl>
            <w:tblPr>
              <w:tblW w:w="9711" w:type="dxa"/>
              <w:jc w:val="left"/>
              <w:tblInd w:w="225" w:type="dxa"/>
              <w:tblLayout w:type="fixed"/>
              <w:tblCellMar>
                <w:top w:w="0" w:type="dxa"/>
                <w:left w:w="70" w:type="dxa"/>
                <w:bottom w:w="0" w:type="dxa"/>
                <w:right w:w="70" w:type="dxa"/>
              </w:tblCellMar>
            </w:tblPr>
            <w:tblGrid>
              <w:gridCol w:w="3540"/>
              <w:gridCol w:w="1560"/>
              <w:gridCol w:w="3260"/>
              <w:gridCol w:w="1350"/>
            </w:tblGrid>
            <w:tr>
              <w:trPr>
                <w:trHeight w:val="360" w:hRule="atLeast"/>
              </w:trPr>
              <w:tc>
                <w:tcPr>
                  <w:tcW w:w="9710" w:type="dxa"/>
                  <w:gridSpan w:val="4"/>
                  <w:tcBorders>
                    <w:top w:val="single" w:sz="4" w:space="0" w:color="000000"/>
                    <w:left w:val="single" w:sz="4" w:space="0" w:color="000000"/>
                    <w:bottom w:val="single" w:sz="4" w:space="0" w:color="000000"/>
                  </w:tcBorders>
                  <w:shd w:fill="7F1F1F" w:val="clear"/>
                  <w:vAlign w:val="bottom"/>
                </w:tcPr>
                <w:p>
                  <w:pPr>
                    <w:pStyle w:val="Normal"/>
                    <w:jc w:val="center"/>
                    <w:rPr>
                      <w:rFonts w:ascii="Cambria" w:hAnsi="Cambria" w:cs="Calibri"/>
                      <w:b/>
                      <w:bCs/>
                      <w:i/>
                      <w:i/>
                      <w:iCs/>
                      <w:color w:val="FFFFFF"/>
                      <w:sz w:val="28"/>
                      <w:szCs w:val="28"/>
                    </w:rPr>
                  </w:pPr>
                  <w:r>
                    <w:rPr>
                      <w:rFonts w:cs="Calibri" w:ascii="Cambria" w:hAnsi="Cambria"/>
                      <w:b/>
                      <w:bCs/>
                      <w:i/>
                      <w:iCs/>
                      <w:color w:val="FFFFFF"/>
                      <w:sz w:val="28"/>
                      <w:szCs w:val="28"/>
                    </w:rPr>
                    <w:t>BILAN DE DEMARRAGE TOUT TYPE PROJET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ACTIF</w:t>
                  </w:r>
                </w:p>
              </w:tc>
              <w:tc>
                <w:tcPr>
                  <w:tcW w:w="156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MONTANT</w:t>
                  </w:r>
                </w:p>
              </w:tc>
              <w:tc>
                <w:tcPr>
                  <w:tcW w:w="326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PASSIF</w:t>
                  </w:r>
                </w:p>
              </w:tc>
              <w:tc>
                <w:tcPr>
                  <w:tcW w:w="135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MONTANT</w:t>
                  </w:r>
                </w:p>
              </w:tc>
            </w:tr>
            <w:tr>
              <w:trPr>
                <w:trHeight w:val="540"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ACTIF IMMOBILISE</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CAPITAUX PROPRES ET RESSOURCES ASSIMILEES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Immobilisations incorporelles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Capitaux Propres (a)+(b)</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500 000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Apport en Nature (a)</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Apport en Espèces (b)</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500 000</w:t>
                  </w:r>
                </w:p>
              </w:tc>
            </w:tr>
            <w:tr>
              <w:trPr>
                <w:trHeight w:val="349"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Frais de constitution</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15 000</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Résultat net de l'exercice (bénéfice + ou perte -)</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b/>
                      <w:bCs/>
                      <w:color w:val="000000"/>
                      <w:sz w:val="22"/>
                      <w:szCs w:val="22"/>
                    </w:rPr>
                  </w:pPr>
                  <w:r>
                    <w:rPr>
                      <w:b/>
                      <w:bCs/>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Autres capitaux propres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Immobilisations corporelles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Aménagement préparatoire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45 000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sz w:val="22"/>
                      <w:szCs w:val="22"/>
                    </w:rPr>
                  </w:pPr>
                  <w:r>
                    <w:rPr>
                      <w:b/>
                      <w:bCs/>
                      <w:sz w:val="22"/>
                      <w:szCs w:val="22"/>
                    </w:rPr>
                    <w:t>TOTAL CAPITAUX PROPRES (I)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500 000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Formation des billons</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60 000</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DETTES FINANCIERES ET RESSOURCES ASSIMILEES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Système goutte-à-goutte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500 000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Emprunts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4 500 000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Pompe solaire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1 200 000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Dettes de crédit-bail et contrats assimilés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Panneaux solaires</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800 000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Dettes financières diverses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rPr>
                    <w:t>Tuyaux, vannes, pulvérisateur</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rPr>
                    <w:t>500 000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sz w:val="22"/>
                      <w:szCs w:val="22"/>
                    </w:rPr>
                  </w:pPr>
                  <w:r>
                    <w:rPr>
                      <w:b/>
                      <w:bCs/>
                      <w:sz w:val="22"/>
                      <w:szCs w:val="22"/>
                    </w:rPr>
                    <w:t>TOTAL DES DETTES FINANCIERES (II)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4 500 000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Balance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20 000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sz w:val="22"/>
                      <w:szCs w:val="22"/>
                    </w:rPr>
                  </w:pPr>
                  <w:r>
                    <w:rPr>
                      <w:b/>
                      <w:bCs/>
                      <w:sz w:val="22"/>
                      <w:szCs w:val="22"/>
                    </w:rPr>
                    <w:t>TOTAL DES RESSOURCES STABLES ( I + 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5 000 000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Petit matériel divers (1 lot)</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60 000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Paillage en plastique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200 000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Pulvérisateurs</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50 000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Brouettes + Houes</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40 000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P 17 (2000 m)</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150 000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Outils divers (dabas, pioches, pelles)</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45 000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ACTIF IMMOBILISE (I)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sz w:val="22"/>
                    </w:rPr>
                    <w:t>3 685 000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ACTIF CIRCULANT</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PASSIF CIRCULANT</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Stocks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b/>
                      <w:bCs/>
                      <w:color w:val="000000"/>
                      <w:sz w:val="22"/>
                      <w:szCs w:val="22"/>
                    </w:rPr>
                  </w:pPr>
                  <w:r>
                    <w:rPr>
                      <w:b/>
                      <w:bCs/>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Matières premières et autres approvisionnements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295 000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En-cours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Créances et emplois assimilés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PASSIF CIRCULANT (III)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Clients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TRESORERIE – PASSIF</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ACTIF CIRCULANT (II)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295 000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TRESORERIE PASSIF (IV)</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TRESORERIE - ACTIF</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Banques, caisse</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rPr>
                    <w:t>1 020 000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TRESORERIE ACTIF (III)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sz w:val="22"/>
                    </w:rPr>
                    <w:t>1 020 000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420" w:hRule="atLeast"/>
              </w:trPr>
              <w:tc>
                <w:tcPr>
                  <w:tcW w:w="3540" w:type="dxa"/>
                  <w:tcBorders>
                    <w:top w:val="single" w:sz="4" w:space="0" w:color="000000"/>
                    <w:left w:val="single" w:sz="4" w:space="0" w:color="000000"/>
                    <w:bottom w:val="single" w:sz="4" w:space="0" w:color="000000"/>
                    <w:right w:val="single" w:sz="4" w:space="0" w:color="000000"/>
                  </w:tcBorders>
                  <w:shd w:fill="D63431" w:val="clear"/>
                  <w:vAlign w:val="center"/>
                </w:tcPr>
                <w:p>
                  <w:pPr>
                    <w:pStyle w:val="Normal"/>
                    <w:jc w:val="center"/>
                    <w:rPr>
                      <w:b/>
                      <w:bCs/>
                      <w:i/>
                      <w:i/>
                      <w:iCs/>
                      <w:color w:val="FFFFFF"/>
                      <w:sz w:val="22"/>
                      <w:szCs w:val="22"/>
                      <w:lang w:val="en-US"/>
                    </w:rPr>
                  </w:pPr>
                  <w:r>
                    <w:rPr>
                      <w:b/>
                      <w:bCs/>
                      <w:i/>
                      <w:iCs/>
                      <w:color w:val="FFFFFF"/>
                      <w:sz w:val="22"/>
                      <w:szCs w:val="22"/>
                      <w:lang w:val="en-US"/>
                    </w:rPr>
                    <w:t>TOTAL GENERAL ( I+II+III)</w:t>
                  </w:r>
                </w:p>
              </w:tc>
              <w:tc>
                <w:tcPr>
                  <w:tcW w:w="1560"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5 000 000</w:t>
                  </w:r>
                </w:p>
              </w:tc>
              <w:tc>
                <w:tcPr>
                  <w:tcW w:w="3260" w:type="dxa"/>
                  <w:tcBorders>
                    <w:top w:val="single" w:sz="4" w:space="0" w:color="000000"/>
                    <w:bottom w:val="single" w:sz="4" w:space="0" w:color="000000"/>
                    <w:right w:val="single" w:sz="4" w:space="0" w:color="000000"/>
                  </w:tcBorders>
                  <w:shd w:fill="D63431" w:val="clear"/>
                  <w:vAlign w:val="center"/>
                </w:tcPr>
                <w:p>
                  <w:pPr>
                    <w:pStyle w:val="Normal"/>
                    <w:jc w:val="center"/>
                    <w:rPr>
                      <w:b/>
                      <w:bCs/>
                      <w:i/>
                      <w:i/>
                      <w:iCs/>
                      <w:color w:val="FFFFFF"/>
                      <w:sz w:val="22"/>
                      <w:szCs w:val="22"/>
                      <w:lang w:val="en-US"/>
                    </w:rPr>
                  </w:pPr>
                  <w:r>
                    <w:rPr>
                      <w:b/>
                      <w:bCs/>
                      <w:i/>
                      <w:iCs/>
                      <w:color w:val="FFFFFF"/>
                      <w:sz w:val="22"/>
                      <w:szCs w:val="22"/>
                      <w:lang w:val="en-US"/>
                    </w:rPr>
                    <w:t>TOTAL GENERAL ( I+II+III+IV )</w:t>
                  </w:r>
                </w:p>
              </w:tc>
              <w:tc>
                <w:tcPr>
                  <w:tcW w:w="1350"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5 000 000</w:t>
                  </w:r>
                </w:p>
              </w:tc>
            </w:tr>
            <w:tr>
              <w:trPr>
                <w:trHeight w:val="390" w:hRule="atLeast"/>
              </w:trPr>
              <w:tc>
                <w:tcPr>
                  <w:tcW w:w="3540" w:type="dxa"/>
                  <w:tcBorders/>
                  <w:shd w:fill="D9E2F3" w:val="clear"/>
                  <w:vAlign w:val="bottom"/>
                </w:tcPr>
                <w:p>
                  <w:pPr>
                    <w:pStyle w:val="Normal"/>
                    <w:snapToGrid w:val="false"/>
                    <w:jc w:val="center"/>
                    <w:rPr>
                      <w:b/>
                      <w:bCs/>
                      <w:i/>
                      <w:i/>
                      <w:iCs/>
                      <w:color w:val="000000"/>
                      <w:sz w:val="22"/>
                      <w:szCs w:val="22"/>
                    </w:rPr>
                  </w:pPr>
                  <w:r>
                    <w:rPr>
                      <w:b/>
                      <w:bCs/>
                      <w:i/>
                      <w:iCs/>
                      <w:color w:val="000000"/>
                      <w:sz w:val="22"/>
                      <w:szCs w:val="22"/>
                    </w:rPr>
                  </w:r>
                </w:p>
              </w:tc>
              <w:tc>
                <w:tcPr>
                  <w:tcW w:w="1560" w:type="dxa"/>
                  <w:tcBorders/>
                  <w:shd w:fill="D9E2F3" w:val="clear"/>
                  <w:vAlign w:val="bottom"/>
                </w:tcPr>
                <w:p>
                  <w:pPr>
                    <w:pStyle w:val="Normal"/>
                    <w:snapToGrid w:val="false"/>
                    <w:jc w:val="center"/>
                    <w:rPr>
                      <w:b/>
                      <w:bCs/>
                      <w:i/>
                      <w:i/>
                      <w:iCs/>
                      <w:color w:val="000000"/>
                      <w:sz w:val="22"/>
                      <w:szCs w:val="22"/>
                    </w:rPr>
                  </w:pPr>
                  <w:r>
                    <w:rPr>
                      <w:b/>
                      <w:bCs/>
                      <w:i/>
                      <w:iCs/>
                      <w:color w:val="000000"/>
                      <w:sz w:val="22"/>
                      <w:szCs w:val="22"/>
                    </w:rPr>
                  </w:r>
                </w:p>
              </w:tc>
              <w:tc>
                <w:tcPr>
                  <w:tcW w:w="3260" w:type="dxa"/>
                  <w:tcBorders/>
                  <w:shd w:fill="D9E2F3" w:val="clear"/>
                  <w:vAlign w:val="bottom"/>
                </w:tcPr>
                <w:p>
                  <w:pPr>
                    <w:pStyle w:val="Normal"/>
                    <w:snapToGrid w:val="false"/>
                    <w:jc w:val="center"/>
                    <w:rPr>
                      <w:color w:val="000000"/>
                      <w:sz w:val="22"/>
                      <w:szCs w:val="22"/>
                    </w:rPr>
                  </w:pPr>
                  <w:r>
                    <w:rPr>
                      <w:color w:val="000000"/>
                      <w:sz w:val="22"/>
                      <w:szCs w:val="22"/>
                    </w:rPr>
                  </w:r>
                </w:p>
              </w:tc>
              <w:tc>
                <w:tcPr>
                  <w:tcW w:w="1350" w:type="dxa"/>
                  <w:tcBorders/>
                  <w:shd w:fill="D9E2F3" w:val="clear"/>
                  <w:vAlign w:val="bottom"/>
                </w:tcPr>
                <w:p>
                  <w:pPr>
                    <w:pStyle w:val="Normal"/>
                    <w:snapToGrid w:val="false"/>
                    <w:jc w:val="center"/>
                    <w:rPr>
                      <w:color w:val="000000"/>
                      <w:sz w:val="22"/>
                      <w:szCs w:val="22"/>
                    </w:rPr>
                  </w:pPr>
                  <w:r>
                    <w:rPr>
                      <w:color w:val="000000"/>
                      <w:sz w:val="22"/>
                      <w:szCs w:val="22"/>
                    </w:rPr>
                  </w:r>
                </w:p>
              </w:tc>
            </w:tr>
          </w:tbl>
          <w:p>
            <w:pPr>
              <w:pStyle w:val="Normal"/>
              <w:rPr>
                <w:rFonts w:ascii="Cambria" w:hAnsi="Cambria" w:cs="Calibri"/>
                <w:color w:val="000000"/>
                <w:sz w:val="22"/>
                <w:szCs w:val="22"/>
              </w:rPr>
            </w:pPr>
            <w:r>
              <w:rPr/>
            </w:r>
          </w:p>
        </w:tc>
        <w:tc>
          <w:tcPr>
            <w:tcW w:w="1559" w:type="dxa"/>
            <w:tcBorders/>
            <w:shd w:fill="FFFFFF" w:val="clear"/>
            <w:vAlign w:val="bottom"/>
          </w:tcPr>
          <w:p>
            <w:pPr>
              <w:pStyle w:val="Normal"/>
              <w:rPr>
                <w:rFonts w:ascii="Cambria" w:hAnsi="Cambria" w:cs="Calibri"/>
                <w:color w:val="000000"/>
                <w:sz w:val="22"/>
                <w:szCs w:val="22"/>
              </w:rPr>
            </w:pPr>
            <w:r>
              <w:rPr/>
            </w:r>
          </w:p>
        </w:tc>
        <w:tc>
          <w:tcPr>
            <w:tcW w:w="3403" w:type="dxa"/>
            <w:tcBorders/>
            <w:shd w:fill="FFFFFF" w:val="clear"/>
            <w:vAlign w:val="bottom"/>
          </w:tcPr>
          <w:p>
            <w:pPr>
              <w:pStyle w:val="Normal"/>
              <w:rPr>
                <w:rFonts w:ascii="Cambria" w:hAnsi="Cambria" w:cs="Calibri"/>
                <w:color w:val="000000"/>
                <w:sz w:val="22"/>
                <w:szCs w:val="22"/>
              </w:rPr>
            </w:pPr>
            <w:r>
              <w:rPr/>
            </w:r>
          </w:p>
        </w:tc>
        <w:tc>
          <w:tcPr>
            <w:tcW w:w="1417" w:type="dxa"/>
            <w:tcBorders/>
            <w:shd w:fill="FFFFFF" w:val="clear"/>
            <w:vAlign w:val="bottom"/>
          </w:tcPr>
          <w:p>
            <w:pPr>
              <w:pStyle w:val="Normal"/>
              <w:rPr>
                <w:rFonts w:ascii="Cambria" w:hAnsi="Cambria" w:cs="Calibri"/>
                <w:color w:val="000000"/>
                <w:sz w:val="22"/>
                <w:szCs w:val="22"/>
              </w:rPr>
            </w:pPr>
            <w:r>
              <w:rPr/>
            </w:r>
          </w:p>
        </w:tc>
      </w:tr>
    </w:tbl>
    <w:p>
      <w:pPr>
        <w:pStyle w:val="Normal"/>
        <w:jc w:val="center"/>
        <w:rPr>
          <w:sz w:val="22"/>
          <w:szCs w:val="22"/>
          <w:lang w:val="fr-CI"/>
        </w:rPr>
      </w:pPr>
      <w:r>
        <w:rPr>
          <w:sz w:val="22"/>
          <w:szCs w:val="22"/>
          <w:lang w:val="fr-CI"/>
        </w:rPr>
      </w:r>
    </w:p>
    <w:p>
      <w:pPr>
        <w:pStyle w:val="Normal"/>
        <w:jc w:val="both"/>
        <w:rPr>
          <w:iCs/>
          <w:sz w:val="22"/>
          <w:szCs w:val="22"/>
        </w:rPr>
      </w:pPr>
      <w:r>
        <w:rPr>
          <w:iCs/>
          <w:sz w:val="22"/>
          <w:szCs w:val="22"/>
        </w:rPr>
        <w:t xml:space="preserve">Ce bilan de départ montre la situation de démarrage de l’entreprise ainsi que l’allocation des ressources provenant du financement du projet qui est de </w:t>
      </w:r>
      <w:r>
        <w:rPr>
          <w:b/>
          <w:bCs/>
          <w:iCs/>
          <w:sz w:val="22"/>
          <w:szCs w:val="22"/>
          <w:lang w:eastAsia="fr-CA"/>
        </w:rPr>
        <w:t>5 000 000</w:t>
      </w:r>
      <w:r>
        <w:rPr>
          <w:iCs/>
          <w:sz w:val="22"/>
          <w:szCs w:val="22"/>
        </w:rPr>
        <w:t xml:space="preserve"> FCFA.  </w:t>
      </w:r>
    </w:p>
    <w:p>
      <w:pPr>
        <w:pStyle w:val="Normal"/>
        <w:jc w:val="both"/>
        <w:rPr>
          <w:iCs/>
          <w:sz w:val="22"/>
          <w:szCs w:val="22"/>
        </w:rPr>
      </w:pPr>
      <w:r>
        <w:rPr>
          <w:iCs/>
          <w:sz w:val="22"/>
          <w:szCs w:val="22"/>
        </w:rPr>
      </w:r>
    </w:p>
    <w:p>
      <w:pPr>
        <w:pStyle w:val="Heading2"/>
        <w:keepLines/>
        <w:numPr>
          <w:ilvl w:val="1"/>
          <w:numId w:val="4"/>
        </w:numPr>
        <w:spacing w:before="0" w:after="120"/>
        <w:ind w:hanging="491" w:left="851" w:right="0"/>
        <w:jc w:val="both"/>
        <w:rPr>
          <w:rFonts w:ascii="Times New Roman" w:hAnsi="Times New Roman" w:cs="Times New Roman"/>
          <w:i w:val="false"/>
          <w:i w:val="false"/>
          <w:iCs w:val="false"/>
          <w:lang w:val="fr-CI"/>
        </w:rPr>
      </w:pPr>
      <w:bookmarkStart w:id="27" w:name="__RefHeading___Toc234831726"/>
      <w:bookmarkEnd w:id="27"/>
      <w:r>
        <w:rPr>
          <w:rFonts w:cs="Times New Roman" w:ascii="Times New Roman" w:hAnsi="Times New Roman"/>
          <w:i w:val="false"/>
          <w:iCs w:val="false"/>
          <w:lang w:val="fr-CI"/>
        </w:rPr>
        <w:t>Calcul de rentabilité</w:t>
      </w:r>
    </w:p>
    <w:tbl>
      <w:tblPr>
        <w:tblW w:w="9923" w:type="dxa"/>
        <w:jc w:val="left"/>
        <w:tblInd w:w="70" w:type="dxa"/>
        <w:tblLayout w:type="fixed"/>
        <w:tblCellMar>
          <w:top w:w="0" w:type="dxa"/>
          <w:left w:w="70" w:type="dxa"/>
          <w:bottom w:w="0" w:type="dxa"/>
          <w:right w:w="70" w:type="dxa"/>
        </w:tblCellMar>
      </w:tblPr>
      <w:tblGrid>
        <w:gridCol w:w="3544"/>
        <w:gridCol w:w="284"/>
        <w:gridCol w:w="2552"/>
        <w:gridCol w:w="142"/>
        <w:gridCol w:w="1559"/>
        <w:gridCol w:w="142"/>
        <w:gridCol w:w="1419"/>
        <w:gridCol w:w="280"/>
      </w:tblGrid>
      <w:tr>
        <w:trPr>
          <w:trHeight w:val="405" w:hRule="atLeast"/>
        </w:trPr>
        <w:tc>
          <w:tcPr>
            <w:tcW w:w="9642" w:type="dxa"/>
            <w:gridSpan w:val="7"/>
            <w:tcBorders>
              <w:top w:val="single" w:sz="4" w:space="0" w:color="000000"/>
              <w:left w:val="single" w:sz="4" w:space="0" w:color="000000"/>
              <w:bottom w:val="single" w:sz="4" w:space="0" w:color="000000"/>
              <w:right w:val="single" w:sz="4" w:space="0" w:color="000000"/>
            </w:tcBorders>
            <w:shd w:fill="166B7F" w:val="clear"/>
            <w:vAlign w:val="bottom"/>
          </w:tcPr>
          <w:p>
            <w:pPr>
              <w:pStyle w:val="Normal"/>
              <w:rPr>
                <w:rFonts w:ascii="Cambria" w:hAnsi="Cambria" w:cs="Calibri"/>
                <w:b/>
                <w:bCs/>
                <w:color w:val="FFFFFF"/>
                <w:sz w:val="32"/>
                <w:szCs w:val="32"/>
              </w:rPr>
            </w:pPr>
            <w:r>
              <w:rPr>
                <w:rFonts w:cs="Calibri" w:ascii="Cambria" w:hAnsi="Cambria"/>
                <w:b/>
                <w:bCs/>
                <w:color w:val="FFFFFF"/>
                <w:sz w:val="32"/>
                <w:szCs w:val="32"/>
              </w:rPr>
              <w:t>G. RATIOS D'ANALYSE ECONOMIQUE ET FINANCIERE (FCFA)</w:t>
            </w:r>
          </w:p>
        </w:tc>
        <w:tc>
          <w:tcPr>
            <w:tcW w:w="280" w:type="dxa"/>
            <w:tcBorders>
              <w:top w:val="single" w:sz="4" w:space="0" w:color="000000"/>
              <w:left w:val="single" w:sz="4" w:space="0" w:color="000000"/>
              <w:bottom w:val="single" w:sz="4" w:space="0" w:color="000000"/>
              <w:right w:val="single" w:sz="4" w:space="0" w:color="000000"/>
            </w:tcBorders>
            <w:shd w:fill="166B7F" w:val="clear"/>
            <w:vAlign w:val="bottom"/>
          </w:tcPr>
          <w:p>
            <w:pPr>
              <w:pStyle w:val="Normal"/>
              <w:rPr>
                <w:rFonts w:ascii="Cambria" w:hAnsi="Cambria" w:cs="Calibri"/>
                <w:b/>
                <w:bCs/>
                <w:color w:val="FFFFFF"/>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b/>
                <w:bCs/>
                <w:color w:val="000000"/>
                <w:sz w:val="22"/>
                <w:szCs w:val="22"/>
              </w:rPr>
            </w:pPr>
            <w:r>
              <w:rPr>
                <w:rFonts w:cs="Calibri" w:ascii="Cambira;Cambria;Cambria" w:hAnsi="Cambira;Cambria;Cambria"/>
                <w:b/>
                <w:bCs/>
                <w:color w:val="000000"/>
                <w:sz w:val="22"/>
                <w:szCs w:val="22"/>
              </w:rPr>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b/>
                <w:bCs/>
                <w:color w:val="000000"/>
                <w:sz w:val="22"/>
                <w:szCs w:val="22"/>
              </w:rPr>
            </w:pPr>
            <w:r>
              <w:rPr>
                <w:rFonts w:cs="Calibri" w:ascii="Cambira;Cambria;Cambria" w:hAnsi="Cambira;Cambria;Cambria"/>
                <w:b/>
                <w:bCs/>
                <w:color w:val="000000"/>
                <w:sz w:val="22"/>
                <w:szCs w:val="22"/>
              </w:rPr>
            </w:r>
          </w:p>
        </w:tc>
        <w:tc>
          <w:tcPr>
            <w:tcW w:w="3262" w:type="dxa"/>
            <w:gridSpan w:val="4"/>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2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color w:val="000000"/>
                <w:sz w:val="22"/>
                <w:szCs w:val="22"/>
              </w:rPr>
            </w:pPr>
            <w:r>
              <w:rPr>
                <w:rFonts w:cs="Calibri" w:ascii="Cambira;Cambria;Cambria" w:hAnsi="Cambira;Cambria;Cambria"/>
                <w:color w:val="000000"/>
                <w:sz w:val="22"/>
                <w:szCs w:val="22"/>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1. Le taux de valeur ajoutée</w:t>
            </w:r>
          </w:p>
        </w:tc>
        <w:tc>
          <w:tcPr>
            <w:tcW w:w="2836" w:type="dxa"/>
            <w:gridSpan w:val="2"/>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Désignations/Années</w:t>
            </w:r>
          </w:p>
        </w:tc>
        <w:tc>
          <w:tcPr>
            <w:tcW w:w="2836" w:type="dxa"/>
            <w:gridSpan w:val="2"/>
            <w:tcBorders>
              <w:top w:val="single" w:sz="4" w:space="0" w:color="000000"/>
              <w:left w:val="single" w:sz="4" w:space="0" w:color="000000"/>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AN1</w:t>
            </w:r>
          </w:p>
        </w:tc>
        <w:tc>
          <w:tcPr>
            <w:tcW w:w="1843" w:type="dxa"/>
            <w:gridSpan w:val="3"/>
            <w:tcBorders>
              <w:top w:val="single" w:sz="4" w:space="0" w:color="000000"/>
              <w:left w:val="single" w:sz="4" w:space="0" w:color="000000"/>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AN2</w:t>
            </w:r>
          </w:p>
        </w:tc>
        <w:tc>
          <w:tcPr>
            <w:tcW w:w="1699" w:type="dxa"/>
            <w:gridSpan w:val="2"/>
            <w:tcBorders>
              <w:top w:val="single" w:sz="4" w:space="0" w:color="000000"/>
              <w:left w:val="single" w:sz="4" w:space="0" w:color="000000"/>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AN3</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de personnel</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2 100 000</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2 205 000</w:t>
            </w:r>
          </w:p>
        </w:tc>
        <w:tc>
          <w:tcPr>
            <w:tcW w:w="1699"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2 205 000</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Dotations aux amortissements</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914 917</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899 917</w:t>
            </w:r>
          </w:p>
        </w:tc>
        <w:tc>
          <w:tcPr>
            <w:tcW w:w="1699"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899 917</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financiers</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382 909</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236 127</w:t>
            </w:r>
          </w:p>
        </w:tc>
        <w:tc>
          <w:tcPr>
            <w:tcW w:w="1699"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82 964</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Résultats bruts</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mbira;Cambria;Cambria" w:ascii="Cambira;Cambria;Cambria" w:hAnsi="Cambira;Cambria;Cambria"/>
                <w:color w:val="000000"/>
                <w:sz w:val="22"/>
              </w:rPr>
              <w:t>1 172 174</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mbira;Cambria;Cambria" w:ascii="Cambira;Cambria;Cambria" w:hAnsi="Cambira;Cambria;Cambria"/>
                <w:color w:val="000000"/>
                <w:sz w:val="22"/>
              </w:rPr>
              <w:t>1 265 656</w:t>
            </w:r>
          </w:p>
        </w:tc>
        <w:tc>
          <w:tcPr>
            <w:tcW w:w="1699"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mbira;Cambria;Cambria" w:ascii="Cambira;Cambria;Cambria" w:hAnsi="Cambira;Cambria;Cambria"/>
                <w:color w:val="000000"/>
                <w:sz w:val="22"/>
              </w:rPr>
              <w:t>1 441 156</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Total VA</w:t>
            </w:r>
          </w:p>
        </w:tc>
        <w:tc>
          <w:tcPr>
            <w:tcW w:w="2836"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4 570 000</w:t>
            </w:r>
          </w:p>
        </w:tc>
        <w:tc>
          <w:tcPr>
            <w:tcW w:w="1843" w:type="dxa"/>
            <w:gridSpan w:val="3"/>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4 606 700</w:t>
            </w:r>
          </w:p>
        </w:tc>
        <w:tc>
          <w:tcPr>
            <w:tcW w:w="1699"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4 629 036</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1699" w:type="dxa"/>
            <w:gridSpan w:val="2"/>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color w:val="000000"/>
                <w:sz w:val="22"/>
                <w:szCs w:val="22"/>
              </w:rPr>
            </w:pPr>
            <w:r>
              <w:rPr>
                <w:rFonts w:cs="Calibri" w:ascii="Cambira;Cambria;Cambria" w:hAnsi="Cambira;Cambria;Cambria"/>
                <w:color w:val="000000"/>
                <w:sz w:val="22"/>
                <w:szCs w:val="22"/>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Chiffre d'affaires</w:t>
            </w:r>
          </w:p>
        </w:tc>
        <w:tc>
          <w:tcPr>
            <w:tcW w:w="2836"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6 000 000</w:t>
            </w:r>
          </w:p>
        </w:tc>
        <w:tc>
          <w:tcPr>
            <w:tcW w:w="1843" w:type="dxa"/>
            <w:gridSpan w:val="3"/>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6 120 000</w:t>
            </w:r>
          </w:p>
        </w:tc>
        <w:tc>
          <w:tcPr>
            <w:tcW w:w="1699"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6 242 400</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1699" w:type="dxa"/>
            <w:gridSpan w:val="2"/>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color w:val="000000"/>
                <w:sz w:val="22"/>
                <w:szCs w:val="22"/>
              </w:rPr>
            </w:pPr>
            <w:r>
              <w:rPr>
                <w:rFonts w:cs="Calibri" w:ascii="Cambira;Cambria;Cambria" w:hAnsi="Cambira;Cambria;Cambria"/>
                <w:color w:val="000000"/>
                <w:sz w:val="22"/>
                <w:szCs w:val="22"/>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Taux de VA (%)</w:t>
            </w:r>
          </w:p>
        </w:tc>
        <w:tc>
          <w:tcPr>
            <w:tcW w:w="2836"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76%</w:t>
            </w:r>
          </w:p>
        </w:tc>
        <w:tc>
          <w:tcPr>
            <w:tcW w:w="1843" w:type="dxa"/>
            <w:gridSpan w:val="3"/>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75%</w:t>
            </w:r>
          </w:p>
        </w:tc>
        <w:tc>
          <w:tcPr>
            <w:tcW w:w="1699"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74%</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Taux moyen de la Valeur Ajoutée</w:t>
            </w:r>
          </w:p>
        </w:tc>
        <w:tc>
          <w:tcPr>
            <w:tcW w:w="2836"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75%</w:t>
            </w:r>
          </w:p>
        </w:tc>
        <w:tc>
          <w:tcPr>
            <w:tcW w:w="1843" w:type="dxa"/>
            <w:gridSpan w:val="3"/>
            <w:tcBorders>
              <w:top w:val="single" w:sz="4" w:space="0" w:color="000000"/>
              <w:left w:val="single" w:sz="4" w:space="0" w:color="000000"/>
              <w:bottom w:val="single" w:sz="4" w:space="0" w:color="000000"/>
              <w:right w:val="single" w:sz="4" w:space="0" w:color="000000"/>
            </w:tcBorders>
            <w:shd w:fill="A9D18D" w:val="clear"/>
            <w:vAlign w:val="bottom"/>
          </w:tcPr>
          <w:p>
            <w:pPr>
              <w:pStyle w:val="Normal"/>
              <w:jc w:val="center"/>
              <w:rPr>
                <w:rFonts w:ascii="Cambria" w:hAnsi="Cambria" w:cs="Calibri"/>
                <w:b/>
                <w:bCs/>
                <w:i/>
                <w:i/>
                <w:iCs/>
                <w:sz w:val="22"/>
                <w:szCs w:val="22"/>
              </w:rPr>
            </w:pPr>
            <w:r>
              <w:rPr>
                <w:rFonts w:cs="Cambria" w:ascii="Cambria" w:hAnsi="Cambria"/>
                <w:b/>
                <w:i/>
                <w:sz w:val="22"/>
              </w:rPr>
              <w:t>75%</w:t>
            </w:r>
          </w:p>
        </w:tc>
        <w:tc>
          <w:tcPr>
            <w:tcW w:w="1699"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2. Le seuil de rentabilité</w:t>
            </w:r>
          </w:p>
        </w:tc>
        <w:tc>
          <w:tcPr>
            <w:tcW w:w="2836" w:type="dxa"/>
            <w:gridSpan w:val="2"/>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Désignation</w:t>
            </w:r>
          </w:p>
        </w:tc>
        <w:tc>
          <w:tcPr>
            <w:tcW w:w="2836" w:type="dxa"/>
            <w:gridSpan w:val="2"/>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Charges fixes</w:t>
            </w:r>
          </w:p>
        </w:tc>
        <w:tc>
          <w:tcPr>
            <w:tcW w:w="1843" w:type="dxa"/>
            <w:gridSpan w:val="3"/>
            <w:tcBorders>
              <w:top w:val="single" w:sz="4" w:space="0" w:color="000000"/>
              <w:left w:val="single" w:sz="4"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Charges variables</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Achats</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1 350 864</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de Personnel</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2 205 000</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Impôts et taxes</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198 450</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45"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Travaux-Fournitures et Services Extérieurs (TFSE)</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262 500</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Autres charges</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0</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financiers et services de la dette</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82 964</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Dotations aux amortissements</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899 917</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Total</w:t>
            </w:r>
          </w:p>
        </w:tc>
        <w:tc>
          <w:tcPr>
            <w:tcW w:w="2836"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right"/>
              <w:rPr>
                <w:rFonts w:ascii="Cambria" w:hAnsi="Cambria" w:cs="Calibri"/>
                <w:b/>
                <w:bCs/>
                <w:i/>
                <w:i/>
                <w:iCs/>
                <w:sz w:val="22"/>
                <w:szCs w:val="22"/>
              </w:rPr>
            </w:pPr>
            <w:r>
              <w:rPr>
                <w:rFonts w:cs="Calibri" w:ascii="Cambria" w:hAnsi="Cambria"/>
                <w:b/>
                <w:bCs/>
                <w:i/>
                <w:iCs/>
                <w:sz w:val="22"/>
                <w:szCs w:val="22"/>
              </w:rPr>
              <w:t>3 386 330</w:t>
            </w:r>
          </w:p>
        </w:tc>
        <w:tc>
          <w:tcPr>
            <w:tcW w:w="1843" w:type="dxa"/>
            <w:gridSpan w:val="3"/>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libri" w:ascii="Cambria" w:hAnsi="Cambria"/>
                <w:b/>
                <w:bCs/>
                <w:i/>
                <w:iCs/>
                <w:sz w:val="22"/>
                <w:szCs w:val="22"/>
              </w:rPr>
              <w:t>1 613 364</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210" w:hRule="atLeast"/>
        </w:trPr>
        <w:tc>
          <w:tcPr>
            <w:tcW w:w="3544"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60" w:hRule="atLeast"/>
        </w:trPr>
        <w:tc>
          <w:tcPr>
            <w:tcW w:w="3544"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2. Le Seuil de rentabilité (année 3)</w:t>
            </w:r>
          </w:p>
        </w:tc>
        <w:tc>
          <w:tcPr>
            <w:tcW w:w="2836" w:type="dxa"/>
            <w:gridSpan w:val="2"/>
            <w:tcBorders>
              <w:top w:val="single" w:sz="4" w:space="0" w:color="000000"/>
              <w:left w:val="single" w:sz="4" w:space="0" w:color="000000"/>
              <w:bottom w:val="single" w:sz="4" w:space="0" w:color="000000"/>
              <w:right w:val="single" w:sz="4" w:space="0" w:color="000000"/>
            </w:tcBorders>
            <w:shd w:fill="002060" w:val="clear"/>
            <w:vAlign w:val="center"/>
          </w:tcPr>
          <w:p>
            <w:pPr>
              <w:pStyle w:val="Normal"/>
              <w:jc w:val="center"/>
              <w:rPr>
                <w:rFonts w:ascii="Cambira;Cambria;Cambria" w:hAnsi="Cambira;Cambria;Cambria" w:cs="Calibri"/>
                <w:b/>
                <w:bCs/>
                <w:color w:val="FFFFFF"/>
                <w:sz w:val="22"/>
                <w:szCs w:val="22"/>
              </w:rPr>
            </w:pPr>
            <w:r>
              <w:rPr>
                <w:rFonts w:cs="Cambira;Cambria;Cambria" w:ascii="Cambira;Cambria;Cambria" w:hAnsi="Cambira;Cambria;Cambria"/>
                <w:b/>
                <w:color w:val="FFFFFF"/>
                <w:sz w:val="22"/>
              </w:rPr>
              <w:t>73%</w:t>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 DU CA</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60" w:hRule="atLeast"/>
        </w:trPr>
        <w:tc>
          <w:tcPr>
            <w:tcW w:w="3544"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 xml:space="preserve">    </w:t>
            </w:r>
            <w:r>
              <w:rPr>
                <w:rFonts w:cs="Calibri" w:ascii="Cambria" w:hAnsi="Cambria"/>
                <w:b/>
                <w:bCs/>
                <w:i/>
                <w:iCs/>
                <w:color w:val="FFFFFF"/>
                <w:sz w:val="22"/>
                <w:szCs w:val="22"/>
              </w:rPr>
              <w:t>Seuil de rentabilité (année 1)</w:t>
            </w:r>
          </w:p>
        </w:tc>
        <w:tc>
          <w:tcPr>
            <w:tcW w:w="2836" w:type="dxa"/>
            <w:gridSpan w:val="2"/>
            <w:tcBorders>
              <w:top w:val="single" w:sz="4" w:space="0" w:color="000000"/>
              <w:left w:val="single" w:sz="4" w:space="0" w:color="000000"/>
              <w:bottom w:val="single" w:sz="4" w:space="0" w:color="000000"/>
              <w:right w:val="single" w:sz="4" w:space="0" w:color="000000"/>
            </w:tcBorders>
            <w:shd w:fill="002060" w:val="clear"/>
            <w:vAlign w:val="center"/>
          </w:tcPr>
          <w:p>
            <w:pPr>
              <w:pStyle w:val="Normal"/>
              <w:jc w:val="center"/>
              <w:rPr>
                <w:rFonts w:ascii="Cambira;Cambria;Cambria" w:hAnsi="Cambira;Cambria;Cambria" w:cs="Calibri"/>
                <w:b/>
                <w:bCs/>
                <w:color w:val="FFFFFF"/>
                <w:sz w:val="22"/>
                <w:szCs w:val="22"/>
              </w:rPr>
            </w:pPr>
            <w:r>
              <w:rPr>
                <w:rFonts w:cs="Cambira;Cambria;Cambria" w:ascii="Cambira;Cambria;Cambria" w:hAnsi="Cambira;Cambria;Cambria"/>
                <w:b/>
                <w:color w:val="FFFFFF"/>
                <w:sz w:val="22"/>
              </w:rPr>
              <w:t>78%</w:t>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 DU CA</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180" w:hRule="atLeast"/>
        </w:trPr>
        <w:tc>
          <w:tcPr>
            <w:tcW w:w="3544"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3. Le taux de rentabilité interne (TRI)</w:t>
            </w:r>
          </w:p>
        </w:tc>
        <w:tc>
          <w:tcPr>
            <w:tcW w:w="2836" w:type="dxa"/>
            <w:gridSpan w:val="2"/>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Fonts w:cs="Cambria" w:ascii="Cambria" w:hAnsi="Cambria"/>
                <w:b/>
                <w:i/>
                <w:color w:val="FFFFFF"/>
                <w:sz w:val="22"/>
              </w:rPr>
              <w:t>29,9%</w:t>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210" w:hRule="atLeast"/>
        </w:trPr>
        <w:tc>
          <w:tcPr>
            <w:tcW w:w="3544"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4. La valeur actuelle nette (VAN)</w:t>
            </w:r>
          </w:p>
        </w:tc>
        <w:tc>
          <w:tcPr>
            <w:tcW w:w="2836" w:type="dxa"/>
            <w:gridSpan w:val="2"/>
            <w:tcBorders>
              <w:top w:val="single" w:sz="4" w:space="0" w:color="000000"/>
              <w:left w:val="single" w:sz="4" w:space="0" w:color="000000"/>
              <w:bottom w:val="single" w:sz="4" w:space="0" w:color="000000"/>
              <w:right w:val="single" w:sz="4" w:space="0" w:color="000000"/>
            </w:tcBorders>
            <w:shd w:fill="21A6C9" w:val="clear"/>
            <w:vAlign w:val="bottom"/>
          </w:tcPr>
          <w:p>
            <w:pPr>
              <w:pStyle w:val="Normal"/>
              <w:ind w:firstLine="212" w:left="-212" w:right="0"/>
              <w:jc w:val="center"/>
              <w:rPr>
                <w:rFonts w:ascii="Cambria" w:hAnsi="Cambria" w:cs="Cambria"/>
                <w:b/>
                <w:i/>
                <w:i/>
                <w:color w:val="FFFFFF"/>
                <w:sz w:val="22"/>
              </w:rPr>
            </w:pPr>
            <w:r>
              <w:rPr>
                <w:rFonts w:cs="Cambria" w:ascii="Cambria" w:hAnsi="Cambria"/>
                <w:b/>
                <w:i/>
                <w:color w:val="FFFFFF"/>
                <w:sz w:val="22"/>
              </w:rPr>
              <w:t>3 326 421</w:t>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F.CFA</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135" w:hRule="atLeast"/>
        </w:trPr>
        <w:tc>
          <w:tcPr>
            <w:tcW w:w="3544"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6380" w:type="dxa"/>
            <w:gridSpan w:val="3"/>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5.  Délais de récupération (sans actualisation, avec actualisation)</w:t>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828" w:type="dxa"/>
            <w:gridSpan w:val="2"/>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sz w:val="22"/>
                <w:szCs w:val="22"/>
              </w:rPr>
            </w:pPr>
            <w:r>
              <w:rPr>
                <w:rFonts w:eastAsia="Cambira;Cambria;Cambria" w:cs="Cambira;Cambria;Cambria" w:ascii="Cambira;Cambria;Cambria" w:hAnsi="Cambira;Cambria;Cambria"/>
                <w:sz w:val="22"/>
                <w:szCs w:val="22"/>
              </w:rPr>
              <w:t xml:space="preserve">  </w:t>
            </w:r>
            <w:r>
              <w:rPr>
                <w:rFonts w:cs="Calibri" w:ascii="Cambira;Cambria;Cambria" w:hAnsi="Cambira;Cambria;Cambria"/>
                <w:sz w:val="22"/>
                <w:szCs w:val="22"/>
              </w:rPr>
              <w:t>Sans actualisation</w:t>
            </w:r>
          </w:p>
        </w:tc>
        <w:tc>
          <w:tcPr>
            <w:tcW w:w="2552"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3CB" w:val="clear"/>
            <w:vAlign w:val="bottom"/>
          </w:tcPr>
          <w:p>
            <w:pPr>
              <w:pStyle w:val="Normal"/>
              <w:rPr>
                <w:rFonts w:ascii="Calibri" w:hAnsi="Calibri" w:cs="Calibri"/>
                <w:color w:val="000000"/>
                <w:sz w:val="22"/>
                <w:szCs w:val="22"/>
              </w:rPr>
            </w:pPr>
            <w:r>
              <w:rPr>
                <w:rFonts w:cs="Calibri" w:ascii="Calibri" w:hAnsi="Calibri"/>
                <w:color w:val="000000"/>
                <w:sz w:val="22"/>
              </w:rPr>
              <w:t>2 ans et 6 mois</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828" w:type="dxa"/>
            <w:gridSpan w:val="2"/>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sz w:val="22"/>
                <w:szCs w:val="22"/>
              </w:rPr>
            </w:pPr>
            <w:r>
              <w:rPr>
                <w:rFonts w:eastAsia="Cambira;Cambria;Cambria" w:cs="Cambira;Cambria;Cambria" w:ascii="Cambira;Cambria;Cambria" w:hAnsi="Cambira;Cambria;Cambria"/>
                <w:sz w:val="22"/>
                <w:szCs w:val="22"/>
              </w:rPr>
              <w:t xml:space="preserve">  </w:t>
            </w:r>
            <w:r>
              <w:rPr>
                <w:rFonts w:cs="Calibri" w:ascii="Cambira;Cambria;Cambria" w:hAnsi="Cambira;Cambria;Cambria"/>
                <w:sz w:val="22"/>
                <w:szCs w:val="22"/>
              </w:rPr>
              <w:t>Avec actualisation au taux de</w:t>
            </w:r>
          </w:p>
        </w:tc>
        <w:tc>
          <w:tcPr>
            <w:tcW w:w="255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8%</w:t>
            </w:r>
          </w:p>
        </w:tc>
        <w:tc>
          <w:tcPr>
            <w:tcW w:w="1843" w:type="dxa"/>
            <w:gridSpan w:val="3"/>
            <w:tcBorders>
              <w:top w:val="single" w:sz="4" w:space="0" w:color="000000"/>
              <w:left w:val="single" w:sz="4" w:space="0" w:color="000000"/>
              <w:bottom w:val="single" w:sz="4" w:space="0" w:color="000000"/>
              <w:right w:val="single" w:sz="4" w:space="0" w:color="000000"/>
            </w:tcBorders>
            <w:shd w:fill="FFF3CB" w:val="clear"/>
            <w:vAlign w:val="bottom"/>
          </w:tcPr>
          <w:p>
            <w:pPr>
              <w:pStyle w:val="Normal"/>
              <w:rPr>
                <w:rFonts w:ascii="Calibri" w:hAnsi="Calibri" w:cs="Calibri"/>
                <w:color w:val="000000"/>
                <w:sz w:val="22"/>
                <w:szCs w:val="22"/>
              </w:rPr>
            </w:pPr>
            <w:r>
              <w:rPr>
                <w:rFonts w:cs="Calibri" w:ascii="Calibri" w:hAnsi="Calibri"/>
                <w:color w:val="000000"/>
                <w:sz w:val="22"/>
              </w:rPr>
              <w:t>2 ans et 11 mois</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828"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2552"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585" w:hRule="atLeast"/>
        </w:trPr>
        <w:tc>
          <w:tcPr>
            <w:tcW w:w="3828" w:type="dxa"/>
            <w:gridSpan w:val="2"/>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6. Le taux de marge nette de la troisième année</w:t>
              <w:br/>
            </w:r>
            <w:r>
              <w:rPr>
                <w:rFonts w:cs="Calibri" w:ascii="Cambira;Cambria;Cambria" w:hAnsi="Cambira;Cambria;Cambria"/>
                <w:i/>
                <w:iCs/>
                <w:sz w:val="22"/>
                <w:szCs w:val="22"/>
              </w:rPr>
              <w:t>(résultat net/Chiffres d'affaires)</w:t>
            </w:r>
          </w:p>
        </w:tc>
        <w:tc>
          <w:tcPr>
            <w:tcW w:w="2552" w:type="dxa"/>
            <w:tcBorders>
              <w:top w:val="single" w:sz="4" w:space="0" w:color="000000"/>
              <w:left w:val="single" w:sz="4" w:space="0" w:color="000000"/>
              <w:bottom w:val="single" w:sz="4" w:space="0" w:color="000000"/>
              <w:right w:val="single" w:sz="4" w:space="0" w:color="000000"/>
            </w:tcBorders>
            <w:shd w:fill="21A6C9" w:val="clear"/>
            <w:vAlign w:val="center"/>
          </w:tcPr>
          <w:p>
            <w:pPr>
              <w:pStyle w:val="Normal"/>
              <w:jc w:val="center"/>
              <w:rPr>
                <w:rFonts w:ascii="Cambria" w:hAnsi="Cambria" w:cs="Calibri"/>
                <w:b/>
                <w:bCs/>
                <w:i/>
                <w:i/>
                <w:iCs/>
                <w:color w:val="FFFFFF"/>
                <w:sz w:val="22"/>
                <w:szCs w:val="22"/>
              </w:rPr>
            </w:pPr>
            <w:r>
              <w:rPr>
                <w:rFonts w:cs="Cambria" w:ascii="Cambria" w:hAnsi="Cambria"/>
                <w:b/>
                <w:i/>
                <w:color w:val="FFFFFF"/>
                <w:sz w:val="22"/>
              </w:rPr>
              <w:t>20%</w:t>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90" w:hRule="atLeast"/>
        </w:trPr>
        <w:tc>
          <w:tcPr>
            <w:tcW w:w="3828"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rFonts w:ascii="Cambira;Cambria;Cambria" w:hAnsi="Cambira;Cambria;Cambria" w:cs="Calibri"/>
                <w:b/>
                <w:bCs/>
                <w:color w:val="000080"/>
                <w:sz w:val="22"/>
                <w:szCs w:val="22"/>
              </w:rPr>
            </w:pPr>
            <w:r>
              <w:rPr/>
            </w:r>
          </w:p>
        </w:tc>
        <w:tc>
          <w:tcPr>
            <w:tcW w:w="2694"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rFonts w:ascii="Cambira;Cambria;Cambria" w:hAnsi="Cambira;Cambria;Cambria" w:cs="Calibri"/>
                <w:b/>
                <w:bCs/>
                <w:color w:val="000080"/>
                <w:sz w:val="22"/>
                <w:szCs w:val="22"/>
              </w:rPr>
            </w:pPr>
            <w:r>
              <w:rPr/>
            </w:r>
          </w:p>
        </w:tc>
        <w:tc>
          <w:tcPr>
            <w:tcW w:w="1559"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841"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bl>
    <w:p>
      <w:pPr>
        <w:pStyle w:val="Normal"/>
        <w:rPr/>
      </w:pPr>
      <w:r>
        <w:rPr>
          <w:b/>
          <w:i w:val="false"/>
          <w:sz w:val="22"/>
        </w:rPr>
        <w:t>Analyse de sensibilité</w:t>
      </w:r>
    </w:p>
    <w:p>
      <w:pPr>
        <w:pStyle w:val="Normal"/>
        <w:rPr/>
      </w:pPr>
      <w:r>
        <w:rPr>
          <w:b w:val="false"/>
          <w:i w:val="false"/>
          <w:sz w:val="20"/>
        </w:rPr>
        <w:t>Les indicateurs ont été recalculés dans l’hypothèse d’une baisse de 20 % puis de 30 % des quantités vendues (rendement) ou des prix de vente, toutes les charges étant maintenues.</w:t>
      </w:r>
    </w:p>
    <w:tbl>
      <w:tblPr>
        <w:tblW w:w="9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28"/>
        <w:gridCol w:w="1928"/>
        <w:gridCol w:w="1928"/>
        <w:gridCol w:w="1928"/>
        <w:gridCol w:w="1928"/>
      </w:tblGrid>
      <w:tr>
        <w:trPr/>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Scénario</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Chiffre d’affaires an 1</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Résultat net an 1</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TRI</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Couverture du principal an 2 (CAF / principal)</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Scénario de base</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6 000 000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983 174</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29,9%</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1,20</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Rendement ou prix −20 %</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4 800 000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-216 826</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-4,9%</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0,45</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Rendement ou prix −30 %</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4 200 000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-816 826</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non défini (négatif)</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0,08</w:t>
            </w:r>
          </w:p>
        </w:tc>
      </w:tr>
    </w:tbl>
    <w:p>
      <w:pPr>
        <w:pStyle w:val="Normal"/>
        <w:rPr/>
      </w:pPr>
      <w:r>
        <w:rPr>
          <w:b w:val="false"/>
          <w:i/>
          <w:sz w:val="18"/>
        </w:rPr>
        <w:t>Valeur actuelle nette du scénario de base : 3 326 421 F CFA à 8 % (taux du prêt), 2 891 540 F CFA à 10 % et 2 491 452 F CFA à 12 % (coût d’opportunité du capital). Le coefficient de couverture rapporte la capacité d’autofinancement de l’année 2 au principal remboursé la même année ; il doit rester supérieur à 1,2 pour que le remboursement soit assuré.</w:t>
      </w:r>
    </w:p>
    <w:p>
      <w:pPr>
        <w:pStyle w:val="Normal"/>
        <w:rPr/>
      </w:pPr>
      <w:r>
        <w:rPr/>
      </w:r>
    </w:p>
    <w:p>
      <w:pPr>
        <w:pStyle w:val="Heading1"/>
        <w:keepLines/>
        <w:numPr>
          <w:ilvl w:val="0"/>
          <w:numId w:val="4"/>
        </w:numPr>
        <w:spacing w:before="240" w:after="0"/>
        <w:ind w:hanging="431" w:left="431" w:right="0"/>
        <w:jc w:val="both"/>
        <w:rPr>
          <w:rFonts w:ascii="Times New Roman" w:hAnsi="Times New Roman" w:cs="Times New Roman"/>
          <w:caps/>
          <w:color w:val="166B7F"/>
          <w:kern w:val="0"/>
          <w:sz w:val="24"/>
          <w:szCs w:val="24"/>
          <w:lang w:eastAsia="en-US"/>
        </w:rPr>
      </w:pPr>
      <w:bookmarkStart w:id="28" w:name="__RefHeading___Toc234831727"/>
      <w:bookmarkEnd w:id="28"/>
      <w:r>
        <w:rPr>
          <w:rFonts w:cs="Times New Roman" w:ascii="Times New Roman" w:hAnsi="Times New Roman"/>
          <w:caps/>
          <w:color w:val="166B7F"/>
          <w:kern w:val="0"/>
          <w:sz w:val="24"/>
          <w:szCs w:val="24"/>
          <w:lang w:eastAsia="en-US"/>
        </w:rPr>
        <w:t>ANALYSE DES FORCES, FAIBLESSES, OPPORTUNITÉS ET MENACES</w:t>
      </w:r>
    </w:p>
    <w:p>
      <w:pPr>
        <w:pStyle w:val="Normal"/>
        <w:rPr>
          <w:lang w:eastAsia="en-US"/>
        </w:rPr>
      </w:pPr>
      <w:r>
        <w:rPr>
          <w:lang w:eastAsia="en-US"/>
        </w:rPr>
        <w:t xml:space="preserve">L’analyse FFOM montre que l’entreprise </w:t>
      </w:r>
      <w:r>
        <w:rPr>
          <w:b/>
          <w:bCs/>
          <w:lang w:eastAsia="en-US"/>
        </w:rPr>
        <w:t>ZÉRÉ DÉLICE D’ISSA</w:t>
      </w:r>
      <w:r>
        <w:rPr>
          <w:lang w:eastAsia="en-US"/>
        </w:rPr>
        <w:t xml:space="preserve"> dispose d’importantes forces qu’elle doit bien exploiter et mettre en valeur pour mieux se positionner face aux concurrents informels. L’expérience du promoteur dans la production de pastèque en contre-saison, sa formation certifiée en production horticole durable (SIDIBE Agrotechniques), la maîtrise des itinéraires techniques, l’accès à l’eau (forage, bassin) et la bonne planification des campagnes constituent des atouts majeurs. Les opportunités doivent être bien analysées et saisies à temps, notamment la forte demande en pastèque à Bamako, Safo et environs, la possibilité d’extension progressive de la superficie exploitée (de 1 ha à 2 ha puis achat du terrain) et la valorisation des ressources locales. Les faiblesses identifiées (insuffisance de financement propre, équipement limité, superficie en location) doivent être atténuées à travers des actions efficaces de communication, de recherche de partenariats et d’épargne sur les bénéfices. Les menaces qui sont réelles (concurrence des pastèques importées, aléas climatiques, ravageurs et maladies, volatilité des prix, pannes d’équipements) sont des signaux à suivre et analyser afin de mieux anticiper leurs effets néfastes </w:t>
      </w:r>
    </w:p>
    <w:tbl>
      <w:tblPr>
        <w:tblpPr w:vertAnchor="text" w:horzAnchor="margin" w:tblpXSpec="center" w:leftFromText="141" w:rightFromText="141" w:tblpY="1045"/>
        <w:tblW w:w="10456" w:type="dxa"/>
        <w:jc w:val="left"/>
        <w:tblInd w:w="108" w:type="dxa"/>
        <w:tblLayout w:type="fixed"/>
        <w:tblCellMar>
          <w:top w:w="0" w:type="dxa"/>
          <w:left w:w="108" w:type="dxa"/>
          <w:bottom w:w="0" w:type="dxa"/>
          <w:right w:w="108" w:type="dxa"/>
        </w:tblCellMar>
      </w:tblPr>
      <w:tblGrid>
        <w:gridCol w:w="6486"/>
        <w:gridCol w:w="3969"/>
      </w:tblGrid>
      <w:tr>
        <w:trPr/>
        <w:tc>
          <w:tcPr>
            <w:tcW w:w="6486"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FORCES</w:t>
            </w:r>
          </w:p>
        </w:tc>
        <w:tc>
          <w:tcPr>
            <w:tcW w:w="3969"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FAIBLESSE</w:t>
            </w:r>
          </w:p>
        </w:tc>
      </w:tr>
      <w:tr>
        <w:trPr>
          <w:trHeight w:val="2325" w:hRule="atLeast"/>
        </w:trPr>
        <w:tc>
          <w:tcPr>
            <w:tcW w:w="6486" w:type="dxa"/>
            <w:tcBorders>
              <w:top w:val="single" w:sz="4" w:space="0" w:color="000000"/>
              <w:left w:val="single" w:sz="4" w:space="0" w:color="000000"/>
              <w:bottom w:val="single" w:sz="4" w:space="0" w:color="000000"/>
              <w:right w:val="single" w:sz="4" w:space="0" w:color="000000"/>
            </w:tcBorders>
          </w:tcPr>
          <w:p>
            <w:pPr>
              <w:pStyle w:val="Normal"/>
              <w:numPr>
                <w:ilvl w:val="0"/>
                <w:numId w:val="14"/>
              </w:numPr>
              <w:tabs>
                <w:tab w:val="clear" w:pos="708"/>
                <w:tab w:val="left" w:pos="720" w:leader="none"/>
              </w:tabs>
              <w:rPr>
                <w:sz w:val="22"/>
                <w:szCs w:val="22"/>
              </w:rPr>
            </w:pPr>
            <w:r>
              <w:rPr>
                <w:sz w:val="22"/>
                <w:szCs w:val="22"/>
              </w:rPr>
              <w:t>Expérience du promoteur dans la production de pastèque en contre-saison ;</w:t>
            </w:r>
          </w:p>
          <w:p>
            <w:pPr>
              <w:pStyle w:val="Normal"/>
              <w:numPr>
                <w:ilvl w:val="0"/>
                <w:numId w:val="14"/>
              </w:numPr>
              <w:tabs>
                <w:tab w:val="clear" w:pos="708"/>
                <w:tab w:val="left" w:pos="720" w:leader="none"/>
              </w:tabs>
              <w:rPr>
                <w:sz w:val="22"/>
                <w:szCs w:val="22"/>
              </w:rPr>
            </w:pPr>
            <w:r>
              <w:rPr>
                <w:sz w:val="22"/>
                <w:szCs w:val="22"/>
              </w:rPr>
              <w:t>Formation certifiée en production horticole durable (SIDIBE Agrotechniques, 3 mois) ;</w:t>
            </w:r>
          </w:p>
          <w:p>
            <w:pPr>
              <w:pStyle w:val="Normal"/>
              <w:numPr>
                <w:ilvl w:val="0"/>
                <w:numId w:val="14"/>
              </w:numPr>
              <w:tabs>
                <w:tab w:val="clear" w:pos="708"/>
                <w:tab w:val="left" w:pos="720" w:leader="none"/>
              </w:tabs>
              <w:rPr>
                <w:sz w:val="22"/>
                <w:szCs w:val="22"/>
              </w:rPr>
            </w:pPr>
            <w:r>
              <w:rPr>
                <w:sz w:val="22"/>
                <w:szCs w:val="22"/>
              </w:rPr>
              <w:t>Maîtrise des itinéraires techniques de la pastèque ;</w:t>
            </w:r>
          </w:p>
          <w:p>
            <w:pPr>
              <w:pStyle w:val="Normal"/>
              <w:numPr>
                <w:ilvl w:val="0"/>
                <w:numId w:val="14"/>
              </w:numPr>
              <w:tabs>
                <w:tab w:val="clear" w:pos="708"/>
                <w:tab w:val="left" w:pos="720" w:leader="none"/>
              </w:tabs>
              <w:rPr>
                <w:sz w:val="22"/>
                <w:szCs w:val="22"/>
              </w:rPr>
            </w:pPr>
            <w:r>
              <w:rPr>
                <w:sz w:val="22"/>
                <w:szCs w:val="22"/>
              </w:rPr>
              <w:t>Accès à l’eau (forage, bassin) et irrigation goutte-à-goutte ;</w:t>
            </w:r>
          </w:p>
          <w:p>
            <w:pPr>
              <w:pStyle w:val="Normal"/>
              <w:numPr>
                <w:ilvl w:val="0"/>
                <w:numId w:val="14"/>
              </w:numPr>
              <w:tabs>
                <w:tab w:val="clear" w:pos="708"/>
                <w:tab w:val="left" w:pos="720" w:leader="none"/>
              </w:tabs>
              <w:rPr>
                <w:sz w:val="22"/>
                <w:szCs w:val="22"/>
              </w:rPr>
            </w:pPr>
            <w:r>
              <w:rPr>
                <w:sz w:val="22"/>
                <w:szCs w:val="22"/>
              </w:rPr>
              <w:t>Bonne planification et anticipation des campagnes ;</w:t>
            </w:r>
          </w:p>
          <w:p>
            <w:pPr>
              <w:pStyle w:val="Normal"/>
              <w:numPr>
                <w:ilvl w:val="0"/>
                <w:numId w:val="14"/>
              </w:numPr>
              <w:tabs>
                <w:tab w:val="clear" w:pos="708"/>
                <w:tab w:val="left" w:pos="720" w:leader="none"/>
              </w:tabs>
              <w:rPr>
                <w:sz w:val="22"/>
                <w:szCs w:val="22"/>
              </w:rPr>
            </w:pPr>
            <w:r>
              <w:rPr>
                <w:sz w:val="22"/>
                <w:szCs w:val="22"/>
              </w:rPr>
              <w:t>Volonté de fidéliser la clientèle et de lui offrir un bon accueil ;</w:t>
            </w:r>
          </w:p>
          <w:p>
            <w:pPr>
              <w:pStyle w:val="Normal"/>
              <w:numPr>
                <w:ilvl w:val="0"/>
                <w:numId w:val="14"/>
              </w:numPr>
              <w:tabs>
                <w:tab w:val="clear" w:pos="708"/>
                <w:tab w:val="left" w:pos="720" w:leader="none"/>
              </w:tabs>
              <w:rPr>
                <w:sz w:val="22"/>
                <w:szCs w:val="22"/>
              </w:rPr>
            </w:pPr>
            <w:r>
              <w:rPr>
                <w:sz w:val="22"/>
                <w:szCs w:val="22"/>
              </w:rPr>
              <w:t>Bonne connaissance du marché de la pastèque à Safo et Bamako ;</w:t>
            </w:r>
          </w:p>
          <w:p>
            <w:pPr>
              <w:pStyle w:val="Normal"/>
              <w:numPr>
                <w:ilvl w:val="0"/>
                <w:numId w:val="14"/>
              </w:numPr>
              <w:tabs>
                <w:tab w:val="clear" w:pos="708"/>
                <w:tab w:val="left" w:pos="720" w:leader="none"/>
              </w:tabs>
              <w:rPr>
                <w:sz w:val="22"/>
                <w:szCs w:val="22"/>
              </w:rPr>
            </w:pPr>
            <w:r>
              <w:rPr>
                <w:sz w:val="22"/>
                <w:szCs w:val="22"/>
              </w:rPr>
              <w:t>Utilisation de fumure organique et peu d’engrais chimiques ;</w:t>
            </w:r>
          </w:p>
          <w:p>
            <w:pPr>
              <w:pStyle w:val="Normal"/>
              <w:numPr>
                <w:ilvl w:val="0"/>
                <w:numId w:val="14"/>
              </w:numPr>
              <w:tabs>
                <w:tab w:val="clear" w:pos="708"/>
                <w:tab w:val="left" w:pos="720" w:leader="none"/>
              </w:tabs>
              <w:rPr>
                <w:sz w:val="22"/>
                <w:szCs w:val="22"/>
              </w:rPr>
            </w:pPr>
            <w:r>
              <w:rPr>
                <w:sz w:val="22"/>
                <w:szCs w:val="22"/>
              </w:rPr>
              <w:t>Marque porteuse de sens (Zéré = pastèque en bambara, Délice).</w:t>
            </w:r>
          </w:p>
          <w:p>
            <w:pPr>
              <w:pStyle w:val="Normal"/>
              <w:rPr>
                <w:sz w:val="22"/>
                <w:szCs w:val="22"/>
              </w:rPr>
            </w:pPr>
            <w:r>
              <w:rPr>
                <w:sz w:val="22"/>
                <w:szCs w:val="22"/>
              </w:rPr>
            </w:r>
          </w:p>
        </w:tc>
        <w:tc>
          <w:tcPr>
            <w:tcW w:w="3969" w:type="dxa"/>
            <w:tcBorders>
              <w:top w:val="single" w:sz="4" w:space="0" w:color="000000"/>
              <w:left w:val="single" w:sz="4" w:space="0" w:color="000000"/>
              <w:bottom w:val="single" w:sz="4" w:space="0" w:color="000000"/>
              <w:right w:val="single" w:sz="4" w:space="0" w:color="000000"/>
            </w:tcBorders>
          </w:tcPr>
          <w:p>
            <w:pPr>
              <w:pStyle w:val="Normal"/>
              <w:numPr>
                <w:ilvl w:val="0"/>
                <w:numId w:val="14"/>
              </w:numPr>
              <w:tabs>
                <w:tab w:val="clear" w:pos="708"/>
                <w:tab w:val="left" w:pos="720" w:leader="none"/>
              </w:tabs>
              <w:rPr>
                <w:sz w:val="22"/>
                <w:szCs w:val="22"/>
              </w:rPr>
            </w:pPr>
            <w:r>
              <w:rPr>
                <w:sz w:val="22"/>
                <w:szCs w:val="22"/>
              </w:rPr>
              <w:t>Insuffisance de financement propre (apport limité à 10 %) ;</w:t>
            </w:r>
          </w:p>
          <w:p>
            <w:pPr>
              <w:pStyle w:val="Normal"/>
              <w:numPr>
                <w:ilvl w:val="0"/>
                <w:numId w:val="14"/>
              </w:numPr>
              <w:tabs>
                <w:tab w:val="clear" w:pos="708"/>
                <w:tab w:val="left" w:pos="720" w:leader="none"/>
              </w:tabs>
              <w:rPr>
                <w:sz w:val="22"/>
                <w:szCs w:val="22"/>
              </w:rPr>
            </w:pPr>
            <w:r>
              <w:rPr>
                <w:sz w:val="22"/>
                <w:szCs w:val="22"/>
              </w:rPr>
              <w:t>Superficie exploitée en location (1 ha), donc pas de patrimoine foncier ;</w:t>
            </w:r>
          </w:p>
          <w:p>
            <w:pPr>
              <w:pStyle w:val="Normal"/>
              <w:numPr>
                <w:ilvl w:val="0"/>
                <w:numId w:val="14"/>
              </w:numPr>
              <w:tabs>
                <w:tab w:val="clear" w:pos="708"/>
                <w:tab w:val="left" w:pos="720" w:leader="none"/>
              </w:tabs>
              <w:rPr>
                <w:sz w:val="22"/>
                <w:szCs w:val="22"/>
              </w:rPr>
            </w:pPr>
            <w:r>
              <w:rPr>
                <w:sz w:val="22"/>
                <w:szCs w:val="22"/>
              </w:rPr>
              <w:t>Capacité de production encore limitée au démarrage ;</w:t>
            </w:r>
          </w:p>
          <w:p>
            <w:pPr>
              <w:pStyle w:val="Normal"/>
              <w:numPr>
                <w:ilvl w:val="0"/>
                <w:numId w:val="14"/>
              </w:numPr>
              <w:tabs>
                <w:tab w:val="clear" w:pos="708"/>
                <w:tab w:val="left" w:pos="720" w:leader="none"/>
              </w:tabs>
              <w:rPr>
                <w:sz w:val="22"/>
                <w:szCs w:val="22"/>
              </w:rPr>
            </w:pPr>
            <w:r>
              <w:rPr>
                <w:sz w:val="22"/>
                <w:szCs w:val="22"/>
              </w:rPr>
              <w:t>Faible niveau d’équipement de la parcelle ;</w:t>
            </w:r>
          </w:p>
          <w:p>
            <w:pPr>
              <w:pStyle w:val="Normal"/>
              <w:numPr>
                <w:ilvl w:val="0"/>
                <w:numId w:val="14"/>
              </w:numPr>
              <w:tabs>
                <w:tab w:val="clear" w:pos="708"/>
                <w:tab w:val="left" w:pos="720" w:leader="none"/>
              </w:tabs>
              <w:rPr>
                <w:sz w:val="22"/>
                <w:szCs w:val="22"/>
              </w:rPr>
            </w:pPr>
            <w:r>
              <w:rPr>
                <w:sz w:val="22"/>
                <w:szCs w:val="22"/>
              </w:rPr>
              <w:t>Dépendance à l’irrigation (pompe solaire, goutte-à-goutte) ;</w:t>
            </w:r>
          </w:p>
          <w:p>
            <w:pPr>
              <w:pStyle w:val="Normal"/>
              <w:numPr>
                <w:ilvl w:val="0"/>
                <w:numId w:val="14"/>
              </w:numPr>
              <w:tabs>
                <w:tab w:val="clear" w:pos="708"/>
                <w:tab w:val="left" w:pos="720" w:leader="none"/>
              </w:tabs>
              <w:rPr>
                <w:sz w:val="22"/>
                <w:szCs w:val="22"/>
              </w:rPr>
            </w:pPr>
            <w:r>
              <w:rPr>
                <w:sz w:val="22"/>
                <w:szCs w:val="22"/>
              </w:rPr>
              <w:t>Notoriété de la marque ZÉRÉ DÉLICE D’ISSA encore à construire ;</w:t>
            </w:r>
          </w:p>
          <w:p>
            <w:pPr>
              <w:pStyle w:val="Normal"/>
              <w:numPr>
                <w:ilvl w:val="0"/>
                <w:numId w:val="14"/>
              </w:numPr>
              <w:tabs>
                <w:tab w:val="clear" w:pos="708"/>
                <w:tab w:val="left" w:pos="720" w:leader="none"/>
              </w:tabs>
              <w:rPr>
                <w:sz w:val="22"/>
                <w:szCs w:val="22"/>
              </w:rPr>
            </w:pPr>
            <w:r>
              <w:rPr>
                <w:sz w:val="22"/>
                <w:szCs w:val="22"/>
              </w:rPr>
              <w:t>Absence de certification formelle (hygiène, traçabilité) ;</w:t>
            </w:r>
          </w:p>
          <w:p>
            <w:pPr>
              <w:pStyle w:val="Normal"/>
              <w:numPr>
                <w:ilvl w:val="0"/>
                <w:numId w:val="14"/>
              </w:numPr>
              <w:tabs>
                <w:tab w:val="clear" w:pos="708"/>
                <w:tab w:val="left" w:pos="720" w:leader="none"/>
              </w:tabs>
              <w:rPr>
                <w:sz w:val="22"/>
                <w:szCs w:val="22"/>
              </w:rPr>
            </w:pPr>
            <w:r>
              <w:rPr>
                <w:sz w:val="22"/>
                <w:szCs w:val="22"/>
              </w:rPr>
              <w:t>Dépendance aux aléas climatiques</w:t>
            </w:r>
          </w:p>
          <w:p>
            <w:pPr>
              <w:pStyle w:val="Normal"/>
              <w:rPr>
                <w:sz w:val="22"/>
                <w:szCs w:val="22"/>
              </w:rPr>
            </w:pPr>
            <w:r>
              <w:rPr>
                <w:sz w:val="22"/>
                <w:szCs w:val="22"/>
              </w:rPr>
            </w:r>
          </w:p>
        </w:tc>
      </w:tr>
      <w:tr>
        <w:trPr/>
        <w:tc>
          <w:tcPr>
            <w:tcW w:w="6486"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OPPORTUNITES</w:t>
            </w:r>
          </w:p>
        </w:tc>
        <w:tc>
          <w:tcPr>
            <w:tcW w:w="3969"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MENACES</w:t>
            </w:r>
          </w:p>
        </w:tc>
      </w:tr>
      <w:tr>
        <w:trPr/>
        <w:tc>
          <w:tcPr>
            <w:tcW w:w="6486" w:type="dxa"/>
            <w:tcBorders>
              <w:top w:val="single" w:sz="4" w:space="0" w:color="000000"/>
              <w:left w:val="single" w:sz="4" w:space="0" w:color="000000"/>
              <w:bottom w:val="single" w:sz="4" w:space="0" w:color="000000"/>
              <w:right w:val="single" w:sz="4" w:space="0" w:color="000000"/>
            </w:tcBorders>
          </w:tcPr>
          <w:p>
            <w:pPr>
              <w:pStyle w:val="Normal"/>
              <w:numPr>
                <w:ilvl w:val="0"/>
                <w:numId w:val="16"/>
              </w:numPr>
              <w:tabs>
                <w:tab w:val="clear" w:pos="708"/>
                <w:tab w:val="left" w:pos="720" w:leader="none"/>
              </w:tabs>
              <w:rPr>
                <w:sz w:val="22"/>
                <w:szCs w:val="22"/>
              </w:rPr>
            </w:pPr>
            <w:r>
              <w:rPr>
                <w:sz w:val="22"/>
                <w:szCs w:val="22"/>
              </w:rPr>
              <w:t>Forte demande en pastèque à Bamako, Safo et environs ;</w:t>
            </w:r>
          </w:p>
          <w:p>
            <w:pPr>
              <w:pStyle w:val="Normal"/>
              <w:numPr>
                <w:ilvl w:val="0"/>
                <w:numId w:val="16"/>
              </w:numPr>
              <w:tabs>
                <w:tab w:val="clear" w:pos="708"/>
                <w:tab w:val="left" w:pos="720" w:leader="none"/>
              </w:tabs>
              <w:rPr>
                <w:sz w:val="22"/>
                <w:szCs w:val="22"/>
              </w:rPr>
            </w:pPr>
            <w:r>
              <w:rPr>
                <w:sz w:val="22"/>
                <w:szCs w:val="22"/>
              </w:rPr>
              <w:t>Existence de marchés (grossistes, détaillants, restaurants, hôtels) ;</w:t>
            </w:r>
          </w:p>
          <w:p>
            <w:pPr>
              <w:pStyle w:val="Normal"/>
              <w:numPr>
                <w:ilvl w:val="0"/>
                <w:numId w:val="16"/>
              </w:numPr>
              <w:tabs>
                <w:tab w:val="clear" w:pos="708"/>
                <w:tab w:val="left" w:pos="720" w:leader="none"/>
              </w:tabs>
              <w:rPr>
                <w:sz w:val="22"/>
                <w:szCs w:val="22"/>
              </w:rPr>
            </w:pPr>
            <w:r>
              <w:rPr>
                <w:sz w:val="22"/>
                <w:szCs w:val="22"/>
              </w:rPr>
              <w:t>Politique de substitution aux importations de fruits ;</w:t>
            </w:r>
          </w:p>
          <w:p>
            <w:pPr>
              <w:pStyle w:val="Normal"/>
              <w:numPr>
                <w:ilvl w:val="0"/>
                <w:numId w:val="16"/>
              </w:numPr>
              <w:tabs>
                <w:tab w:val="clear" w:pos="708"/>
                <w:tab w:val="left" w:pos="720" w:leader="none"/>
              </w:tabs>
              <w:rPr>
                <w:sz w:val="22"/>
                <w:szCs w:val="22"/>
              </w:rPr>
            </w:pPr>
            <w:r>
              <w:rPr>
                <w:sz w:val="22"/>
                <w:szCs w:val="22"/>
              </w:rPr>
              <w:t>Possibilité d’extension progressive de la superficie (1 ha → 2 ha → achat du terrain) ;</w:t>
            </w:r>
          </w:p>
          <w:p>
            <w:pPr>
              <w:pStyle w:val="Normal"/>
              <w:numPr>
                <w:ilvl w:val="0"/>
                <w:numId w:val="16"/>
              </w:numPr>
              <w:tabs>
                <w:tab w:val="clear" w:pos="708"/>
                <w:tab w:val="left" w:pos="720" w:leader="none"/>
              </w:tabs>
              <w:rPr>
                <w:sz w:val="22"/>
                <w:szCs w:val="22"/>
              </w:rPr>
            </w:pPr>
            <w:r>
              <w:rPr>
                <w:sz w:val="22"/>
                <w:szCs w:val="22"/>
              </w:rPr>
              <w:t>Épargne sur les bénéfices pour acheter le terrain dans 5 à 7 ans ;</w:t>
            </w:r>
          </w:p>
          <w:p>
            <w:pPr>
              <w:pStyle w:val="Normal"/>
              <w:numPr>
                <w:ilvl w:val="0"/>
                <w:numId w:val="16"/>
              </w:numPr>
              <w:tabs>
                <w:tab w:val="clear" w:pos="708"/>
                <w:tab w:val="left" w:pos="720" w:leader="none"/>
              </w:tabs>
              <w:rPr>
                <w:sz w:val="22"/>
                <w:szCs w:val="22"/>
              </w:rPr>
            </w:pPr>
            <w:r>
              <w:rPr>
                <w:sz w:val="22"/>
                <w:szCs w:val="22"/>
              </w:rPr>
              <w:t>Valorisation des variétés adaptées (Koloss, Sugar Baby, Crimson Sweet, etc.) ;</w:t>
            </w:r>
          </w:p>
          <w:p>
            <w:pPr>
              <w:pStyle w:val="Normal"/>
              <w:numPr>
                <w:ilvl w:val="0"/>
                <w:numId w:val="16"/>
              </w:numPr>
              <w:tabs>
                <w:tab w:val="clear" w:pos="708"/>
                <w:tab w:val="left" w:pos="720" w:leader="none"/>
              </w:tabs>
              <w:rPr>
                <w:sz w:val="22"/>
                <w:szCs w:val="22"/>
              </w:rPr>
            </w:pPr>
            <w:r>
              <w:rPr>
                <w:sz w:val="22"/>
                <w:szCs w:val="22"/>
              </w:rPr>
              <w:t>Développement futur de produits dérivés (jus, séchage) ;</w:t>
            </w:r>
          </w:p>
          <w:p>
            <w:pPr>
              <w:pStyle w:val="Normal"/>
              <w:numPr>
                <w:ilvl w:val="0"/>
                <w:numId w:val="16"/>
              </w:numPr>
              <w:tabs>
                <w:tab w:val="clear" w:pos="708"/>
                <w:tab w:val="left" w:pos="720" w:leader="none"/>
              </w:tabs>
              <w:rPr>
                <w:sz w:val="22"/>
                <w:szCs w:val="22"/>
              </w:rPr>
            </w:pPr>
            <w:r>
              <w:rPr>
                <w:sz w:val="22"/>
                <w:szCs w:val="22"/>
              </w:rPr>
              <w:t>Accompagnement technique par SIDIBE Agrotechniques.</w:t>
            </w:r>
          </w:p>
          <w:p>
            <w:pPr>
              <w:pStyle w:val="Normal"/>
              <w:ind w:left="720" w:right="0"/>
              <w:rPr>
                <w:sz w:val="22"/>
                <w:szCs w:val="22"/>
              </w:rPr>
            </w:pPr>
            <w:r>
              <w:rPr>
                <w:sz w:val="22"/>
                <w:szCs w:val="22"/>
              </w:rPr>
            </w:r>
          </w:p>
        </w:tc>
        <w:tc>
          <w:tcPr>
            <w:tcW w:w="3969" w:type="dxa"/>
            <w:tcBorders>
              <w:top w:val="single" w:sz="4" w:space="0" w:color="000000"/>
              <w:left w:val="single" w:sz="4" w:space="0" w:color="000000"/>
              <w:bottom w:val="single" w:sz="4" w:space="0" w:color="000000"/>
              <w:right w:val="single" w:sz="4" w:space="0" w:color="000000"/>
            </w:tcBorders>
          </w:tcPr>
          <w:p>
            <w:pPr>
              <w:pStyle w:val="Normal"/>
              <w:numPr>
                <w:ilvl w:val="0"/>
                <w:numId w:val="16"/>
              </w:numPr>
              <w:tabs>
                <w:tab w:val="clear" w:pos="708"/>
                <w:tab w:val="left" w:pos="720" w:leader="none"/>
              </w:tabs>
              <w:rPr>
                <w:sz w:val="22"/>
                <w:szCs w:val="22"/>
              </w:rPr>
            </w:pPr>
            <w:r>
              <w:rPr>
                <w:sz w:val="22"/>
                <w:szCs w:val="22"/>
              </w:rPr>
              <w:t>Concurrence des pastèques importées (Maroc) ;</w:t>
            </w:r>
          </w:p>
          <w:p>
            <w:pPr>
              <w:pStyle w:val="Normal"/>
              <w:numPr>
                <w:ilvl w:val="0"/>
                <w:numId w:val="16"/>
              </w:numPr>
              <w:tabs>
                <w:tab w:val="clear" w:pos="708"/>
                <w:tab w:val="left" w:pos="720" w:leader="none"/>
              </w:tabs>
              <w:rPr>
                <w:sz w:val="22"/>
                <w:szCs w:val="22"/>
              </w:rPr>
            </w:pPr>
            <w:r>
              <w:rPr>
                <w:sz w:val="22"/>
                <w:szCs w:val="22"/>
              </w:rPr>
              <w:t>Volatilité des prix en période d’abondance ;</w:t>
            </w:r>
          </w:p>
          <w:p>
            <w:pPr>
              <w:pStyle w:val="Normal"/>
              <w:numPr>
                <w:ilvl w:val="0"/>
                <w:numId w:val="16"/>
              </w:numPr>
              <w:tabs>
                <w:tab w:val="clear" w:pos="708"/>
                <w:tab w:val="left" w:pos="720" w:leader="none"/>
              </w:tabs>
              <w:rPr>
                <w:sz w:val="22"/>
                <w:szCs w:val="22"/>
              </w:rPr>
            </w:pPr>
            <w:r>
              <w:rPr>
                <w:sz w:val="22"/>
                <w:szCs w:val="22"/>
              </w:rPr>
              <w:t>Aléas climatiques (sécheresse, fortes chaleurs, pluies tardives) ;</w:t>
            </w:r>
          </w:p>
          <w:p>
            <w:pPr>
              <w:pStyle w:val="Normal"/>
              <w:numPr>
                <w:ilvl w:val="0"/>
                <w:numId w:val="16"/>
              </w:numPr>
              <w:tabs>
                <w:tab w:val="clear" w:pos="708"/>
                <w:tab w:val="left" w:pos="720" w:leader="none"/>
              </w:tabs>
              <w:rPr>
                <w:sz w:val="22"/>
                <w:szCs w:val="22"/>
              </w:rPr>
            </w:pPr>
            <w:r>
              <w:rPr>
                <w:sz w:val="22"/>
                <w:szCs w:val="22"/>
              </w:rPr>
              <w:t>Attaques de ravageurs et maladies (pucerons, mildiou, flétrissement) ;</w:t>
            </w:r>
          </w:p>
          <w:p>
            <w:pPr>
              <w:pStyle w:val="Normal"/>
              <w:numPr>
                <w:ilvl w:val="0"/>
                <w:numId w:val="16"/>
              </w:numPr>
              <w:tabs>
                <w:tab w:val="clear" w:pos="708"/>
                <w:tab w:val="left" w:pos="720" w:leader="none"/>
              </w:tabs>
              <w:rPr>
                <w:sz w:val="22"/>
                <w:szCs w:val="22"/>
              </w:rPr>
            </w:pPr>
            <w:r>
              <w:rPr>
                <w:sz w:val="22"/>
                <w:szCs w:val="22"/>
              </w:rPr>
              <w:t>Pannes d’équipements (pompe solaire, système d’irrigation) ;</w:t>
            </w:r>
          </w:p>
          <w:p>
            <w:pPr>
              <w:pStyle w:val="Normal"/>
              <w:numPr>
                <w:ilvl w:val="0"/>
                <w:numId w:val="16"/>
              </w:numPr>
              <w:tabs>
                <w:tab w:val="clear" w:pos="708"/>
                <w:tab w:val="left" w:pos="720" w:leader="none"/>
              </w:tabs>
              <w:rPr>
                <w:sz w:val="22"/>
                <w:szCs w:val="22"/>
              </w:rPr>
            </w:pPr>
            <w:r>
              <w:rPr>
                <w:sz w:val="22"/>
                <w:szCs w:val="22"/>
              </w:rPr>
              <w:t>Cherté des intrants et des équipements ;</w:t>
            </w:r>
          </w:p>
          <w:p>
            <w:pPr>
              <w:pStyle w:val="Normal"/>
              <w:numPr>
                <w:ilvl w:val="0"/>
                <w:numId w:val="16"/>
              </w:numPr>
              <w:tabs>
                <w:tab w:val="clear" w:pos="708"/>
                <w:tab w:val="left" w:pos="720" w:leader="none"/>
              </w:tabs>
              <w:rPr>
                <w:sz w:val="22"/>
                <w:szCs w:val="22"/>
              </w:rPr>
            </w:pPr>
            <w:r>
              <w:rPr>
                <w:sz w:val="22"/>
                <w:szCs w:val="22"/>
              </w:rPr>
              <w:t>Risque de mévente si la qualité ou la conservation n’est pas conforme ;</w:t>
            </w:r>
          </w:p>
          <w:p>
            <w:pPr>
              <w:pStyle w:val="Normal"/>
              <w:numPr>
                <w:ilvl w:val="0"/>
                <w:numId w:val="16"/>
              </w:numPr>
              <w:tabs>
                <w:tab w:val="clear" w:pos="708"/>
                <w:tab w:val="left" w:pos="720" w:leader="none"/>
              </w:tabs>
              <w:rPr>
                <w:sz w:val="22"/>
                <w:szCs w:val="22"/>
              </w:rPr>
            </w:pPr>
            <w:r>
              <w:rPr>
                <w:sz w:val="22"/>
                <w:szCs w:val="22"/>
              </w:rPr>
              <w:t>Risque de remboursement du crédit en cas d’aléa.</w:t>
            </w:r>
          </w:p>
          <w:p>
            <w:pPr>
              <w:pStyle w:val="Normal"/>
              <w:rPr>
                <w:b/>
                <w:sz w:val="22"/>
                <w:szCs w:val="22"/>
              </w:rPr>
            </w:pPr>
            <w:r>
              <w:rPr>
                <w:b/>
                <w:sz w:val="22"/>
                <w:szCs w:val="22"/>
              </w:rPr>
            </w:r>
          </w:p>
        </w:tc>
      </w:tr>
    </w:tbl>
    <w:p>
      <w:pPr>
        <w:pStyle w:val="Normal"/>
        <w:rPr>
          <w:lang w:eastAsia="en-US"/>
        </w:rPr>
      </w:pPr>
      <w:r>
        <w:rPr>
          <w:lang w:eastAsia="en-US"/>
        </w:rPr>
        <w:t>pour le projet.</w:t>
      </w:r>
    </w:p>
    <w:p>
      <w:pPr>
        <w:pStyle w:val="Normal"/>
        <w:rPr>
          <w:sz w:val="22"/>
          <w:szCs w:val="22"/>
          <w:lang w:val="fr-CI" w:eastAsia="en-US"/>
        </w:rPr>
      </w:pPr>
      <w:r>
        <w:rPr>
          <w:sz w:val="22"/>
          <w:szCs w:val="22"/>
          <w:lang w:val="fr-CI" w:eastAsia="en-US"/>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jc w:val="center"/>
        <w:rPr>
          <w:sz w:val="22"/>
          <w:szCs w:val="22"/>
          <w:lang w:val="fr-CI" w:eastAsia="en-US"/>
        </w:rPr>
      </w:pPr>
      <w:r>
        <w:rPr>
          <w:sz w:val="22"/>
          <w:szCs w:val="22"/>
          <w:lang w:val="fr-CI" w:eastAsia="en-US"/>
        </w:rPr>
      </w:r>
    </w:p>
    <w:p>
      <w:pPr>
        <w:pStyle w:val="Heading1"/>
        <w:keepLines/>
        <w:numPr>
          <w:ilvl w:val="0"/>
          <w:numId w:val="4"/>
        </w:numPr>
        <w:spacing w:before="0" w:after="0"/>
        <w:ind w:hanging="431" w:left="431" w:right="0"/>
        <w:jc w:val="both"/>
        <w:rPr>
          <w:rFonts w:ascii="Times New Roman" w:hAnsi="Times New Roman" w:cs="Times New Roman"/>
          <w:caps/>
          <w:color w:val="166B7F"/>
          <w:kern w:val="0"/>
          <w:lang w:eastAsia="en-US"/>
        </w:rPr>
      </w:pPr>
      <w:bookmarkStart w:id="29" w:name="__RefHeading___Toc234831728"/>
      <w:bookmarkEnd w:id="29"/>
      <w:r>
        <w:rPr>
          <w:rFonts w:cs="Times New Roman" w:ascii="Times New Roman" w:hAnsi="Times New Roman"/>
          <w:caps/>
          <w:color w:val="166B7F"/>
          <w:kern w:val="0"/>
          <w:lang w:eastAsia="en-US"/>
        </w:rPr>
        <w:t>CONCLUSION</w:t>
      </w:r>
    </w:p>
    <w:p>
      <w:pPr>
        <w:pStyle w:val="Normal"/>
        <w:jc w:val="both"/>
        <w:rPr/>
      </w:pPr>
      <w:r>
        <w:rPr>
          <w:sz w:val="22"/>
          <w:szCs w:val="22"/>
        </w:rPr>
        <w:t xml:space="preserve">En examinant les ratios de rentabilité économique et financière, le présent projet apparaît faiblement rentable et doit être consolidé (loyer du terrain, forage et bassin, durée du prêt) avant sa transmission et contribue à la création de cinq (5) emplois, dont deux (2) permanents et trois (3) saisonniers. Le taux de rentabilité interne, la valeur actuelle nette ainsi que le délai de récupération des capitaux investis indiquent une rentabilité modeste du projet de création de l’entreprise </w:t>
      </w:r>
      <w:r>
        <w:rPr>
          <w:b/>
          <w:bCs/>
          <w:sz w:val="22"/>
          <w:szCs w:val="22"/>
        </w:rPr>
        <w:t>ZÉRÉ DÉLICE D’ISSA</w:t>
      </w:r>
      <w:r>
        <w:rPr>
          <w:sz w:val="22"/>
          <w:szCs w:val="22"/>
        </w:rPr>
        <w:t xml:space="preserve"> dans la production et la commercialisation de pastèque de qualité sur une superficie d’1 hectare. L’existence des structures d’accompagnement, notamment l’APEJ et l’OIT à travers le projet AN KA BAARA, permettra au promoteur d’investir dans son champ, et de rembourser les prêts contractés. Le seuil de rentabilité représente 73 % du chiffre d’affaires en année 3 (78 % en année 1). La mise en œuvre est conditionnée à la production de l’acte de mise à disposition du terrain, des factures pro forma des équipements et d’un échéancier de remboursement adapté au cycle de production.</w:t>
      </w:r>
    </w:p>
    <w:p>
      <w:pPr>
        <w:pStyle w:val="Normal"/>
        <w:rPr/>
      </w:pPr>
      <w:r>
        <w:rPr/>
      </w:r>
    </w:p>
    <w:p>
      <w:pPr>
        <w:pStyle w:val="Normal"/>
        <w:rPr/>
      </w:pPr>
      <w:r>
        <w:rPr>
          <w:b/>
          <w:sz w:val="22"/>
        </w:rPr>
        <w:t>Pièces à joindre au dossier</w:t>
      </w:r>
    </w:p>
    <w:p>
      <w:pPr>
        <w:pStyle w:val="Normal"/>
        <w:rPr/>
      </w:pPr>
      <w:r>
        <w:rPr>
          <w:b w:val="false"/>
          <w:sz w:val="20"/>
        </w:rPr>
        <w:t xml:space="preserve">– </w:t>
      </w:r>
      <w:r>
        <w:rPr>
          <w:b w:val="false"/>
          <w:sz w:val="20"/>
        </w:rPr>
        <w:t>Copie de la pièce d’identité du promoteur (justifiant la date et le lieu de naissance, condition d’éligibilité au dispositif APEJ) ;</w:t>
      </w:r>
    </w:p>
    <w:p>
      <w:pPr>
        <w:pStyle w:val="Normal"/>
        <w:rPr/>
      </w:pPr>
      <w:r>
        <w:rPr>
          <w:b w:val="false"/>
          <w:sz w:val="20"/>
        </w:rPr>
        <w:t xml:space="preserve">– </w:t>
      </w:r>
      <w:r>
        <w:rPr>
          <w:b w:val="false"/>
          <w:sz w:val="20"/>
        </w:rPr>
        <w:t>Attestation(s) de formation du promoteur ;</w:t>
      </w:r>
    </w:p>
    <w:p>
      <w:pPr>
        <w:pStyle w:val="Normal"/>
        <w:rPr/>
      </w:pPr>
      <w:r>
        <w:rPr>
          <w:b w:val="false"/>
          <w:sz w:val="20"/>
        </w:rPr>
        <w:t xml:space="preserve">– </w:t>
      </w:r>
      <w:r>
        <w:rPr>
          <w:b w:val="false"/>
          <w:sz w:val="20"/>
        </w:rPr>
        <w:t>Acte de mise à disposition du terrain ou du local, dûment signé et légalisé (condition préalable au décaissement) ;</w:t>
      </w:r>
    </w:p>
    <w:p>
      <w:pPr>
        <w:pStyle w:val="Normal"/>
        <w:rPr/>
      </w:pPr>
      <w:r>
        <w:rPr>
          <w:b w:val="false"/>
          <w:sz w:val="20"/>
        </w:rPr>
        <w:t xml:space="preserve">– </w:t>
      </w:r>
      <w:r>
        <w:rPr>
          <w:b w:val="false"/>
          <w:sz w:val="20"/>
        </w:rPr>
        <w:t>Lettres d’intention ou engagements d’achat de deux ou trois clients (grossistes, détaillants, collectivités) ;</w:t>
      </w:r>
    </w:p>
    <w:p>
      <w:pPr>
        <w:pStyle w:val="Normal"/>
        <w:rPr/>
      </w:pPr>
      <w:r>
        <w:rPr>
          <w:b w:val="false"/>
          <w:sz w:val="20"/>
        </w:rPr>
        <w:t xml:space="preserve">– </w:t>
      </w:r>
      <w:r>
        <w:rPr>
          <w:b w:val="false"/>
          <w:sz w:val="20"/>
        </w:rPr>
        <w:t>Calendrier de production (semis, repiquage et récolte, avec une campagne par an).</w:t>
      </w:r>
    </w:p>
    <w:p>
      <w:pPr>
        <w:pStyle w:val="Normal"/>
        <w:rPr/>
      </w:pPr>
      <w:r>
        <w:rPr/>
      </w:r>
    </w:p>
    <w:p>
      <w:pPr>
        <w:pStyle w:val="Normal"/>
        <w:rPr/>
      </w:pPr>
      <w:r>
        <w:rPr>
          <w:b w:val="false"/>
          <w:sz w:val="20"/>
        </w:rPr>
        <w:t>Factures pro forma : le promoteur n’a pas fourni de factures pro forma à la date d’élaboration du présent plan d’affaires ; les montants retenus pour les équipements (kit solaire, pompe, système d’irrigation goutte-à-goutte) sont des estimations.</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17" w:right="849" w:gutter="0" w:header="708" w:top="1417"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Aptos">
    <w:altName w:val="Arial"/>
    <w:charset w:val="01"/>
    <w:family w:val="roman"/>
    <w:pitch w:val="variable"/>
  </w:font>
  <w:font w:name="Aptos Display">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Tahoma">
    <w:charset w:val="01"/>
    <w:family w:val="roman"/>
    <w:pitch w:val="variable"/>
  </w:font>
  <w:font w:name="Liberation Sans">
    <w:altName w:val="Arial"/>
    <w:charset w:val="01"/>
    <w:family w:val="roman"/>
    <w:pitch w:val="variable"/>
  </w:font>
  <w:font w:name="Calibri">
    <w:charset w:val="01"/>
    <w:family w:val="roman"/>
    <w:pitch w:val="variable"/>
  </w:font>
  <w:font w:name="Trebuchet MS">
    <w:charset w:val="01"/>
    <w:family w:val="roman"/>
    <w:pitch w:val="variable"/>
  </w:font>
  <w:font w:name="Garamond">
    <w:charset w:val="01"/>
    <w:family w:val="roman"/>
    <w:pitch w:val="variable"/>
  </w:font>
  <w:font w:name="Segoe UI">
    <w:charset w:val="01"/>
    <w:family w:val="roman"/>
    <w:pitch w:val="variable"/>
  </w:font>
  <w:font w:name="Cambira">
    <w:altName w:val="Cambri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622423"/>
      </w:pBdr>
      <w:tabs>
        <w:tab w:val="clear" w:pos="708"/>
      </w:tabs>
      <w:jc w:val="center"/>
      <w:rPr>
        <w:rFonts w:ascii="Cambria" w:hAnsi="Cambria" w:cs="Cambria"/>
        <w:sz w:val="20"/>
      </w:rPr>
    </w:pPr>
    <w:r>
      <w:rPr>
        <w:rFonts w:cs="Cambria" w:ascii="Cambria" w:hAnsi="Cambria"/>
      </w:rPr>
      <w:tab/>
      <w:t xml:space="preserve">Page </w:t>
    </w:r>
    <w:r>
      <w:rPr/>
      <w:fldChar w:fldCharType="begin"/>
    </w:r>
    <w:r>
      <w:rPr/>
      <w:instrText xml:space="preserve"> PAGE </w:instrText>
    </w:r>
    <w:r>
      <w:rPr/>
      <w:fldChar w:fldCharType="separate"/>
    </w:r>
    <w:r>
      <w:rPr/>
      <w:t>21</w:t>
    </w:r>
    <w:r>
      <w:rPr/>
      <w:fldChar w:fldCharType="end"/>
    </w:r>
  </w:p>
  <w:p>
    <w:pPr>
      <w:pStyle w:val="Footer"/>
      <w:rPr>
        <w:rFonts w:ascii="Cambria" w:hAnsi="Cambria" w:cs="Cambria"/>
        <w:sz w:val="20"/>
      </w:rPr>
    </w:pPr>
    <w:r>
      <w:rPr>
        <w:rFonts w:cs="Cambria" w:ascii="Cambria" w:hAnsi="Cambria"/>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true"/>
      <w:numPr>
        <w:ilvl w:val="0"/>
        <w:numId w:val="0"/>
      </w:numPr>
      <w:ind w:hanging="0" w:left="0"/>
      <w:outlineLvl w:val="3"/>
      <w:rPr>
        <w:sz w:val="20"/>
        <w:szCs w:val="20"/>
      </w:rPr>
    </w:pPr>
    <w:r>
      <w:rPr>
        <w:sz w:val="20"/>
        <w:szCs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08"/>
        <w:tab w:val="left" w:pos="3075" w:leader="none"/>
      </w:tabs>
      <w:rPr>
        <w:b/>
        <w:bCs/>
        <w:sz w:val="22"/>
        <w:szCs w:val="32"/>
      </w:rPr>
    </w:pPr>
    <w:r>
      <w:drawing>
        <wp:anchor behindDoc="1" distT="0" distB="0" distL="114935" distR="114935" simplePos="0" locked="0" layoutInCell="0" allowOverlap="1" relativeHeight="7">
          <wp:simplePos x="0" y="0"/>
          <wp:positionH relativeFrom="column">
            <wp:posOffset>2243455</wp:posOffset>
          </wp:positionH>
          <wp:positionV relativeFrom="paragraph">
            <wp:posOffset>64770</wp:posOffset>
          </wp:positionV>
          <wp:extent cx="1066800" cy="815340"/>
          <wp:effectExtent l="0" t="0" r="0" b="0"/>
          <wp:wrapSquare wrapText="bothSides"/>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1"/>
                  <a:srcRect l="-70" t="-53" r="-70" b="-53"/>
                  <a:stretch>
                    <a:fillRect/>
                  </a:stretch>
                </pic:blipFill>
                <pic:spPr bwMode="auto">
                  <a:xfrm>
                    <a:off x="0" y="0"/>
                    <a:ext cx="1066800" cy="815340"/>
                  </a:xfrm>
                  <a:prstGeom prst="rect">
                    <a:avLst/>
                  </a:prstGeom>
                </pic:spPr>
              </pic:pic>
            </a:graphicData>
          </a:graphic>
        </wp:anchor>
      </w:drawing>
    </w:r>
    <w:r>
      <w:rPr/>
      <w:drawing>
        <wp:inline distT="0" distB="0" distL="0" distR="0">
          <wp:extent cx="925830" cy="845820"/>
          <wp:effectExtent l="0" t="0" r="0" b="0"/>
          <wp:docPr id="7"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 descr=""/>
                  <pic:cNvPicPr>
                    <a:picLocks noChangeAspect="1" noChangeArrowheads="1"/>
                  </pic:cNvPicPr>
                </pic:nvPicPr>
                <pic:blipFill>
                  <a:blip r:embed="rId2"/>
                  <a:srcRect l="-76" t="-76" r="-76" b="-76"/>
                  <a:stretch>
                    <a:fillRect/>
                  </a:stretch>
                </pic:blipFill>
                <pic:spPr bwMode="auto">
                  <a:xfrm>
                    <a:off x="0" y="0"/>
                    <a:ext cx="925830" cy="845820"/>
                  </a:xfrm>
                  <a:prstGeom prst="rect">
                    <a:avLst/>
                  </a:prstGeom>
                </pic:spPr>
              </pic:pic>
            </a:graphicData>
          </a:graphic>
        </wp:inline>
      </w:drawing>
    </w:r>
    <w:r>
      <w:rPr/>
      <w:tab/>
      <w:tab/>
      <w:tab/>
      <w:t xml:space="preserve">            </w:t>
    </w:r>
    <w:r>
      <w:rPr/>
      <w:drawing>
        <wp:inline distT="0" distB="0" distL="0" distR="0">
          <wp:extent cx="1003300" cy="773430"/>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3"/>
                  <a:srcRect l="-270" t="-270" r="-270" b="-270"/>
                  <a:stretch>
                    <a:fillRect/>
                  </a:stretch>
                </pic:blipFill>
                <pic:spPr bwMode="auto">
                  <a:xfrm>
                    <a:off x="0" y="0"/>
                    <a:ext cx="1003300" cy="773430"/>
                  </a:xfrm>
                  <a:prstGeom prst="rect">
                    <a:avLst/>
                  </a:prstGeom>
                </pic:spPr>
              </pic:pic>
            </a:graphicData>
          </a:graphic>
        </wp:inline>
      </w:drawing>
    </w:r>
  </w:p>
  <w:p>
    <w:pPr>
      <w:pStyle w:val="Header"/>
      <w:rPr>
        <w:b/>
        <w:bCs/>
        <w:sz w:val="22"/>
        <w:szCs w:val="32"/>
      </w:rPr>
    </w:pPr>
    <w:r>
      <w:rPr>
        <w:b/>
        <w:bCs/>
        <w:sz w:val="22"/>
        <w:szCs w:val="3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4"/>
      <w:numFmt w:val="upperRoman"/>
      <w:lvlText w:val="%1."/>
      <w:lvlJc w:val="left"/>
      <w:pPr>
        <w:tabs>
          <w:tab w:val="num" w:pos="0"/>
        </w:tabs>
        <w:ind w:left="142" w:hanging="360"/>
      </w:pPr>
      <w:rPr/>
    </w:lvl>
    <w:lvl w:ilvl="1">
      <w:start w:val="1"/>
      <w:numFmt w:val="decimal"/>
      <w:lvlText w:val="%1.%2"/>
      <w:lvlJc w:val="left"/>
      <w:pPr>
        <w:tabs>
          <w:tab w:val="num" w:pos="0"/>
        </w:tabs>
        <w:ind w:left="502" w:hanging="360"/>
      </w:pPr>
      <w:rPr/>
    </w:lvl>
    <w:lvl w:ilvl="2">
      <w:start w:val="1"/>
      <w:numFmt w:val="decimal"/>
      <w:lvlText w:val="%1.%2.%3"/>
      <w:lvlJc w:val="left"/>
      <w:pPr>
        <w:tabs>
          <w:tab w:val="num" w:pos="0"/>
        </w:tabs>
        <w:ind w:left="502" w:hanging="720"/>
      </w:pPr>
      <w:rPr/>
    </w:lvl>
    <w:lvl w:ilvl="3">
      <w:start w:val="1"/>
      <w:numFmt w:val="decimal"/>
      <w:lvlText w:val="%1.%2.%3.%4"/>
      <w:lvlJc w:val="left"/>
      <w:pPr>
        <w:tabs>
          <w:tab w:val="num" w:pos="0"/>
        </w:tabs>
        <w:ind w:left="1942" w:hanging="1080"/>
      </w:pPr>
      <w:rPr/>
    </w:lvl>
    <w:lvl w:ilvl="4">
      <w:start w:val="1"/>
      <w:numFmt w:val="decimal"/>
      <w:lvlText w:val="%1.%2.%3.%4.%5"/>
      <w:lvlJc w:val="left"/>
      <w:pPr>
        <w:tabs>
          <w:tab w:val="num" w:pos="0"/>
        </w:tabs>
        <w:ind w:left="2302" w:hanging="1080"/>
      </w:pPr>
      <w:rPr/>
    </w:lvl>
    <w:lvl w:ilvl="5">
      <w:start w:val="1"/>
      <w:numFmt w:val="decimal"/>
      <w:lvlText w:val="%1.%2.%3.%4.%5.%6"/>
      <w:lvlJc w:val="left"/>
      <w:pPr>
        <w:tabs>
          <w:tab w:val="num" w:pos="0"/>
        </w:tabs>
        <w:ind w:left="3022" w:hanging="1440"/>
      </w:pPr>
      <w:rPr/>
    </w:lvl>
    <w:lvl w:ilvl="6">
      <w:start w:val="1"/>
      <w:numFmt w:val="decimal"/>
      <w:lvlText w:val="%1.%2.%3.%4.%5.%6.%7"/>
      <w:lvlJc w:val="left"/>
      <w:pPr>
        <w:tabs>
          <w:tab w:val="num" w:pos="0"/>
        </w:tabs>
        <w:ind w:left="3382" w:hanging="1440"/>
      </w:pPr>
      <w:rPr/>
    </w:lvl>
    <w:lvl w:ilvl="7">
      <w:start w:val="1"/>
      <w:numFmt w:val="decimal"/>
      <w:lvlText w:val="%1.%2.%3.%4.%5.%6.%7.%8"/>
      <w:lvlJc w:val="left"/>
      <w:pPr>
        <w:tabs>
          <w:tab w:val="num" w:pos="0"/>
        </w:tabs>
        <w:ind w:left="4102" w:hanging="1800"/>
      </w:pPr>
      <w:rPr/>
    </w:lvl>
    <w:lvl w:ilvl="8">
      <w:start w:val="1"/>
      <w:numFmt w:val="decimal"/>
      <w:lvlText w:val="%1.%2.%3.%4.%5.%6.%7.%8.%9"/>
      <w:lvlJc w:val="left"/>
      <w:pPr>
        <w:tabs>
          <w:tab w:val="num" w:pos="0"/>
        </w:tabs>
        <w:ind w:left="4462" w:hanging="1800"/>
      </w:pPr>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upperRoman"/>
      <w:lvlText w:val="%1."/>
      <w:lvlJc w:val="left"/>
      <w:pPr>
        <w:tabs>
          <w:tab w:val="num" w:pos="0"/>
        </w:tabs>
        <w:ind w:left="1080" w:hanging="720"/>
      </w:pPr>
      <w:rPr/>
    </w:lvl>
    <w:lvl w:ilvl="1">
      <w:start w:val="1"/>
      <w:isLgl/>
      <w:numFmt w:val="decimal"/>
      <w:lvlText w:val="%1.%2"/>
      <w:lvlJc w:val="left"/>
      <w:pPr>
        <w:tabs>
          <w:tab w:val="num" w:pos="0"/>
        </w:tabs>
        <w:ind w:left="720" w:hanging="36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440" w:hanging="1080"/>
      </w:pPr>
      <w:rPr/>
    </w:lvl>
    <w:lvl w:ilvl="4">
      <w:start w:val="1"/>
      <w:isLgl/>
      <w:numFmt w:val="decimal"/>
      <w:lvlText w:val="%1.%2.%3.%4.%5"/>
      <w:lvlJc w:val="left"/>
      <w:pPr>
        <w:tabs>
          <w:tab w:val="num" w:pos="0"/>
        </w:tabs>
        <w:ind w:left="1440" w:hanging="1080"/>
      </w:pPr>
      <w:rPr/>
    </w:lvl>
    <w:lvl w:ilvl="5">
      <w:start w:val="1"/>
      <w:isLgl/>
      <w:numFmt w:val="decimal"/>
      <w:lvlText w:val="%1.%2.%3.%4.%5.%6"/>
      <w:lvlJc w:val="left"/>
      <w:pPr>
        <w:tabs>
          <w:tab w:val="num" w:pos="0"/>
        </w:tabs>
        <w:ind w:left="1800" w:hanging="1440"/>
      </w:pPr>
      <w:rPr/>
    </w:lvl>
    <w:lvl w:ilvl="6">
      <w:start w:val="1"/>
      <w:isLgl/>
      <w:numFmt w:val="decimal"/>
      <w:lvlText w:val="%1.%2.%3.%4.%5.%6.%7"/>
      <w:lvlJc w:val="left"/>
      <w:pPr>
        <w:tabs>
          <w:tab w:val="num" w:pos="0"/>
        </w:tabs>
        <w:ind w:left="1800" w:hanging="1440"/>
      </w:pPr>
      <w:rPr/>
    </w:lvl>
    <w:lvl w:ilvl="7">
      <w:start w:val="1"/>
      <w:isLgl/>
      <w:numFmt w:val="decimal"/>
      <w:lvlText w:val="%1.%2.%3.%4.%5.%6.%7.%8"/>
      <w:lvlJc w:val="left"/>
      <w:pPr>
        <w:tabs>
          <w:tab w:val="num" w:pos="0"/>
        </w:tabs>
        <w:ind w:left="2160" w:hanging="1800"/>
      </w:pPr>
      <w:rPr/>
    </w:lvl>
    <w:lvl w:ilvl="8">
      <w:start w:val="1"/>
      <w:isLgl/>
      <w:numFmt w:val="decimal"/>
      <w:lvlText w:val="%1.%2.%3.%4.%5.%6.%7.%8.%9"/>
      <w:lvlJc w:val="left"/>
      <w:pPr>
        <w:tabs>
          <w:tab w:val="num" w:pos="0"/>
        </w:tabs>
        <w:ind w:left="2160" w:hanging="1800"/>
      </w:pPr>
      <w:rPr/>
    </w:lvl>
  </w:abstractNum>
  <w:abstractNum w:abstractNumId="7">
    <w:lvl w:ilvl="0">
      <w:start w:val="1"/>
      <w:numFmt w:val="decimal"/>
      <w:lvlText w:val="%1."/>
      <w:lvlJc w:val="left"/>
      <w:pPr>
        <w:tabs>
          <w:tab w:val="num" w:pos="0"/>
        </w:tabs>
        <w:ind w:left="502" w:hanging="360"/>
      </w:pPr>
      <w:rPr/>
    </w:lvl>
    <w:lvl w:ilvl="1">
      <w:start w:val="1"/>
      <w:isLgl/>
      <w:numFmt w:val="decimal"/>
      <w:lvlText w:val="%1.%2"/>
      <w:lvlJc w:val="left"/>
      <w:pPr>
        <w:tabs>
          <w:tab w:val="num" w:pos="0"/>
        </w:tabs>
        <w:ind w:left="1080" w:hanging="72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440" w:hanging="1080"/>
      </w:pPr>
      <w:rPr/>
    </w:lvl>
    <w:lvl w:ilvl="4">
      <w:start w:val="1"/>
      <w:isLgl/>
      <w:numFmt w:val="decimal"/>
      <w:lvlText w:val="%1.%2.%3.%4.%5"/>
      <w:lvlJc w:val="left"/>
      <w:pPr>
        <w:tabs>
          <w:tab w:val="num" w:pos="0"/>
        </w:tabs>
        <w:ind w:left="1800" w:hanging="1440"/>
      </w:pPr>
      <w:rPr/>
    </w:lvl>
    <w:lvl w:ilvl="5">
      <w:start w:val="1"/>
      <w:isLgl/>
      <w:numFmt w:val="decimal"/>
      <w:lvlText w:val="%1.%2.%3.%4.%5.%6"/>
      <w:lvlJc w:val="left"/>
      <w:pPr>
        <w:tabs>
          <w:tab w:val="num" w:pos="0"/>
        </w:tabs>
        <w:ind w:left="2160" w:hanging="1800"/>
      </w:pPr>
      <w:rPr/>
    </w:lvl>
    <w:lvl w:ilvl="6">
      <w:start w:val="1"/>
      <w:isLgl/>
      <w:numFmt w:val="decimal"/>
      <w:lvlText w:val="%1.%2.%3.%4.%5.%6.%7"/>
      <w:lvlJc w:val="left"/>
      <w:pPr>
        <w:tabs>
          <w:tab w:val="num" w:pos="0"/>
        </w:tabs>
        <w:ind w:left="2160" w:hanging="1800"/>
      </w:pPr>
      <w:rPr/>
    </w:lvl>
    <w:lvl w:ilvl="7">
      <w:start w:val="1"/>
      <w:isLgl/>
      <w:numFmt w:val="decimal"/>
      <w:lvlText w:val="%1.%2.%3.%4.%5.%6.%7.%8"/>
      <w:lvlJc w:val="left"/>
      <w:pPr>
        <w:tabs>
          <w:tab w:val="num" w:pos="0"/>
        </w:tabs>
        <w:ind w:left="2520" w:hanging="2160"/>
      </w:pPr>
      <w:rPr/>
    </w:lvl>
    <w:lvl w:ilvl="8">
      <w:start w:val="1"/>
      <w:isLgl/>
      <w:numFmt w:val="decimal"/>
      <w:lvlText w:val="%1.%2.%3.%4.%5.%6.%7.%8.%9"/>
      <w:lvlJc w:val="left"/>
      <w:pPr>
        <w:tabs>
          <w:tab w:val="num" w:pos="0"/>
        </w:tabs>
        <w:ind w:left="2880" w:hanging="2520"/>
      </w:pPr>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2"/>
      <w:numFmt w:val="decimal"/>
      <w:lvlText w:val="%1"/>
      <w:lvlJc w:val="left"/>
      <w:pPr>
        <w:tabs>
          <w:tab w:val="num" w:pos="0"/>
        </w:tabs>
        <w:ind w:left="360" w:hanging="360"/>
      </w:pPr>
      <w:rPr/>
    </w:lvl>
    <w:lvl w:ilvl="1">
      <w:start w:val="1"/>
      <w:numFmt w:val="decimal"/>
      <w:lvlText w:val="%1.%2"/>
      <w:lvlJc w:val="left"/>
      <w:pPr>
        <w:tabs>
          <w:tab w:val="num" w:pos="0"/>
        </w:tabs>
        <w:ind w:left="1211" w:hanging="360"/>
      </w:pPr>
      <w:rPr/>
    </w:lvl>
    <w:lvl w:ilvl="2">
      <w:start w:val="1"/>
      <w:numFmt w:val="decimal"/>
      <w:lvlText w:val="%1.%2.%3"/>
      <w:lvlJc w:val="left"/>
      <w:pPr>
        <w:tabs>
          <w:tab w:val="num" w:pos="0"/>
        </w:tabs>
        <w:ind w:left="2422" w:hanging="720"/>
      </w:pPr>
      <w:rPr/>
    </w:lvl>
    <w:lvl w:ilvl="3">
      <w:start w:val="1"/>
      <w:numFmt w:val="decimal"/>
      <w:lvlText w:val="%1.%2.%3.%4"/>
      <w:lvlJc w:val="left"/>
      <w:pPr>
        <w:tabs>
          <w:tab w:val="num" w:pos="0"/>
        </w:tabs>
        <w:ind w:left="3633" w:hanging="1080"/>
      </w:pPr>
      <w:rPr/>
    </w:lvl>
    <w:lvl w:ilvl="4">
      <w:start w:val="1"/>
      <w:numFmt w:val="decimal"/>
      <w:lvlText w:val="%1.%2.%3.%4.%5"/>
      <w:lvlJc w:val="left"/>
      <w:pPr>
        <w:tabs>
          <w:tab w:val="num" w:pos="0"/>
        </w:tabs>
        <w:ind w:left="4484" w:hanging="1080"/>
      </w:pPr>
      <w:rPr/>
    </w:lvl>
    <w:lvl w:ilvl="5">
      <w:start w:val="1"/>
      <w:numFmt w:val="decimal"/>
      <w:lvlText w:val="%1.%2.%3.%4.%5.%6"/>
      <w:lvlJc w:val="left"/>
      <w:pPr>
        <w:tabs>
          <w:tab w:val="num" w:pos="0"/>
        </w:tabs>
        <w:ind w:left="5695" w:hanging="1440"/>
      </w:pPr>
      <w:rPr/>
    </w:lvl>
    <w:lvl w:ilvl="6">
      <w:start w:val="1"/>
      <w:numFmt w:val="decimal"/>
      <w:lvlText w:val="%1.%2.%3.%4.%5.%6.%7"/>
      <w:lvlJc w:val="left"/>
      <w:pPr>
        <w:tabs>
          <w:tab w:val="num" w:pos="0"/>
        </w:tabs>
        <w:ind w:left="6546" w:hanging="1440"/>
      </w:pPr>
      <w:rPr/>
    </w:lvl>
    <w:lvl w:ilvl="7">
      <w:start w:val="1"/>
      <w:numFmt w:val="decimal"/>
      <w:lvlText w:val="%1.%2.%3.%4.%5.%6.%7.%8"/>
      <w:lvlJc w:val="left"/>
      <w:pPr>
        <w:tabs>
          <w:tab w:val="num" w:pos="0"/>
        </w:tabs>
        <w:ind w:left="7757" w:hanging="1800"/>
      </w:pPr>
      <w:rPr/>
    </w:lvl>
    <w:lvl w:ilvl="8">
      <w:start w:val="1"/>
      <w:numFmt w:val="decimal"/>
      <w:lvlText w:val="%1.%2.%3.%4.%5.%6.%7.%8.%9"/>
      <w:lvlJc w:val="left"/>
      <w:pPr>
        <w:tabs>
          <w:tab w:val="num" w:pos="0"/>
        </w:tabs>
        <w:ind w:left="8608" w:hanging="1800"/>
      </w:pPr>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decimal"/>
      <w:lvlText w:val="%1."/>
      <w:lvlJc w:val="left"/>
      <w:pPr>
        <w:tabs>
          <w:tab w:val="num" w:pos="0"/>
        </w:tabs>
        <w:ind w:left="720" w:hanging="360"/>
      </w:pPr>
      <w:rPr>
        <w:b/>
        <w:bCs w:val="false"/>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
    <w:lvl w:ilvl="0">
      <w:start w:val="1"/>
      <w:numFmt w:val="bullet"/>
      <w:lvlText w:val=""/>
      <w:lvlJc w:val="left"/>
      <w:pPr>
        <w:tabs>
          <w:tab w:val="num" w:pos="567"/>
        </w:tabs>
        <w:ind w:left="567" w:hanging="283"/>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fr-FR" w:eastAsia="zh-CN" w:bidi="ar-SA"/>
    </w:rPr>
  </w:style>
  <w:style w:type="paragraph" w:styleId="Heading1">
    <w:name w:val="Heading 1"/>
    <w:basedOn w:val="Normal"/>
    <w:next w:val="Normal"/>
    <w:qFormat/>
    <w:pPr>
      <w:keepNext w:val="true"/>
      <w:numPr>
        <w:ilvl w:val="0"/>
        <w:numId w:val="1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tabs>
        <w:tab w:val="clear" w:pos="708"/>
        <w:tab w:val="left" w:pos="0" w:leader="none"/>
      </w:tabs>
      <w:spacing w:before="240" w:after="60"/>
      <w:ind w:hanging="432" w:left="432" w:right="0"/>
      <w:outlineLvl w:val="1"/>
    </w:pPr>
    <w:rPr>
      <w:rFonts w:ascii="Cambria" w:hAnsi="Cambria" w:cs="Cambria"/>
      <w:b/>
      <w:bCs/>
      <w:i/>
      <w:iCs/>
      <w:sz w:val="28"/>
      <w:szCs w:val="28"/>
    </w:rPr>
  </w:style>
  <w:style w:type="paragraph" w:styleId="Heading3">
    <w:name w:val="Heading 3"/>
    <w:basedOn w:val="Normal"/>
    <w:next w:val="Normal"/>
    <w:qFormat/>
    <w:pPr>
      <w:keepNext w:val="true"/>
      <w:numPr>
        <w:ilvl w:val="2"/>
        <w:numId w:val="1"/>
      </w:numPr>
      <w:tabs>
        <w:tab w:val="clear" w:pos="708"/>
        <w:tab w:val="left" w:pos="0" w:leader="none"/>
      </w:tabs>
      <w:spacing w:before="240" w:after="60"/>
      <w:ind w:hanging="432" w:left="432" w:right="0"/>
      <w:outlineLvl w:val="2"/>
    </w:pPr>
    <w:rPr>
      <w:rFonts w:ascii="Cambria" w:hAnsi="Cambria" w:cs="Cambria"/>
      <w:b/>
      <w:bCs/>
      <w:sz w:val="26"/>
      <w:szCs w:val="26"/>
    </w:rPr>
  </w:style>
  <w:style w:type="paragraph" w:styleId="Heading4">
    <w:name w:val="Heading 4"/>
    <w:basedOn w:val="Normal"/>
    <w:next w:val="Normal"/>
    <w:qFormat/>
    <w:pPr>
      <w:keepNext w:val="true"/>
      <w:numPr>
        <w:ilvl w:val="3"/>
        <w:numId w:val="1"/>
      </w:numPr>
      <w:tabs>
        <w:tab w:val="clear" w:pos="708"/>
        <w:tab w:val="left" w:pos="0" w:leader="none"/>
      </w:tabs>
      <w:spacing w:before="240" w:after="60"/>
      <w:ind w:hanging="432" w:left="432" w:right="0"/>
      <w:outlineLvl w:val="3"/>
    </w:pPr>
    <w:rPr>
      <w:rFonts w:ascii="Aptos;Arial;Calibri" w:hAnsi="Aptos;Arial;Calibri" w:cs="Aptos;Arial;Calibri"/>
      <w:b/>
      <w:bCs/>
      <w:sz w:val="28"/>
      <w:szCs w:val="28"/>
    </w:rPr>
  </w:style>
  <w:style w:type="paragraph" w:styleId="Heading5">
    <w:name w:val="Heading 5"/>
    <w:basedOn w:val="Normal"/>
    <w:next w:val="Normal"/>
    <w:qFormat/>
    <w:pPr>
      <w:numPr>
        <w:ilvl w:val="4"/>
        <w:numId w:val="1"/>
      </w:numPr>
      <w:tabs>
        <w:tab w:val="clear" w:pos="708"/>
        <w:tab w:val="left" w:pos="0" w:leader="none"/>
      </w:tabs>
      <w:spacing w:before="240" w:after="60"/>
      <w:ind w:hanging="432" w:left="432" w:right="0"/>
      <w:outlineLvl w:val="4"/>
    </w:pPr>
    <w:rPr>
      <w:rFonts w:ascii="Aptos;Arial;Calibri" w:hAnsi="Aptos;Arial;Calibri" w:cs="Aptos;Arial;Calibri"/>
      <w:b/>
      <w:bCs/>
      <w:i/>
      <w:iCs/>
      <w:sz w:val="26"/>
      <w:szCs w:val="26"/>
    </w:rPr>
  </w:style>
  <w:style w:type="paragraph" w:styleId="Heading6">
    <w:name w:val="Heading 6"/>
    <w:basedOn w:val="Normal"/>
    <w:next w:val="Normal"/>
    <w:qFormat/>
    <w:pPr>
      <w:numPr>
        <w:ilvl w:val="5"/>
        <w:numId w:val="1"/>
      </w:numPr>
      <w:tabs>
        <w:tab w:val="clear" w:pos="708"/>
        <w:tab w:val="left" w:pos="0" w:leader="none"/>
      </w:tabs>
      <w:spacing w:before="240" w:after="60"/>
      <w:ind w:hanging="432" w:left="432" w:right="0"/>
      <w:outlineLvl w:val="5"/>
    </w:pPr>
    <w:rPr>
      <w:rFonts w:ascii="Aptos;Arial;Calibri" w:hAnsi="Aptos;Arial;Calibri" w:cs="Aptos;Arial;Calibri"/>
      <w:b/>
      <w:bCs/>
      <w:sz w:val="22"/>
      <w:szCs w:val="22"/>
    </w:rPr>
  </w:style>
  <w:style w:type="paragraph" w:styleId="Heading7">
    <w:name w:val="Heading 7"/>
    <w:basedOn w:val="Normal"/>
    <w:next w:val="Normal"/>
    <w:qFormat/>
    <w:pPr>
      <w:numPr>
        <w:ilvl w:val="6"/>
        <w:numId w:val="1"/>
      </w:numPr>
      <w:tabs>
        <w:tab w:val="clear" w:pos="708"/>
        <w:tab w:val="left" w:pos="0" w:leader="none"/>
      </w:tabs>
      <w:spacing w:before="240" w:after="60"/>
      <w:ind w:hanging="432" w:left="432" w:right="0"/>
      <w:outlineLvl w:val="6"/>
    </w:pPr>
    <w:rPr>
      <w:rFonts w:ascii="Aptos;Arial;Calibri" w:hAnsi="Aptos;Arial;Calibri" w:cs="Aptos;Arial;Calibri"/>
    </w:rPr>
  </w:style>
  <w:style w:type="paragraph" w:styleId="Heading8">
    <w:name w:val="Heading 8"/>
    <w:basedOn w:val="Normal"/>
    <w:next w:val="Normal"/>
    <w:qFormat/>
    <w:pPr>
      <w:numPr>
        <w:ilvl w:val="7"/>
        <w:numId w:val="1"/>
      </w:numPr>
      <w:tabs>
        <w:tab w:val="clear" w:pos="708"/>
        <w:tab w:val="left" w:pos="0" w:leader="none"/>
      </w:tabs>
      <w:spacing w:before="240" w:after="60"/>
      <w:ind w:hanging="432" w:left="432" w:right="0"/>
      <w:outlineLvl w:val="7"/>
    </w:pPr>
    <w:rPr>
      <w:rFonts w:ascii="Aptos;Arial;Calibri" w:hAnsi="Aptos;Arial;Calibri" w:cs="Aptos;Arial;Calibri"/>
      <w:i/>
      <w:iCs/>
    </w:rPr>
  </w:style>
  <w:style w:type="paragraph" w:styleId="Heading9">
    <w:name w:val="Heading 9"/>
    <w:basedOn w:val="Normal"/>
    <w:next w:val="Normal"/>
    <w:qFormat/>
    <w:pPr>
      <w:numPr>
        <w:ilvl w:val="8"/>
        <w:numId w:val="1"/>
      </w:numPr>
      <w:tabs>
        <w:tab w:val="clear" w:pos="708"/>
        <w:tab w:val="left" w:pos="0" w:leader="none"/>
      </w:tabs>
      <w:spacing w:before="240" w:after="60"/>
      <w:ind w:hanging="432" w:left="432" w:right="0"/>
      <w:outlineLvl w:val="8"/>
    </w:pPr>
    <w:rPr>
      <w:rFonts w:ascii="Aptos Display" w:hAnsi="Aptos Display" w:cs="Aptos Display"/>
      <w:sz w:val="22"/>
      <w:szCs w:val="22"/>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sz w:val="20"/>
    </w:rPr>
  </w:style>
  <w:style w:type="character" w:styleId="WW8Num7z2">
    <w:name w:val="WW8Num7z2"/>
    <w:qFormat/>
    <w:rPr>
      <w:rFonts w:ascii="Wingdings" w:hAnsi="Wingdings" w:cs="Wingdings"/>
      <w:sz w:val="20"/>
    </w:rPr>
  </w:style>
  <w:style w:type="character" w:styleId="WW8Num9z0">
    <w:name w:val="WW8Num9z0"/>
    <w:qFormat/>
    <w:rPr>
      <w:rFonts w:ascii="Symbol" w:hAnsi="Symbol" w:cs="Symbol"/>
      <w:sz w:val="20"/>
    </w:rPr>
  </w:style>
  <w:style w:type="character" w:styleId="WW8Num9z1">
    <w:name w:val="WW8Num9z1"/>
    <w:qFormat/>
    <w:rPr>
      <w:rFonts w:ascii="Courier New" w:hAnsi="Courier New" w:cs="Courier New"/>
      <w:sz w:val="20"/>
    </w:rPr>
  </w:style>
  <w:style w:type="character" w:styleId="WW8Num9z2">
    <w:name w:val="WW8Num9z2"/>
    <w:qFormat/>
    <w:rPr>
      <w:rFonts w:ascii="Wingdings" w:hAnsi="Wingdings" w:cs="Wingdings"/>
      <w:sz w:val="20"/>
    </w:rPr>
  </w:style>
  <w:style w:type="character" w:styleId="WW8Num11z0">
    <w:name w:val="WW8Num11z0"/>
    <w:qFormat/>
    <w:rPr>
      <w:rFonts w:ascii="Symbol" w:hAnsi="Symbol" w:cs="Symbol"/>
      <w:sz w:val="20"/>
    </w:rPr>
  </w:style>
  <w:style w:type="character" w:styleId="WW8Num11z1">
    <w:name w:val="WW8Num11z1"/>
    <w:qFormat/>
    <w:rPr>
      <w:rFonts w:ascii="Courier New" w:hAnsi="Courier New" w:cs="Courier New"/>
      <w:sz w:val="20"/>
    </w:rPr>
  </w:style>
  <w:style w:type="character" w:styleId="WW8Num11z2">
    <w:name w:val="WW8Num11z2"/>
    <w:qFormat/>
    <w:rPr>
      <w:rFonts w:ascii="Wingdings" w:hAnsi="Wingdings" w:cs="Wingdings"/>
      <w:sz w:val="20"/>
    </w:rPr>
  </w:style>
  <w:style w:type="character" w:styleId="WW8Num12z0">
    <w:name w:val="WW8Num12z0"/>
    <w:qFormat/>
    <w:rPr>
      <w:b/>
      <w:bCs w:val="false"/>
    </w:rPr>
  </w:style>
  <w:style w:type="character" w:styleId="WW8Num13z0">
    <w:name w:val="WW8Num13z0"/>
    <w:qFormat/>
    <w:rPr>
      <w:rFonts w:ascii="Symbol" w:hAnsi="Symbol" w:cs="Symbol"/>
    </w:rPr>
  </w:style>
  <w:style w:type="character" w:styleId="WW8Num14z0">
    <w:name w:val="WW8Num14z0"/>
    <w:qFormat/>
    <w:rPr>
      <w:rFonts w:ascii="Symbol" w:hAnsi="Symbol" w:cs="Symbol"/>
      <w:sz w:val="20"/>
    </w:rPr>
  </w:style>
  <w:style w:type="character" w:styleId="WW8Num14z1">
    <w:name w:val="WW8Num14z1"/>
    <w:qFormat/>
    <w:rPr>
      <w:rFonts w:ascii="Courier New" w:hAnsi="Courier New" w:cs="Courier New"/>
      <w:sz w:val="20"/>
    </w:rPr>
  </w:style>
  <w:style w:type="character" w:styleId="WW8Num14z2">
    <w:name w:val="WW8Num14z2"/>
    <w:qFormat/>
    <w:rPr>
      <w:rFonts w:ascii="Wingdings" w:hAnsi="Wingdings" w:cs="Wingdings"/>
      <w:sz w:val="20"/>
    </w:rPr>
  </w:style>
  <w:style w:type="character" w:styleId="WW8Num15z0">
    <w:name w:val="WW8Num15z0"/>
    <w:qFormat/>
    <w:rPr>
      <w:rFonts w:ascii="Symbol" w:hAnsi="Symbol" w:cs="Symbol"/>
    </w:rPr>
  </w:style>
  <w:style w:type="character" w:styleId="Policepardfaut">
    <w:name w:val="Police par défaut"/>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b/>
      <w:bCs w:val="false"/>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3z1">
    <w:name w:val="WW8Num13z1"/>
    <w:qFormat/>
    <w:rPr>
      <w:rFonts w:ascii="Courier New" w:hAnsi="Courier New" w:cs="Courier New"/>
      <w:sz w:val="20"/>
    </w:rPr>
  </w:style>
  <w:style w:type="character" w:styleId="WW8Num13z2">
    <w:name w:val="WW8Num13z2"/>
    <w:qFormat/>
    <w:rPr>
      <w:rFonts w:ascii="Wingdings" w:hAnsi="Wingdings" w:cs="Wingdings"/>
      <w:sz w:val="20"/>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CorpsdetexteCar">
    <w:name w:val="Corps de texte Car"/>
    <w:qFormat/>
    <w:rPr>
      <w:sz w:val="24"/>
    </w:rPr>
  </w:style>
  <w:style w:type="character" w:styleId="Corpsdetexte3Car">
    <w:name w:val="Corps de texte 3 Car"/>
    <w:qFormat/>
    <w:rPr>
      <w:sz w:val="16"/>
      <w:szCs w:val="16"/>
    </w:rPr>
  </w:style>
  <w:style w:type="character" w:styleId="TextedebullesCar">
    <w:name w:val="Texte de bulles Car"/>
    <w:qFormat/>
    <w:rPr>
      <w:rFonts w:ascii="Tahoma" w:hAnsi="Tahoma" w:cs="Tahoma"/>
      <w:sz w:val="16"/>
      <w:szCs w:val="16"/>
    </w:rPr>
  </w:style>
  <w:style w:type="character" w:styleId="NotedebasdepageCar">
    <w:name w:val="Note de bas de page Car"/>
    <w:basedOn w:val="Policepardfaut"/>
    <w:qFormat/>
    <w:rPr/>
  </w:style>
  <w:style w:type="character" w:styleId="FootnoteCharacters">
    <w:name w:val="Footnote Characters"/>
    <w:qFormat/>
    <w:rPr>
      <w:vertAlign w:val="superscript"/>
    </w:rPr>
  </w:style>
  <w:style w:type="character" w:styleId="Titre2Car">
    <w:name w:val="Titre 2 Car"/>
    <w:qFormat/>
    <w:rPr>
      <w:rFonts w:ascii="Cambria" w:hAnsi="Cambria" w:cs="Cambria"/>
      <w:b/>
      <w:bCs/>
      <w:i/>
      <w:iCs/>
      <w:sz w:val="28"/>
      <w:szCs w:val="28"/>
      <w:lang w:val="fr-FR"/>
    </w:rPr>
  </w:style>
  <w:style w:type="character" w:styleId="En-tteCar">
    <w:name w:val="En-tête Car"/>
    <w:qFormat/>
    <w:rPr>
      <w:sz w:val="24"/>
      <w:szCs w:val="24"/>
    </w:rPr>
  </w:style>
  <w:style w:type="character" w:styleId="PieddepageCar">
    <w:name w:val="Pied de page Car"/>
    <w:qFormat/>
    <w:rPr>
      <w:rFonts w:ascii="Arial" w:hAnsi="Arial" w:cs="Arial"/>
      <w:sz w:val="24"/>
      <w:szCs w:val="24"/>
    </w:rPr>
  </w:style>
  <w:style w:type="character" w:styleId="Titre3Car">
    <w:name w:val="Titre 3 Car"/>
    <w:qFormat/>
    <w:rPr>
      <w:rFonts w:ascii="Cambria" w:hAnsi="Cambria" w:cs="Cambria"/>
      <w:b/>
      <w:bCs/>
      <w:sz w:val="26"/>
      <w:szCs w:val="26"/>
      <w:lang w:val="fr-FR"/>
    </w:rPr>
  </w:style>
  <w:style w:type="character" w:styleId="Hyperlink">
    <w:name w:val="Hyperlink"/>
    <w:rPr>
      <w:color w:val="0000FF"/>
      <w:u w:val="single"/>
    </w:rPr>
  </w:style>
  <w:style w:type="character" w:styleId="SansinterligneCar">
    <w:name w:val="Sans interligne Car"/>
    <w:qFormat/>
    <w:rPr>
      <w:rFonts w:ascii="Aptos;Arial;Calibri" w:hAnsi="Aptos;Arial;Calibri" w:cs="Aptos;Arial;Calibri"/>
      <w:sz w:val="22"/>
      <w:szCs w:val="22"/>
      <w:lang w:bidi="ar-SA"/>
    </w:rPr>
  </w:style>
  <w:style w:type="character" w:styleId="Titre1Car">
    <w:name w:val="Titre 1 Car"/>
    <w:qFormat/>
    <w:rPr>
      <w:rFonts w:ascii="Arial" w:hAnsi="Arial" w:cs="Arial"/>
      <w:b/>
      <w:bCs/>
      <w:kern w:val="2"/>
      <w:sz w:val="32"/>
      <w:szCs w:val="32"/>
      <w:lang w:val="fr-FR"/>
    </w:rPr>
  </w:style>
  <w:style w:type="character" w:styleId="Titre5Car">
    <w:name w:val="Titre 5 Car"/>
    <w:qFormat/>
    <w:rPr>
      <w:rFonts w:ascii="Aptos;Arial;Calibri" w:hAnsi="Aptos;Arial;Calibri" w:cs="Aptos;Arial;Calibri"/>
      <w:b/>
      <w:bCs/>
      <w:i/>
      <w:iCs/>
      <w:sz w:val="26"/>
      <w:szCs w:val="26"/>
      <w:lang w:val="fr-FR"/>
    </w:rPr>
  </w:style>
  <w:style w:type="character" w:styleId="Titre4Car">
    <w:name w:val="Titre 4 Car"/>
    <w:qFormat/>
    <w:rPr>
      <w:rFonts w:ascii="Aptos;Arial;Calibri" w:hAnsi="Aptos;Arial;Calibri" w:cs="Aptos;Arial;Calibri"/>
      <w:b/>
      <w:bCs/>
      <w:sz w:val="28"/>
      <w:szCs w:val="28"/>
      <w:lang w:val="fr-FR"/>
    </w:rPr>
  </w:style>
  <w:style w:type="character" w:styleId="Titre6Car">
    <w:name w:val="Titre 6 Car"/>
    <w:qFormat/>
    <w:rPr>
      <w:rFonts w:ascii="Aptos;Arial;Calibri" w:hAnsi="Aptos;Arial;Calibri" w:cs="Aptos;Arial;Calibri"/>
      <w:b/>
      <w:bCs/>
      <w:sz w:val="22"/>
      <w:szCs w:val="22"/>
      <w:lang w:val="fr-FR"/>
    </w:rPr>
  </w:style>
  <w:style w:type="character" w:styleId="Titre7Car">
    <w:name w:val="Titre 7 Car"/>
    <w:qFormat/>
    <w:rPr>
      <w:rFonts w:ascii="Aptos;Arial;Calibri" w:hAnsi="Aptos;Arial;Calibri" w:cs="Aptos;Arial;Calibri"/>
      <w:sz w:val="24"/>
      <w:szCs w:val="24"/>
      <w:lang w:val="fr-FR"/>
    </w:rPr>
  </w:style>
  <w:style w:type="character" w:styleId="Titre8Car">
    <w:name w:val="Titre 8 Car"/>
    <w:qFormat/>
    <w:rPr>
      <w:rFonts w:ascii="Aptos;Arial;Calibri" w:hAnsi="Aptos;Arial;Calibri" w:cs="Aptos;Arial;Calibri"/>
      <w:i/>
      <w:iCs/>
      <w:sz w:val="24"/>
      <w:szCs w:val="24"/>
      <w:lang w:val="fr-FR"/>
    </w:rPr>
  </w:style>
  <w:style w:type="character" w:styleId="Titre9Car">
    <w:name w:val="Titre 9 Car"/>
    <w:qFormat/>
    <w:rPr>
      <w:rFonts w:ascii="Aptos Display" w:hAnsi="Aptos Display" w:cs="Aptos Display"/>
      <w:sz w:val="22"/>
      <w:szCs w:val="22"/>
      <w:lang w:val="fr-FR"/>
    </w:rPr>
  </w:style>
  <w:style w:type="character" w:styleId="whitespace-nowrap">
    <w:name w:val="whitespace-nowrap"/>
    <w:qFormat/>
    <w:rPr/>
  </w:style>
  <w:style w:type="character" w:styleId="relative">
    <w:name w:val="relative"/>
    <w:qFormat/>
    <w:rPr/>
  </w:style>
  <w:style w:type="character" w:styleId="Strong">
    <w:name w:val="Strong"/>
    <w:qFormat/>
    <w:rPr>
      <w:b/>
      <w:bCs/>
    </w:rPr>
  </w:style>
  <w:style w:type="character" w:styleId="hoverbg-super">
    <w:name w:val="hover:bg-super"/>
    <w:qFormat/>
    <w:rPr/>
  </w:style>
  <w:style w:type="character" w:styleId="IndexLink">
    <w:name w:val="Index Link"/>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Arial" w:hAnsi="Liberation Sans;Arial" w:eastAsia="Noto Sans CJK SC" w:cs="DejaVu Sans;Times New Roman"/>
      <w:sz w:val="28"/>
      <w:szCs w:val="28"/>
    </w:rPr>
  </w:style>
  <w:style w:type="paragraph" w:styleId="BodyText">
    <w:name w:val="Body Text"/>
    <w:basedOn w:val="Normal"/>
    <w:pPr>
      <w:jc w:val="both"/>
    </w:pPr>
    <w:rPr>
      <w:szCs w:val="20"/>
      <w:lang w:val="en-US"/>
    </w:rPr>
  </w:style>
  <w:style w:type="paragraph" w:styleId="List">
    <w:name w:val="List"/>
    <w:basedOn w:val="BodyText"/>
    <w:pPr/>
    <w:rPr>
      <w:rFonts w:cs="DejaVu Sans;Times New Roman"/>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DejaVu Sans;Times New Roman"/>
    </w:rPr>
  </w:style>
  <w:style w:type="paragraph" w:styleId="Lgende">
    <w:name w:val="Légende"/>
    <w:basedOn w:val="Normal"/>
    <w:next w:val="Normal"/>
    <w:qFormat/>
    <w:pPr/>
    <w:rPr>
      <w:rFonts w:ascii="Arial" w:hAnsi="Arial" w:cs="Arial"/>
      <w:b/>
      <w:bCs/>
      <w:sz w:val="20"/>
      <w:szCs w:val="20"/>
    </w:rPr>
  </w:style>
  <w:style w:type="paragraph" w:styleId="HeaderandFooter">
    <w:name w:val="Header and Footer"/>
    <w:basedOn w:val="Normal"/>
    <w:qFormat/>
    <w:pPr>
      <w:suppressLineNumbers/>
    </w:pPr>
    <w:rPr/>
  </w:style>
  <w:style w:type="paragraph" w:styleId="Footer">
    <w:name w:val="Footer"/>
    <w:basedOn w:val="Normal"/>
    <w:pPr/>
    <w:rPr>
      <w:rFonts w:ascii="Arial" w:hAnsi="Arial" w:cs="Arial"/>
      <w:lang w:val="en-US"/>
    </w:rPr>
  </w:style>
  <w:style w:type="paragraph" w:styleId="Header">
    <w:name w:val="Header"/>
    <w:basedOn w:val="Normal"/>
    <w:pPr/>
    <w:rPr>
      <w:lang w:val="en-US"/>
    </w:rPr>
  </w:style>
  <w:style w:type="paragraph" w:styleId="spip">
    <w:name w:val="spip"/>
    <w:basedOn w:val="Normal"/>
    <w:qFormat/>
    <w:pPr>
      <w:spacing w:before="280" w:after="280"/>
    </w:pPr>
    <w:rPr/>
  </w:style>
  <w:style w:type="paragraph" w:styleId="Paragraphedeliste">
    <w:name w:val="Paragraphe de liste"/>
    <w:basedOn w:val="Normal"/>
    <w:qFormat/>
    <w:pPr>
      <w:spacing w:lineRule="auto" w:line="276" w:before="0" w:after="200"/>
      <w:ind w:hanging="0" w:left="720" w:right="0"/>
      <w:contextualSpacing/>
    </w:pPr>
    <w:rPr>
      <w:rFonts w:ascii="Calibri" w:hAnsi="Calibri" w:eastAsia="Calibri" w:cs="Calibri"/>
      <w:sz w:val="22"/>
      <w:szCs w:val="22"/>
    </w:rPr>
  </w:style>
  <w:style w:type="paragraph" w:styleId="Corpsdetexte3">
    <w:name w:val="Corps de texte 3"/>
    <w:basedOn w:val="Normal"/>
    <w:qFormat/>
    <w:pPr>
      <w:spacing w:before="0" w:after="120"/>
    </w:pPr>
    <w:rPr>
      <w:sz w:val="16"/>
      <w:szCs w:val="16"/>
      <w:lang w:val="en-US"/>
    </w:rPr>
  </w:style>
  <w:style w:type="paragraph" w:styleId="NormalWeb">
    <w:name w:val="Normal (Web)"/>
    <w:basedOn w:val="Normal"/>
    <w:qFormat/>
    <w:pPr>
      <w:spacing w:before="280" w:after="280"/>
    </w:pPr>
    <w:rPr/>
  </w:style>
  <w:style w:type="paragraph" w:styleId="xl24">
    <w:name w:val="xl24"/>
    <w:basedOn w:val="Normal"/>
    <w:qFormat/>
    <w:pPr>
      <w:spacing w:before="100" w:after="100"/>
    </w:pPr>
    <w:rPr>
      <w:rFonts w:ascii="Arial" w:hAnsi="Arial" w:cs="Arial"/>
      <w:sz w:val="16"/>
      <w:szCs w:val="20"/>
      <w:lang w:val="en-US"/>
    </w:rPr>
  </w:style>
  <w:style w:type="paragraph" w:styleId="Textedebulles">
    <w:name w:val="Texte de bulles"/>
    <w:basedOn w:val="Normal"/>
    <w:qFormat/>
    <w:pPr/>
    <w:rPr>
      <w:rFonts w:ascii="Tahoma" w:hAnsi="Tahoma" w:cs="Tahoma"/>
      <w:sz w:val="16"/>
      <w:szCs w:val="16"/>
      <w:lang w:val="en-US"/>
    </w:rPr>
  </w:style>
  <w:style w:type="paragraph" w:styleId="Rvision">
    <w:name w:val="Révision"/>
    <w:qFormat/>
    <w:pPr>
      <w:widowControl/>
      <w:suppressAutoHyphens w:val="true"/>
      <w:bidi w:val="0"/>
      <w:spacing w:before="0" w:after="0"/>
      <w:jc w:val="left"/>
    </w:pPr>
    <w:rPr>
      <w:rFonts w:ascii="Times New Roman" w:hAnsi="Times New Roman" w:eastAsia="Times New Roman" w:cs="Times New Roman"/>
      <w:color w:val="auto"/>
      <w:kern w:val="0"/>
      <w:sz w:val="24"/>
      <w:szCs w:val="24"/>
      <w:lang w:val="fr-FR" w:eastAsia="zh-CN" w:bidi="ar-SA"/>
    </w:rPr>
  </w:style>
  <w:style w:type="paragraph" w:styleId="FootnoteText">
    <w:name w:val="Footnote Text"/>
    <w:basedOn w:val="Normal"/>
    <w:pPr/>
    <w:rPr>
      <w:sz w:val="20"/>
      <w:szCs w:val="20"/>
    </w:rPr>
  </w:style>
  <w:style w:type="paragraph" w:styleId="5F6AEA512CC74B80B78940AC4F74C285">
    <w:name w:val="5F6AEA512CC74B80B78940AC4F74C285"/>
    <w:qFormat/>
    <w:pPr>
      <w:widowControl/>
      <w:suppressAutoHyphens w:val="true"/>
      <w:bidi w:val="0"/>
      <w:spacing w:lineRule="auto" w:line="276" w:before="0" w:after="200"/>
      <w:jc w:val="left"/>
    </w:pPr>
    <w:rPr>
      <w:rFonts w:ascii="Calibri" w:hAnsi="Calibri" w:eastAsia="Times New Roman" w:cs="Calibri"/>
      <w:color w:val="auto"/>
      <w:kern w:val="0"/>
      <w:sz w:val="22"/>
      <w:szCs w:val="22"/>
      <w:lang w:val="en-US" w:eastAsia="zh-CN" w:bidi="ar-SA"/>
    </w:rPr>
  </w:style>
  <w:style w:type="paragraph" w:styleId="En-ttedetabledesmatires">
    <w:name w:val="En-tête de table des matières"/>
    <w:basedOn w:val="Heading1"/>
    <w:next w:val="Normal"/>
    <w:qFormat/>
    <w:pPr>
      <w:keepLines/>
      <w:numPr>
        <w:ilvl w:val="0"/>
        <w:numId w:val="11"/>
      </w:numPr>
      <w:spacing w:lineRule="auto" w:line="276" w:before="480" w:after="0"/>
      <w:outlineLvl w:val="9"/>
    </w:pPr>
    <w:rPr>
      <w:rFonts w:ascii="Cambria" w:hAnsi="Cambria" w:eastAsia="Times New Roman" w:cs="Times New Roman"/>
      <w:color w:val="365F91"/>
      <w:kern w:val="0"/>
      <w:sz w:val="28"/>
      <w:szCs w:val="28"/>
    </w:rPr>
  </w:style>
  <w:style w:type="paragraph" w:styleId="TOC1">
    <w:name w:val="TOC 1"/>
    <w:basedOn w:val="Normal"/>
    <w:next w:val="Normal"/>
    <w:pPr>
      <w:spacing w:before="120" w:after="120"/>
    </w:pPr>
    <w:rPr>
      <w:rFonts w:ascii="Cambria" w:hAnsi="Cambria" w:eastAsia="Times New Roman" w:cs="Times New Roman"/>
      <w:b/>
      <w:bCs/>
      <w:caps/>
      <w:lang w:val="en-US"/>
    </w:rPr>
  </w:style>
  <w:style w:type="paragraph" w:styleId="TOC2">
    <w:name w:val="TOC 2"/>
    <w:basedOn w:val="Normal"/>
    <w:next w:val="Normal"/>
    <w:pPr>
      <w:ind w:hanging="0" w:left="240" w:right="0"/>
    </w:pPr>
    <w:rPr>
      <w:rFonts w:ascii="Trebuchet MS" w:hAnsi="Trebuchet MS" w:cs="Trebuchet MS"/>
      <w:lang w:val="en-US"/>
    </w:rPr>
  </w:style>
  <w:style w:type="paragraph" w:styleId="TOC3">
    <w:name w:val="TOC 3"/>
    <w:basedOn w:val="Normal"/>
    <w:next w:val="Normal"/>
    <w:pPr>
      <w:ind w:hanging="0" w:left="480" w:right="0"/>
    </w:pPr>
    <w:rPr>
      <w:rFonts w:ascii="Trebuchet MS" w:hAnsi="Trebuchet MS" w:cs="Trebuchet MS"/>
      <w:lang w:val="en-US"/>
    </w:rPr>
  </w:style>
  <w:style w:type="paragraph" w:styleId="Sansinterligne">
    <w:name w:val="Sans interligne"/>
    <w:qFormat/>
    <w:pPr>
      <w:widowControl/>
      <w:suppressAutoHyphens w:val="true"/>
      <w:bidi w:val="0"/>
      <w:spacing w:before="0" w:after="0"/>
      <w:jc w:val="left"/>
    </w:pPr>
    <w:rPr>
      <w:rFonts w:ascii="Aptos;Arial;Calibri" w:hAnsi="Aptos;Arial;Calibri" w:eastAsia="Times New Roman" w:cs="Aptos;Arial;Calibri"/>
      <w:color w:val="auto"/>
      <w:kern w:val="0"/>
      <w:sz w:val="22"/>
      <w:szCs w:val="22"/>
      <w:lang w:val="en-US" w:eastAsia="zh-CN" w:bidi="ar-SA"/>
    </w:rPr>
  </w:style>
  <w:style w:type="paragraph" w:styleId="Informationsdecontact">
    <w:name w:val="Informations de contact"/>
    <w:basedOn w:val="Sansinterligne"/>
    <w:qFormat/>
    <w:pPr/>
    <w:rPr>
      <w:rFonts w:ascii="Garamond" w:hAnsi="Garamond" w:eastAsia="Times New Roman" w:cs="Times New Roman"/>
      <w:color w:val="FFFFFF"/>
      <w:lang w:eastAsia="ja-JP"/>
    </w:rPr>
  </w:style>
  <w:style w:type="paragraph" w:styleId="Espacedutableau">
    <w:name w:val="Espace du tableau"/>
    <w:basedOn w:val="Sansinterligne"/>
    <w:qFormat/>
    <w:pPr>
      <w:spacing w:lineRule="exact" w:line="14"/>
    </w:pPr>
    <w:rPr>
      <w:rFonts w:ascii="Garamond" w:hAnsi="Garamond" w:eastAsia="Times New Roman" w:cs="Times New Roman"/>
      <w:color w:val="44546A"/>
      <w:sz w:val="20"/>
      <w:szCs w:val="20"/>
      <w:lang w:eastAsia="ja-JP"/>
    </w:rPr>
  </w:style>
  <w:style w:type="paragraph" w:styleId="my-0">
    <w:name w:val="my-0"/>
    <w:basedOn w:val="Normal"/>
    <w:qFormat/>
    <w:pPr>
      <w:spacing w:before="280" w:after="280"/>
    </w:pPr>
    <w:rPr>
      <w:lang w:val="fr-C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ds-markdown-paragraph">
    <w:name w:val="ds-markdown-paragraph"/>
    <w:basedOn w:val="Normal"/>
    <w:qFormat/>
    <w:pPr>
      <w:suppressAutoHyphens w:val="false"/>
      <w:spacing w:before="280" w:after="28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2026-10-08T10:27:00Z</dcterms:created>
  <dc:creator>STEP</dc:creator>
  <dc:description/>
  <dc:language>en-US</dc:language>
  <cp:lastModifiedBy/>
  <cp:lastPrinted>2025-07-23T09:16:00Z</cp:lastPrinted>
  <dcterms:modified xsi:type="dcterms:W3CDTF">2026-10-15T16:58:44Z</dcterms:modified>
  <cp:revision>4</cp:revision>
  <dc:subject/>
  <dc:title>DATE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deb7872d-a8b8-4298-b807-425d0acd600d</vt:lpwstr>
  </property>
  <property fmtid="{D5CDD505-2E9C-101B-9397-08002B2CF9AE}" pid="3" name="TaxCatchAll">
    <vt:lpwstr/>
  </property>
  <property fmtid="{D5CDD505-2E9C-101B-9397-08002B2CF9AE}" pid="4" name="lcf76f155ced4ddcb4097134ff3c332f">
    <vt:lpwstr/>
  </property>
</Properties>
</file>