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60D09" w14:textId="7F54BE42" w:rsidR="00A16CDD" w:rsidRPr="00A16CDD" w:rsidRDefault="00A16CDD" w:rsidP="00A16CDD">
      <w:pPr>
        <w:tabs>
          <w:tab w:val="left" w:pos="1710"/>
        </w:tabs>
        <w:jc w:val="center"/>
        <w:rPr>
          <w:rFonts w:asciiTheme="majorBidi" w:hAnsiTheme="majorBidi" w:cstheme="majorBidi"/>
          <w:sz w:val="32"/>
          <w:szCs w:val="32"/>
        </w:rPr>
      </w:pPr>
      <w:r w:rsidRPr="00A16CDD">
        <w:rPr>
          <w:rFonts w:asciiTheme="majorBidi" w:hAnsiTheme="majorBidi" w:cstheme="majorBidi"/>
          <w:sz w:val="32"/>
          <w:szCs w:val="32"/>
          <w:highlight w:val="yellow"/>
        </w:rPr>
        <w:t>Studying</w:t>
      </w:r>
      <w:r w:rsidRPr="00A16CDD">
        <w:rPr>
          <w:rFonts w:asciiTheme="majorBidi" w:hAnsiTheme="majorBidi" w:cstheme="majorBidi"/>
          <w:sz w:val="32"/>
          <w:szCs w:val="32"/>
          <w:highlight w:val="yellow"/>
        </w:rPr>
        <w:t xml:space="preserve"> the market</w:t>
      </w:r>
    </w:p>
    <w:p w14:paraId="61990014" w14:textId="2875F8C9" w:rsidR="00EA0446" w:rsidRPr="00A16CDD" w:rsidRDefault="00EA0446" w:rsidP="00EA0446">
      <w:pPr>
        <w:tabs>
          <w:tab w:val="left" w:pos="1710"/>
        </w:tabs>
        <w:rPr>
          <w:rFonts w:asciiTheme="majorBidi" w:hAnsiTheme="majorBidi" w:cstheme="majorBidi"/>
          <w:sz w:val="24"/>
          <w:szCs w:val="24"/>
          <w:rtl/>
        </w:rPr>
      </w:pPr>
      <w:r w:rsidRPr="00A16CDD">
        <w:rPr>
          <w:rFonts w:asciiTheme="majorBidi" w:hAnsiTheme="majorBidi" w:cstheme="majorBidi"/>
          <w:sz w:val="24"/>
          <w:szCs w:val="24"/>
        </w:rPr>
        <w:t xml:space="preserve">In the study of the Bayer Persona and the analysis of the application services, it became clear to us that the application serves more than one industry, including the tourism industry and higher education in Egypt. </w:t>
      </w:r>
    </w:p>
    <w:p w14:paraId="16D6A593" w14:textId="29B6B70C" w:rsidR="00EA0446" w:rsidRPr="00A16CDD" w:rsidRDefault="00EA0446" w:rsidP="005572F6">
      <w:pPr>
        <w:tabs>
          <w:tab w:val="left" w:pos="1710"/>
        </w:tabs>
        <w:rPr>
          <w:rFonts w:asciiTheme="majorBidi" w:hAnsiTheme="majorBidi" w:cstheme="majorBidi"/>
          <w:sz w:val="24"/>
          <w:szCs w:val="24"/>
          <w:rtl/>
        </w:rPr>
      </w:pPr>
      <w:r w:rsidRPr="00A16CDD">
        <w:rPr>
          <w:rFonts w:asciiTheme="majorBidi" w:hAnsiTheme="majorBidi" w:cstheme="majorBidi"/>
          <w:sz w:val="24"/>
          <w:szCs w:val="24"/>
        </w:rPr>
        <w:t>When studying the market, we found the following:</w:t>
      </w:r>
    </w:p>
    <w:p w14:paraId="6F613FF9" w14:textId="063A6F69" w:rsidR="00EA0446" w:rsidRPr="00A16CDD" w:rsidRDefault="00EA0446" w:rsidP="005572F6">
      <w:pPr>
        <w:tabs>
          <w:tab w:val="left" w:pos="1710"/>
        </w:tabs>
        <w:rPr>
          <w:rFonts w:asciiTheme="majorBidi" w:hAnsiTheme="majorBidi" w:cstheme="majorBidi"/>
          <w:b/>
          <w:bCs/>
          <w:sz w:val="28"/>
          <w:szCs w:val="28"/>
          <w:u w:val="single"/>
        </w:rPr>
      </w:pPr>
      <w:r w:rsidRPr="00A16CDD">
        <w:rPr>
          <w:rFonts w:asciiTheme="majorBidi" w:hAnsiTheme="majorBidi" w:cstheme="majorBidi"/>
          <w:b/>
          <w:bCs/>
          <w:sz w:val="28"/>
          <w:szCs w:val="28"/>
          <w:u w:val="single"/>
        </w:rPr>
        <w:t>In tourism</w:t>
      </w:r>
      <w:r w:rsidR="00A16CDD" w:rsidRPr="00A16CDD">
        <w:rPr>
          <w:rFonts w:asciiTheme="majorBidi" w:hAnsiTheme="majorBidi" w:cstheme="majorBidi" w:hint="cs"/>
          <w:b/>
          <w:bCs/>
          <w:sz w:val="28"/>
          <w:szCs w:val="28"/>
          <w:u w:val="single"/>
          <w:rtl/>
        </w:rPr>
        <w:t>:</w:t>
      </w:r>
    </w:p>
    <w:p w14:paraId="5EBB8368" w14:textId="319AB320" w:rsidR="005572F6" w:rsidRPr="00A16CDD" w:rsidRDefault="005572F6" w:rsidP="00A16CDD">
      <w:pPr>
        <w:pStyle w:val="ListParagraph"/>
        <w:numPr>
          <w:ilvl w:val="0"/>
          <w:numId w:val="34"/>
        </w:numPr>
        <w:tabs>
          <w:tab w:val="left" w:pos="1710"/>
        </w:tabs>
        <w:rPr>
          <w:rFonts w:asciiTheme="majorBidi" w:hAnsiTheme="majorBidi" w:cstheme="majorBidi"/>
          <w:sz w:val="24"/>
          <w:szCs w:val="24"/>
        </w:rPr>
      </w:pPr>
      <w:r w:rsidRPr="00A16CDD">
        <w:rPr>
          <w:rFonts w:asciiTheme="majorBidi" w:hAnsiTheme="majorBidi" w:cstheme="majorBidi"/>
          <w:sz w:val="24"/>
          <w:szCs w:val="24"/>
        </w:rPr>
        <w:t>The travel and tourism industry in Egypt is one of the country’s leading economic sectors, contributing around US$31 billion to the GDP in 2023.</w:t>
      </w:r>
    </w:p>
    <w:p w14:paraId="33DCE09D" w14:textId="77777777" w:rsidR="00A16CDD" w:rsidRPr="00A16CDD" w:rsidRDefault="00A16CDD" w:rsidP="00A16CDD">
      <w:pPr>
        <w:tabs>
          <w:tab w:val="left" w:pos="1710"/>
        </w:tabs>
        <w:rPr>
          <w:rFonts w:asciiTheme="majorBidi" w:hAnsiTheme="majorBidi" w:cstheme="majorBidi"/>
          <w:sz w:val="24"/>
          <w:szCs w:val="24"/>
          <w:rtl/>
        </w:rPr>
      </w:pPr>
    </w:p>
    <w:p w14:paraId="44C048BE" w14:textId="66D04387" w:rsidR="005572F6" w:rsidRPr="00A16CDD" w:rsidRDefault="005572F6" w:rsidP="00A16CDD">
      <w:pPr>
        <w:pStyle w:val="ListParagraph"/>
        <w:numPr>
          <w:ilvl w:val="0"/>
          <w:numId w:val="34"/>
        </w:numPr>
        <w:tabs>
          <w:tab w:val="left" w:pos="1710"/>
        </w:tabs>
        <w:rPr>
          <w:rFonts w:asciiTheme="majorBidi" w:hAnsiTheme="majorBidi" w:cstheme="majorBidi"/>
          <w:sz w:val="24"/>
          <w:szCs w:val="24"/>
        </w:rPr>
      </w:pPr>
      <w:r w:rsidRPr="00A16CDD">
        <w:rPr>
          <w:rFonts w:asciiTheme="majorBidi" w:hAnsiTheme="majorBidi" w:cstheme="majorBidi"/>
          <w:sz w:val="24"/>
          <w:szCs w:val="24"/>
        </w:rPr>
        <w:t>Egypt's Minister of Tourism and Antiquities Sherif Fathy announced on Tuesday that his country achieved a record number by receiving 15.7 million tourists last year 2024</w:t>
      </w:r>
      <w:r w:rsidRPr="00A16CDD">
        <w:rPr>
          <w:rFonts w:asciiTheme="majorBidi" w:hAnsiTheme="majorBidi" w:cstheme="majorBidi" w:hint="cs"/>
          <w:sz w:val="24"/>
          <w:szCs w:val="24"/>
          <w:rtl/>
        </w:rPr>
        <w:t>.</w:t>
      </w:r>
    </w:p>
    <w:p w14:paraId="46884D86" w14:textId="77777777" w:rsidR="00A16CDD" w:rsidRPr="00A16CDD" w:rsidRDefault="00A16CDD" w:rsidP="00A16CDD">
      <w:pPr>
        <w:tabs>
          <w:tab w:val="left" w:pos="1710"/>
        </w:tabs>
        <w:rPr>
          <w:rFonts w:asciiTheme="majorBidi" w:hAnsiTheme="majorBidi" w:cstheme="majorBidi"/>
          <w:sz w:val="24"/>
          <w:szCs w:val="24"/>
          <w:rtl/>
        </w:rPr>
      </w:pPr>
    </w:p>
    <w:p w14:paraId="369A8ED8" w14:textId="02C0AC78" w:rsidR="0074453A" w:rsidRPr="00A16CDD" w:rsidRDefault="005932C2" w:rsidP="00A16CDD">
      <w:pPr>
        <w:pStyle w:val="ListParagraph"/>
        <w:numPr>
          <w:ilvl w:val="0"/>
          <w:numId w:val="34"/>
        </w:numPr>
        <w:tabs>
          <w:tab w:val="left" w:pos="1710"/>
        </w:tabs>
        <w:rPr>
          <w:rFonts w:asciiTheme="majorBidi" w:hAnsiTheme="majorBidi" w:cstheme="majorBidi"/>
          <w:sz w:val="24"/>
          <w:szCs w:val="24"/>
        </w:rPr>
      </w:pPr>
      <w:r w:rsidRPr="00A16CDD">
        <w:rPr>
          <w:rFonts w:asciiTheme="majorBidi" w:hAnsiTheme="majorBidi" w:cstheme="majorBidi"/>
          <w:sz w:val="24"/>
          <w:szCs w:val="24"/>
        </w:rPr>
        <w:t xml:space="preserve">Even the number of tourists guides currently registered with the General Syndicate of Tourist Guides is more than 9,500 guides, of whom only 5,000 are working </w:t>
      </w:r>
      <w:r w:rsidR="0074453A" w:rsidRPr="00A16CDD">
        <w:rPr>
          <w:rFonts w:asciiTheme="majorBidi" w:hAnsiTheme="majorBidi" w:cstheme="majorBidi"/>
          <w:sz w:val="24"/>
          <w:szCs w:val="24"/>
        </w:rPr>
        <w:t>guides.</w:t>
      </w:r>
    </w:p>
    <w:p w14:paraId="181AB483" w14:textId="77777777" w:rsidR="00A16CDD" w:rsidRPr="00A16CDD" w:rsidRDefault="00A16CDD" w:rsidP="00A16CDD">
      <w:pPr>
        <w:tabs>
          <w:tab w:val="left" w:pos="1710"/>
        </w:tabs>
        <w:rPr>
          <w:rFonts w:asciiTheme="majorBidi" w:hAnsiTheme="majorBidi" w:cstheme="majorBidi"/>
          <w:sz w:val="24"/>
          <w:szCs w:val="24"/>
          <w:rtl/>
        </w:rPr>
      </w:pPr>
    </w:p>
    <w:p w14:paraId="465E875A" w14:textId="20C6A605" w:rsidR="0074453A" w:rsidRPr="00A16CDD" w:rsidRDefault="0074453A" w:rsidP="00A16CDD">
      <w:pPr>
        <w:pStyle w:val="ListParagraph"/>
        <w:numPr>
          <w:ilvl w:val="0"/>
          <w:numId w:val="34"/>
        </w:numPr>
        <w:tabs>
          <w:tab w:val="left" w:pos="1710"/>
        </w:tabs>
        <w:rPr>
          <w:rFonts w:asciiTheme="majorBidi" w:hAnsiTheme="majorBidi" w:cstheme="majorBidi"/>
          <w:sz w:val="24"/>
          <w:szCs w:val="24"/>
        </w:rPr>
      </w:pPr>
      <w:r w:rsidRPr="00A16CDD">
        <w:rPr>
          <w:rFonts w:asciiTheme="majorBidi" w:hAnsiTheme="majorBidi" w:cstheme="majorBidi"/>
          <w:sz w:val="24"/>
          <w:szCs w:val="24"/>
        </w:rPr>
        <w:t>The number of tourists visiting Egyptian archaeological sites (such as the pyramids, Luxor, Aswan) is estimated at about 10-15 million tourists annually.</w:t>
      </w:r>
    </w:p>
    <w:p w14:paraId="5F421851" w14:textId="77777777" w:rsidR="00A16CDD" w:rsidRPr="00A16CDD" w:rsidRDefault="00A16CDD" w:rsidP="00A16CDD">
      <w:pPr>
        <w:tabs>
          <w:tab w:val="left" w:pos="1710"/>
        </w:tabs>
        <w:rPr>
          <w:rFonts w:asciiTheme="majorBidi" w:hAnsiTheme="majorBidi" w:cstheme="majorBidi"/>
          <w:sz w:val="24"/>
          <w:szCs w:val="24"/>
          <w:rtl/>
        </w:rPr>
      </w:pPr>
    </w:p>
    <w:p w14:paraId="40BF9436" w14:textId="10A5BA54" w:rsidR="0074453A" w:rsidRPr="00A16CDD" w:rsidRDefault="0074453A" w:rsidP="00A16CDD">
      <w:pPr>
        <w:pStyle w:val="ListParagraph"/>
        <w:numPr>
          <w:ilvl w:val="0"/>
          <w:numId w:val="34"/>
        </w:numPr>
        <w:tabs>
          <w:tab w:val="left" w:pos="1710"/>
        </w:tabs>
        <w:rPr>
          <w:rFonts w:asciiTheme="majorBidi" w:hAnsiTheme="majorBidi" w:cstheme="majorBidi"/>
          <w:sz w:val="24"/>
          <w:szCs w:val="24"/>
          <w:rtl/>
        </w:rPr>
      </w:pPr>
      <w:r w:rsidRPr="00A16CDD">
        <w:rPr>
          <w:rFonts w:asciiTheme="majorBidi" w:hAnsiTheme="majorBidi" w:cstheme="majorBidi"/>
          <w:sz w:val="24"/>
          <w:szCs w:val="24"/>
        </w:rPr>
        <w:t>A large percentage of Egyptians are interested in history and antiquities, especially with the presence of famous archaeological sites such as the pyramids and Luxor. The number of those interested can be estimated at about 5-10 million people</w:t>
      </w:r>
    </w:p>
    <w:p w14:paraId="2FB77736" w14:textId="0AD0B403" w:rsidR="00EA0446" w:rsidRPr="00A16CDD" w:rsidRDefault="00EA0446" w:rsidP="005572F6">
      <w:pPr>
        <w:tabs>
          <w:tab w:val="left" w:pos="1710"/>
        </w:tabs>
        <w:rPr>
          <w:rFonts w:asciiTheme="majorBidi" w:hAnsiTheme="majorBidi" w:cstheme="majorBidi"/>
          <w:b/>
          <w:bCs/>
          <w:sz w:val="28"/>
          <w:szCs w:val="28"/>
          <w:u w:val="single"/>
        </w:rPr>
      </w:pPr>
      <w:r w:rsidRPr="00A16CDD">
        <w:rPr>
          <w:rFonts w:asciiTheme="majorBidi" w:hAnsiTheme="majorBidi" w:cstheme="majorBidi"/>
          <w:b/>
          <w:bCs/>
          <w:sz w:val="28"/>
          <w:szCs w:val="28"/>
          <w:u w:val="single"/>
        </w:rPr>
        <w:t>In education</w:t>
      </w:r>
      <w:r w:rsidR="00A16CDD">
        <w:rPr>
          <w:rFonts w:asciiTheme="majorBidi" w:hAnsiTheme="majorBidi" w:cstheme="majorBidi"/>
          <w:b/>
          <w:bCs/>
          <w:sz w:val="28"/>
          <w:szCs w:val="28"/>
          <w:u w:val="single"/>
        </w:rPr>
        <w:t>:</w:t>
      </w:r>
    </w:p>
    <w:p w14:paraId="47DD9C22" w14:textId="35AACE7A" w:rsidR="0074453A" w:rsidRPr="00A16CDD" w:rsidRDefault="0074453A" w:rsidP="00A16CDD">
      <w:pPr>
        <w:pStyle w:val="ListParagraph"/>
        <w:numPr>
          <w:ilvl w:val="0"/>
          <w:numId w:val="35"/>
        </w:numPr>
        <w:tabs>
          <w:tab w:val="left" w:pos="1710"/>
        </w:tabs>
        <w:rPr>
          <w:rFonts w:asciiTheme="majorBidi" w:hAnsiTheme="majorBidi" w:cstheme="majorBidi"/>
          <w:sz w:val="24"/>
          <w:szCs w:val="24"/>
        </w:rPr>
      </w:pPr>
      <w:r w:rsidRPr="00A16CDD">
        <w:rPr>
          <w:rFonts w:asciiTheme="majorBidi" w:hAnsiTheme="majorBidi" w:cstheme="majorBidi"/>
          <w:sz w:val="24"/>
          <w:szCs w:val="24"/>
        </w:rPr>
        <w:t>The number of universities in Egypt is 27 public universities and 26 private universities, in addition to branches of foreign universities, which brings the total number of universities in Egypt to more than 50 universities, including about 7 universities that offer courses in hieroglyphics and ancient Egyptian history</w:t>
      </w:r>
      <w:r w:rsidR="00A16CDD" w:rsidRPr="00A16CDD">
        <w:rPr>
          <w:rFonts w:asciiTheme="majorBidi" w:hAnsiTheme="majorBidi" w:cstheme="majorBidi"/>
          <w:sz w:val="24"/>
          <w:szCs w:val="24"/>
        </w:rPr>
        <w:t>.</w:t>
      </w:r>
    </w:p>
    <w:p w14:paraId="02A5F9D2" w14:textId="77777777" w:rsidR="00A16CDD" w:rsidRPr="00A16CDD" w:rsidRDefault="00A16CDD" w:rsidP="00A16CDD">
      <w:pPr>
        <w:tabs>
          <w:tab w:val="left" w:pos="1710"/>
        </w:tabs>
        <w:rPr>
          <w:rFonts w:asciiTheme="majorBidi" w:hAnsiTheme="majorBidi" w:cstheme="majorBidi"/>
          <w:sz w:val="24"/>
          <w:szCs w:val="24"/>
          <w:rtl/>
        </w:rPr>
      </w:pPr>
    </w:p>
    <w:p w14:paraId="4FA5E1D1" w14:textId="2111EDD4" w:rsidR="005572F6" w:rsidRPr="00A16CDD" w:rsidRDefault="005572F6" w:rsidP="00A16CDD">
      <w:pPr>
        <w:pStyle w:val="ListParagraph"/>
        <w:numPr>
          <w:ilvl w:val="0"/>
          <w:numId w:val="35"/>
        </w:numPr>
        <w:tabs>
          <w:tab w:val="left" w:pos="1710"/>
        </w:tabs>
        <w:rPr>
          <w:rFonts w:asciiTheme="majorBidi" w:hAnsiTheme="majorBidi" w:cstheme="majorBidi"/>
          <w:sz w:val="24"/>
          <w:szCs w:val="24"/>
        </w:rPr>
      </w:pPr>
      <w:r w:rsidRPr="00A16CDD">
        <w:rPr>
          <w:rFonts w:asciiTheme="majorBidi" w:hAnsiTheme="majorBidi" w:cstheme="majorBidi"/>
          <w:sz w:val="24"/>
          <w:szCs w:val="24"/>
        </w:rPr>
        <w:t>Among the most important indicators is the registration of about 3.8 million students enrolled in higher education for the academic year 2023/2024</w:t>
      </w:r>
      <w:r w:rsidRPr="00A16CDD">
        <w:rPr>
          <w:rFonts w:asciiTheme="majorBidi" w:hAnsiTheme="majorBidi" w:cstheme="majorBidi" w:hint="cs"/>
          <w:sz w:val="24"/>
          <w:szCs w:val="24"/>
          <w:rtl/>
        </w:rPr>
        <w:t>.</w:t>
      </w:r>
    </w:p>
    <w:p w14:paraId="6EABBAA1" w14:textId="77777777" w:rsidR="00A16CDD" w:rsidRPr="00A16CDD" w:rsidRDefault="00A16CDD" w:rsidP="00A16CDD">
      <w:pPr>
        <w:tabs>
          <w:tab w:val="left" w:pos="1710"/>
        </w:tabs>
        <w:rPr>
          <w:rFonts w:asciiTheme="majorBidi" w:hAnsiTheme="majorBidi" w:cstheme="majorBidi"/>
          <w:sz w:val="24"/>
          <w:szCs w:val="24"/>
          <w:rtl/>
        </w:rPr>
      </w:pPr>
    </w:p>
    <w:p w14:paraId="40CAA32B" w14:textId="605EED93" w:rsidR="0074453A" w:rsidRPr="00A16CDD" w:rsidRDefault="0074453A" w:rsidP="00A16CDD">
      <w:pPr>
        <w:pStyle w:val="ListParagraph"/>
        <w:numPr>
          <w:ilvl w:val="0"/>
          <w:numId w:val="35"/>
        </w:numPr>
        <w:tabs>
          <w:tab w:val="left" w:pos="1710"/>
        </w:tabs>
        <w:rPr>
          <w:rFonts w:asciiTheme="majorBidi" w:hAnsiTheme="majorBidi" w:cstheme="majorBidi"/>
          <w:sz w:val="24"/>
          <w:szCs w:val="24"/>
        </w:rPr>
      </w:pPr>
      <w:r w:rsidRPr="00A16CDD">
        <w:rPr>
          <w:rFonts w:asciiTheme="majorBidi" w:hAnsiTheme="majorBidi" w:cstheme="majorBidi"/>
          <w:sz w:val="24"/>
          <w:szCs w:val="24"/>
        </w:rPr>
        <w:t>The number of students in the faculties of archaeology and ancient languages ​​in Egyptian universities (such as Cairo University, Ain Shams University, Alexandria University) is estimated at about 10,000-15,000 students annually.</w:t>
      </w:r>
    </w:p>
    <w:p w14:paraId="6E2EDA99" w14:textId="77777777" w:rsidR="00A16CDD" w:rsidRPr="00A16CDD" w:rsidRDefault="00A16CDD" w:rsidP="00A16CDD">
      <w:pPr>
        <w:tabs>
          <w:tab w:val="left" w:pos="1710"/>
        </w:tabs>
        <w:rPr>
          <w:rFonts w:asciiTheme="majorBidi" w:hAnsiTheme="majorBidi" w:cstheme="majorBidi"/>
          <w:sz w:val="24"/>
          <w:szCs w:val="24"/>
        </w:rPr>
      </w:pPr>
    </w:p>
    <w:p w14:paraId="63FBC2D0" w14:textId="47DC1002" w:rsidR="0074453A" w:rsidRPr="00A16CDD" w:rsidRDefault="0074453A" w:rsidP="00A16CDD">
      <w:pPr>
        <w:pStyle w:val="ListParagraph"/>
        <w:numPr>
          <w:ilvl w:val="0"/>
          <w:numId w:val="35"/>
        </w:numPr>
        <w:tabs>
          <w:tab w:val="left" w:pos="1710"/>
        </w:tabs>
        <w:rPr>
          <w:rFonts w:asciiTheme="majorBidi" w:hAnsiTheme="majorBidi" w:cstheme="majorBidi"/>
          <w:sz w:val="24"/>
          <w:szCs w:val="24"/>
        </w:rPr>
      </w:pPr>
      <w:r w:rsidRPr="00A16CDD">
        <w:rPr>
          <w:rFonts w:asciiTheme="majorBidi" w:hAnsiTheme="majorBidi" w:cstheme="majorBidi"/>
          <w:sz w:val="24"/>
          <w:szCs w:val="24"/>
        </w:rPr>
        <w:t>The number of researchers in the field of archaeology and ancient languages ​​is estimated at about 1,000-2,000 researchers.</w:t>
      </w:r>
    </w:p>
    <w:p w14:paraId="0B5ADCC5" w14:textId="77777777" w:rsidR="00A16CDD" w:rsidRPr="00A16CDD" w:rsidRDefault="00A16CDD" w:rsidP="00A16CDD">
      <w:pPr>
        <w:tabs>
          <w:tab w:val="left" w:pos="1710"/>
        </w:tabs>
        <w:rPr>
          <w:rFonts w:asciiTheme="majorBidi" w:hAnsiTheme="majorBidi" w:cstheme="majorBidi"/>
          <w:sz w:val="24"/>
          <w:szCs w:val="24"/>
        </w:rPr>
      </w:pPr>
    </w:p>
    <w:p w14:paraId="36C6DBFD" w14:textId="4E0F9BE2" w:rsidR="00C868D3" w:rsidRPr="00A16CDD" w:rsidRDefault="0074453A" w:rsidP="00A16CDD">
      <w:pPr>
        <w:pStyle w:val="ListParagraph"/>
        <w:numPr>
          <w:ilvl w:val="0"/>
          <w:numId w:val="35"/>
        </w:numPr>
        <w:tabs>
          <w:tab w:val="left" w:pos="1710"/>
        </w:tabs>
        <w:rPr>
          <w:rFonts w:asciiTheme="majorBidi" w:hAnsiTheme="majorBidi" w:cstheme="majorBidi"/>
          <w:sz w:val="24"/>
          <w:szCs w:val="24"/>
        </w:rPr>
      </w:pPr>
      <w:r w:rsidRPr="00A16CDD">
        <w:rPr>
          <w:rFonts w:asciiTheme="majorBidi" w:hAnsiTheme="majorBidi" w:cstheme="majorBidi"/>
          <w:sz w:val="24"/>
          <w:szCs w:val="24"/>
        </w:rPr>
        <w:t>The number of academics specializing in hieroglyphics and ancient Egyptian antiquities is estimated at about 500-1,000 academics.</w:t>
      </w:r>
    </w:p>
    <w:sectPr w:rsidR="00C868D3" w:rsidRPr="00A16CDD" w:rsidSect="008470D1">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28F5"/>
    <w:multiLevelType w:val="hybridMultilevel"/>
    <w:tmpl w:val="03F8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B1C97"/>
    <w:multiLevelType w:val="hybridMultilevel"/>
    <w:tmpl w:val="2A30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B76A4"/>
    <w:multiLevelType w:val="hybridMultilevel"/>
    <w:tmpl w:val="99F8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73401"/>
    <w:multiLevelType w:val="hybridMultilevel"/>
    <w:tmpl w:val="81D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614B4"/>
    <w:multiLevelType w:val="multilevel"/>
    <w:tmpl w:val="057E13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5093664"/>
    <w:multiLevelType w:val="hybridMultilevel"/>
    <w:tmpl w:val="154EAD5C"/>
    <w:lvl w:ilvl="0" w:tplc="7AAC9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F4006"/>
    <w:multiLevelType w:val="hybridMultilevel"/>
    <w:tmpl w:val="B318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15815"/>
    <w:multiLevelType w:val="hybridMultilevel"/>
    <w:tmpl w:val="C230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54762"/>
    <w:multiLevelType w:val="hybridMultilevel"/>
    <w:tmpl w:val="8A22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06F5E"/>
    <w:multiLevelType w:val="hybridMultilevel"/>
    <w:tmpl w:val="71D0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6362F"/>
    <w:multiLevelType w:val="hybridMultilevel"/>
    <w:tmpl w:val="A13ADB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BE27EA"/>
    <w:multiLevelType w:val="hybridMultilevel"/>
    <w:tmpl w:val="537C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3060B"/>
    <w:multiLevelType w:val="hybridMultilevel"/>
    <w:tmpl w:val="8C6A33C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D22E36"/>
    <w:multiLevelType w:val="multilevel"/>
    <w:tmpl w:val="057E13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C572AA"/>
    <w:multiLevelType w:val="hybridMultilevel"/>
    <w:tmpl w:val="76B0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5FAF"/>
    <w:multiLevelType w:val="hybridMultilevel"/>
    <w:tmpl w:val="505A23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D22B38"/>
    <w:multiLevelType w:val="hybridMultilevel"/>
    <w:tmpl w:val="8F7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4C0E64"/>
    <w:multiLevelType w:val="hybridMultilevel"/>
    <w:tmpl w:val="A0BE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739CB"/>
    <w:multiLevelType w:val="hybridMultilevel"/>
    <w:tmpl w:val="D428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01969"/>
    <w:multiLevelType w:val="hybridMultilevel"/>
    <w:tmpl w:val="2D2C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104EBE"/>
    <w:multiLevelType w:val="hybridMultilevel"/>
    <w:tmpl w:val="4EC2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43A5F"/>
    <w:multiLevelType w:val="hybridMultilevel"/>
    <w:tmpl w:val="F7A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709FA"/>
    <w:multiLevelType w:val="hybridMultilevel"/>
    <w:tmpl w:val="1A3CF988"/>
    <w:lvl w:ilvl="0" w:tplc="90408FFC">
      <w:start w:val="1"/>
      <w:numFmt w:val="decimal"/>
      <w:lvlText w:val="%1."/>
      <w:lvlJc w:val="left"/>
      <w:pPr>
        <w:ind w:left="1080" w:hanging="360"/>
      </w:pPr>
      <w:rPr>
        <w:rFonts w:asciiTheme="majorBidi" w:hAnsiTheme="majorBidi" w:cstheme="majorBidi" w:hint="default"/>
        <w:sz w:val="32"/>
        <w:szCs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0D7564"/>
    <w:multiLevelType w:val="hybridMultilevel"/>
    <w:tmpl w:val="7DFEE658"/>
    <w:lvl w:ilvl="0" w:tplc="0409000F">
      <w:start w:val="1"/>
      <w:numFmt w:val="decimal"/>
      <w:lvlText w:val="%1."/>
      <w:lvlJc w:val="left"/>
      <w:pPr>
        <w:ind w:left="360" w:hanging="360"/>
      </w:pPr>
      <w:rPr>
        <w:rFonts w:hint="default"/>
      </w:rPr>
    </w:lvl>
    <w:lvl w:ilvl="1" w:tplc="9E90AB58">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9B2BA1"/>
    <w:multiLevelType w:val="hybridMultilevel"/>
    <w:tmpl w:val="FF0E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254AC"/>
    <w:multiLevelType w:val="hybridMultilevel"/>
    <w:tmpl w:val="4A0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D1EBB"/>
    <w:multiLevelType w:val="hybridMultilevel"/>
    <w:tmpl w:val="31C00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D16855"/>
    <w:multiLevelType w:val="hybridMultilevel"/>
    <w:tmpl w:val="B24A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A55E53"/>
    <w:multiLevelType w:val="hybridMultilevel"/>
    <w:tmpl w:val="9E04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3C7F0B"/>
    <w:multiLevelType w:val="multilevel"/>
    <w:tmpl w:val="2E4802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6F364842"/>
    <w:multiLevelType w:val="hybridMultilevel"/>
    <w:tmpl w:val="296E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93286"/>
    <w:multiLevelType w:val="hybridMultilevel"/>
    <w:tmpl w:val="EA38FA30"/>
    <w:lvl w:ilvl="0" w:tplc="90408FFC">
      <w:start w:val="1"/>
      <w:numFmt w:val="decimal"/>
      <w:lvlText w:val="%1."/>
      <w:lvlJc w:val="left"/>
      <w:pPr>
        <w:ind w:left="720" w:hanging="360"/>
      </w:pPr>
      <w:rPr>
        <w:rFonts w:asciiTheme="majorBidi" w:hAnsiTheme="majorBidi" w:cstheme="majorBid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E6DDB"/>
    <w:multiLevelType w:val="hybridMultilevel"/>
    <w:tmpl w:val="5490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A4EFB"/>
    <w:multiLevelType w:val="multilevel"/>
    <w:tmpl w:val="66A0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E96BDF"/>
    <w:multiLevelType w:val="multilevel"/>
    <w:tmpl w:val="3CDC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70344">
    <w:abstractNumId w:val="14"/>
  </w:num>
  <w:num w:numId="2" w16cid:durableId="461003916">
    <w:abstractNumId w:val="5"/>
  </w:num>
  <w:num w:numId="3" w16cid:durableId="788016068">
    <w:abstractNumId w:val="16"/>
  </w:num>
  <w:num w:numId="4" w16cid:durableId="1840657486">
    <w:abstractNumId w:val="17"/>
  </w:num>
  <w:num w:numId="5" w16cid:durableId="464276662">
    <w:abstractNumId w:val="7"/>
  </w:num>
  <w:num w:numId="6" w16cid:durableId="865365434">
    <w:abstractNumId w:val="21"/>
  </w:num>
  <w:num w:numId="7" w16cid:durableId="1151407485">
    <w:abstractNumId w:val="8"/>
  </w:num>
  <w:num w:numId="8" w16cid:durableId="1905793759">
    <w:abstractNumId w:val="6"/>
  </w:num>
  <w:num w:numId="9" w16cid:durableId="1509246699">
    <w:abstractNumId w:val="25"/>
  </w:num>
  <w:num w:numId="10" w16cid:durableId="19085502">
    <w:abstractNumId w:val="0"/>
  </w:num>
  <w:num w:numId="11" w16cid:durableId="1597864890">
    <w:abstractNumId w:val="10"/>
  </w:num>
  <w:num w:numId="12" w16cid:durableId="337194009">
    <w:abstractNumId w:val="27"/>
  </w:num>
  <w:num w:numId="13" w16cid:durableId="495537643">
    <w:abstractNumId w:val="24"/>
  </w:num>
  <w:num w:numId="14" w16cid:durableId="947273146">
    <w:abstractNumId w:val="20"/>
  </w:num>
  <w:num w:numId="15" w16cid:durableId="598415456">
    <w:abstractNumId w:val="18"/>
  </w:num>
  <w:num w:numId="16" w16cid:durableId="1983197501">
    <w:abstractNumId w:val="15"/>
  </w:num>
  <w:num w:numId="17" w16cid:durableId="1157959776">
    <w:abstractNumId w:val="26"/>
  </w:num>
  <w:num w:numId="18" w16cid:durableId="1132938277">
    <w:abstractNumId w:val="32"/>
  </w:num>
  <w:num w:numId="19" w16cid:durableId="873620525">
    <w:abstractNumId w:val="22"/>
  </w:num>
  <w:num w:numId="20" w16cid:durableId="197546759">
    <w:abstractNumId w:val="29"/>
  </w:num>
  <w:num w:numId="21" w16cid:durableId="2039500574">
    <w:abstractNumId w:val="13"/>
  </w:num>
  <w:num w:numId="22" w16cid:durableId="65493812">
    <w:abstractNumId w:val="4"/>
  </w:num>
  <w:num w:numId="23" w16cid:durableId="824861374">
    <w:abstractNumId w:val="31"/>
  </w:num>
  <w:num w:numId="24" w16cid:durableId="1421559024">
    <w:abstractNumId w:val="33"/>
  </w:num>
  <w:num w:numId="25" w16cid:durableId="1438133495">
    <w:abstractNumId w:val="34"/>
  </w:num>
  <w:num w:numId="26" w16cid:durableId="1987317651">
    <w:abstractNumId w:val="11"/>
  </w:num>
  <w:num w:numId="27" w16cid:durableId="357313245">
    <w:abstractNumId w:val="9"/>
  </w:num>
  <w:num w:numId="28" w16cid:durableId="1930264473">
    <w:abstractNumId w:val="30"/>
  </w:num>
  <w:num w:numId="29" w16cid:durableId="185339108">
    <w:abstractNumId w:val="12"/>
  </w:num>
  <w:num w:numId="30" w16cid:durableId="1121530439">
    <w:abstractNumId w:val="3"/>
  </w:num>
  <w:num w:numId="31" w16cid:durableId="109279762">
    <w:abstractNumId w:val="23"/>
  </w:num>
  <w:num w:numId="32" w16cid:durableId="1325662312">
    <w:abstractNumId w:val="19"/>
  </w:num>
  <w:num w:numId="33" w16cid:durableId="1041443582">
    <w:abstractNumId w:val="2"/>
  </w:num>
  <w:num w:numId="34" w16cid:durableId="1653631312">
    <w:abstractNumId w:val="28"/>
  </w:num>
  <w:num w:numId="35" w16cid:durableId="108418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E0"/>
    <w:rsid w:val="00054253"/>
    <w:rsid w:val="000D6426"/>
    <w:rsid w:val="00124E32"/>
    <w:rsid w:val="00195B0C"/>
    <w:rsid w:val="002C384E"/>
    <w:rsid w:val="0032557F"/>
    <w:rsid w:val="00356B7C"/>
    <w:rsid w:val="003D5C05"/>
    <w:rsid w:val="004B7FF5"/>
    <w:rsid w:val="004D2304"/>
    <w:rsid w:val="005050D9"/>
    <w:rsid w:val="005164CC"/>
    <w:rsid w:val="005572F6"/>
    <w:rsid w:val="00583681"/>
    <w:rsid w:val="005932C2"/>
    <w:rsid w:val="00651CF9"/>
    <w:rsid w:val="0074453A"/>
    <w:rsid w:val="00773C77"/>
    <w:rsid w:val="007B1346"/>
    <w:rsid w:val="00843DC1"/>
    <w:rsid w:val="008470D1"/>
    <w:rsid w:val="0088677B"/>
    <w:rsid w:val="0093028E"/>
    <w:rsid w:val="00970392"/>
    <w:rsid w:val="009A3972"/>
    <w:rsid w:val="009F2F70"/>
    <w:rsid w:val="00A16CDD"/>
    <w:rsid w:val="00B93FEC"/>
    <w:rsid w:val="00BA0BE0"/>
    <w:rsid w:val="00BD03A6"/>
    <w:rsid w:val="00C029FF"/>
    <w:rsid w:val="00C449C3"/>
    <w:rsid w:val="00C53A3C"/>
    <w:rsid w:val="00C868D3"/>
    <w:rsid w:val="00C8764B"/>
    <w:rsid w:val="00CB5A8B"/>
    <w:rsid w:val="00D02DB1"/>
    <w:rsid w:val="00D54DA5"/>
    <w:rsid w:val="00D71A9F"/>
    <w:rsid w:val="00DC7956"/>
    <w:rsid w:val="00EA0446"/>
    <w:rsid w:val="00EC6E72"/>
    <w:rsid w:val="00F17D81"/>
    <w:rsid w:val="00F73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25F2"/>
  <w15:chartTrackingRefBased/>
  <w15:docId w15:val="{58EDD13B-BD4C-4480-BB53-08B38AF4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BE0"/>
    <w:rPr>
      <w:rFonts w:eastAsiaTheme="majorEastAsia" w:cstheme="majorBidi"/>
      <w:color w:val="272727" w:themeColor="text1" w:themeTint="D8"/>
    </w:rPr>
  </w:style>
  <w:style w:type="paragraph" w:styleId="Title">
    <w:name w:val="Title"/>
    <w:basedOn w:val="Normal"/>
    <w:next w:val="Normal"/>
    <w:link w:val="TitleChar"/>
    <w:uiPriority w:val="10"/>
    <w:qFormat/>
    <w:rsid w:val="00BA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BE0"/>
    <w:pPr>
      <w:spacing w:before="160"/>
      <w:jc w:val="center"/>
    </w:pPr>
    <w:rPr>
      <w:i/>
      <w:iCs/>
      <w:color w:val="404040" w:themeColor="text1" w:themeTint="BF"/>
    </w:rPr>
  </w:style>
  <w:style w:type="character" w:customStyle="1" w:styleId="QuoteChar">
    <w:name w:val="Quote Char"/>
    <w:basedOn w:val="DefaultParagraphFont"/>
    <w:link w:val="Quote"/>
    <w:uiPriority w:val="29"/>
    <w:rsid w:val="00BA0BE0"/>
    <w:rPr>
      <w:i/>
      <w:iCs/>
      <w:color w:val="404040" w:themeColor="text1" w:themeTint="BF"/>
    </w:rPr>
  </w:style>
  <w:style w:type="paragraph" w:styleId="ListParagraph">
    <w:name w:val="List Paragraph"/>
    <w:basedOn w:val="Normal"/>
    <w:uiPriority w:val="34"/>
    <w:qFormat/>
    <w:rsid w:val="00BA0BE0"/>
    <w:pPr>
      <w:ind w:left="720"/>
      <w:contextualSpacing/>
    </w:pPr>
  </w:style>
  <w:style w:type="character" w:styleId="IntenseEmphasis">
    <w:name w:val="Intense Emphasis"/>
    <w:basedOn w:val="DefaultParagraphFont"/>
    <w:uiPriority w:val="21"/>
    <w:qFormat/>
    <w:rsid w:val="00BA0BE0"/>
    <w:rPr>
      <w:i/>
      <w:iCs/>
      <w:color w:val="0F4761" w:themeColor="accent1" w:themeShade="BF"/>
    </w:rPr>
  </w:style>
  <w:style w:type="paragraph" w:styleId="IntenseQuote">
    <w:name w:val="Intense Quote"/>
    <w:basedOn w:val="Normal"/>
    <w:next w:val="Normal"/>
    <w:link w:val="IntenseQuoteChar"/>
    <w:uiPriority w:val="30"/>
    <w:qFormat/>
    <w:rsid w:val="00BA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BE0"/>
    <w:rPr>
      <w:i/>
      <w:iCs/>
      <w:color w:val="0F4761" w:themeColor="accent1" w:themeShade="BF"/>
    </w:rPr>
  </w:style>
  <w:style w:type="character" w:styleId="IntenseReference">
    <w:name w:val="Intense Reference"/>
    <w:basedOn w:val="DefaultParagraphFont"/>
    <w:uiPriority w:val="32"/>
    <w:qFormat/>
    <w:rsid w:val="00BA0BE0"/>
    <w:rPr>
      <w:b/>
      <w:bCs/>
      <w:smallCaps/>
      <w:color w:val="0F4761" w:themeColor="accent1" w:themeShade="BF"/>
      <w:spacing w:val="5"/>
    </w:rPr>
  </w:style>
  <w:style w:type="paragraph" w:styleId="NormalWeb">
    <w:name w:val="Normal (Web)"/>
    <w:basedOn w:val="Normal"/>
    <w:uiPriority w:val="99"/>
    <w:semiHidden/>
    <w:unhideWhenUsed/>
    <w:rsid w:val="00CB5A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722377">
      <w:bodyDiv w:val="1"/>
      <w:marLeft w:val="0"/>
      <w:marRight w:val="0"/>
      <w:marTop w:val="0"/>
      <w:marBottom w:val="0"/>
      <w:divBdr>
        <w:top w:val="none" w:sz="0" w:space="0" w:color="auto"/>
        <w:left w:val="none" w:sz="0" w:space="0" w:color="auto"/>
        <w:bottom w:val="none" w:sz="0" w:space="0" w:color="auto"/>
        <w:right w:val="none" w:sz="0" w:space="0" w:color="auto"/>
      </w:divBdr>
    </w:div>
    <w:div w:id="1213496503">
      <w:bodyDiv w:val="1"/>
      <w:marLeft w:val="0"/>
      <w:marRight w:val="0"/>
      <w:marTop w:val="0"/>
      <w:marBottom w:val="0"/>
      <w:divBdr>
        <w:top w:val="none" w:sz="0" w:space="0" w:color="auto"/>
        <w:left w:val="none" w:sz="0" w:space="0" w:color="auto"/>
        <w:bottom w:val="none" w:sz="0" w:space="0" w:color="auto"/>
        <w:right w:val="none" w:sz="0" w:space="0" w:color="auto"/>
      </w:divBdr>
    </w:div>
    <w:div w:id="1274899752">
      <w:bodyDiv w:val="1"/>
      <w:marLeft w:val="0"/>
      <w:marRight w:val="0"/>
      <w:marTop w:val="0"/>
      <w:marBottom w:val="0"/>
      <w:divBdr>
        <w:top w:val="none" w:sz="0" w:space="0" w:color="auto"/>
        <w:left w:val="none" w:sz="0" w:space="0" w:color="auto"/>
        <w:bottom w:val="none" w:sz="0" w:space="0" w:color="auto"/>
        <w:right w:val="none" w:sz="0" w:space="0" w:color="auto"/>
      </w:divBdr>
    </w:div>
    <w:div w:id="2040275951">
      <w:bodyDiv w:val="1"/>
      <w:marLeft w:val="0"/>
      <w:marRight w:val="0"/>
      <w:marTop w:val="0"/>
      <w:marBottom w:val="0"/>
      <w:divBdr>
        <w:top w:val="none" w:sz="0" w:space="0" w:color="auto"/>
        <w:left w:val="none" w:sz="0" w:space="0" w:color="auto"/>
        <w:bottom w:val="none" w:sz="0" w:space="0" w:color="auto"/>
        <w:right w:val="none" w:sz="0" w:space="0" w:color="auto"/>
      </w:divBdr>
    </w:div>
    <w:div w:id="20423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 Irfaan</dc:creator>
  <cp:keywords/>
  <dc:description/>
  <cp:lastModifiedBy>Mohamed Mostafa Irfaan</cp:lastModifiedBy>
  <cp:revision>25</cp:revision>
  <dcterms:created xsi:type="dcterms:W3CDTF">2025-02-07T17:59:00Z</dcterms:created>
  <dcterms:modified xsi:type="dcterms:W3CDTF">2025-02-17T23:20:00Z</dcterms:modified>
</cp:coreProperties>
</file>