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6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FICHE DE VIE CAPTEUR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1A1A1A"/>
          <w:sz w:val="18"/>
          <w:szCs w:val="18"/>
        </w:rPr>
        <w:t xml:space="preserve">Exemplaire renseigné — Annexe 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rHeight w:val="480" w:hRule="atLeast"/>
        </w:trPr>
        <w:tc>
          <w:tcPr>
            <w:tcW w:type="dxa" w:w="22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 de capteur</w:t>
            </w:r>
          </w:p>
        </w:tc>
        <w:tc>
          <w:tcPr>
            <w:tcW w:type="dxa" w:w="7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Couplemètre à jauges MW_Sw_1.5kNm_PCM16_wa</w:t>
            </w:r>
          </w:p>
        </w:tc>
      </w:tr>
    </w:tbl>
    <w:p>
      <w:pPr>
        <w:spacing w:after="120" w:before="0"/>
      </w:pPr>
    </w:p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1. Identification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269"/>
        <w:gridCol w:w="1550"/>
        <w:gridCol w:w="3269"/>
      </w:tblGrid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Référence capteur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MW_Sw_1.5kNm_PCM16_wa</w:t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N° de série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SN-2023-0417</w:t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Arbre d'affectation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Arbre avant droit</w:t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Véhicule d'affectation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VP Hybride — Mule d'essai n°3 (immat. essai TT-045)</w:t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Date de mise en service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14/03/2023</w:t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2. Caractéristiques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269"/>
        <w:gridCol w:w="1550"/>
        <w:gridCol w:w="3269"/>
      </w:tblGrid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Étendue de mesure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± 1500 N·m</w:t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Sensibilité nominale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2,00 mV/V</w:t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Couple de service maximal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1200 N·m</w:t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Couple limite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1800 N·m</w:t>
            </w:r>
          </w:p>
        </w:tc>
      </w:tr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Couple de rupture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4500 N·m</w:t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/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6. Usage cumulé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rHeight w:val="1300" w:hRule="atLeast"/>
        </w:trPr>
        <w:tc>
          <w:tcPr>
            <w:tcW w:type="dxa" w:w="3212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AF1F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18 640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Kilométrage d'essai cumulé (km)</w:t>
            </w:r>
          </w:p>
        </w:tc>
        <w:tc>
          <w:tcPr>
            <w:tcW w:type="dxa" w:w="3212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AF1F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312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Nombre d'essais total</w:t>
            </w:r>
          </w:p>
        </w:tc>
        <w:tc>
          <w:tcPr>
            <w:tcW w:type="dxa" w:w="3214"/>
            <w:tcBorders>
              <w:top w:val="single" w:color="1F3864" w:sz="8"/>
              <w:left w:val="single" w:color="1F3864" w:sz="8"/>
              <w:bottom w:val="single" w:color="1F3864" w:sz="8"/>
              <w:right w:val="single" w:color="1F3864" w:sz="8"/>
            </w:tcBorders>
            <w:shd w:fill="EAF1F8" w:val="clear"/>
            <w:tcMar>
              <w:top w:type="dxa" w:w="180"/>
              <w:left w:type="dxa" w:w="120"/>
              <w:bottom w:type="dxa" w:w="18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34"/>
                <w:szCs w:val="34"/>
              </w:rPr>
              <w:t xml:space="preserve">27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Essais à forte sollicitation (&gt; 750 N·m)</w:t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9. Statut (cf. tableau 34, §6.6)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4"/>
      </w:tblGrid>
      <w:tr>
        <w:trPr>
          <w:trHeight w:val="500" w:hRule="atLeast"/>
        </w:trPr>
        <w:tc>
          <w:tcPr>
            <w:tcW w:type="dxa" w:w="3212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☐  Vert · bande acceptable</w:t>
            </w:r>
          </w:p>
        </w:tc>
        <w:tc>
          <w:tcPr>
            <w:tcW w:type="dxa" w:w="3212"/>
            <w:tcBorders>
              <w:top w:val="single" w:color="1F3864" w:sz="10"/>
              <w:left w:val="single" w:color="1F3864" w:sz="10"/>
              <w:bottom w:val="single" w:color="1F3864" w:sz="10"/>
              <w:right w:val="single" w:color="1F3864" w:sz="10"/>
            </w:tcBorders>
            <w:shd w:fill="EAF1F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☒  Orange · planification</w:t>
            </w:r>
          </w:p>
        </w:tc>
        <w:tc>
          <w:tcPr>
            <w:tcW w:type="dxa" w:w="3214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FFFFFF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8"/>
                <w:szCs w:val="18"/>
              </w:rPr>
              <w:t xml:space="preserve">☐  Rouge · inexploitable</w:t>
            </w:r>
          </w:p>
        </w:tc>
      </w:tr>
    </w:tbl>
    <w:p>
      <w:pPr>
        <w:spacing w:after="0" w:before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50"/>
        <w:gridCol w:w="3269"/>
        <w:gridCol w:w="1550"/>
        <w:gridCol w:w="3269"/>
      </w:tblGrid>
      <w:tr>
        <w:trPr>
          <w:trHeight w:val="480" w:hRule="atLeast"/>
        </w:trPr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Date de la décision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22/11/2025</w:t>
            </w:r>
          </w:p>
        </w:tc>
        <w:tc>
          <w:tcPr>
            <w:tcW w:type="dxa" w:w="155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EAF1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17"/>
                <w:szCs w:val="17"/>
              </w:rPr>
              <w:t xml:space="preserve">Décision associée</w:t>
            </w:r>
          </w:p>
        </w:tc>
        <w:tc>
          <w:tcPr>
            <w:tcW w:type="dxa" w:w="3269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60"/>
              <w:left w:type="dxa" w:w="120"/>
              <w:bottom w:type="dxa" w:w="60"/>
              <w:right w:type="dxa" w:w="10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Surveillance renforcée ; étalonnage de vérification N3 programmé sous 15 jours.</w:t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10. Ruptures de suivi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56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Motif</w:t>
            </w:r>
          </w:p>
        </w:tc>
        <w:tc>
          <w:tcPr>
            <w:tcW w:type="dxa" w:w="5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Commentaire</w:t>
            </w:r>
          </w:p>
        </w:tc>
      </w:tr>
      <w:tr>
        <w:trPr>
          <w:trHeight w:val="19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11/03/2024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réétalonnage</w:t>
            </w:r>
          </w:p>
        </w:tc>
        <w:tc>
          <w:tcPr>
            <w:tcW w:type="dxa" w:w="56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Renouvellement annuel programmé — nouvelle référence (μ₀, σ₀) recalculée sur les 10 essais suivants</w:t>
            </w:r>
          </w:p>
        </w:tc>
      </w:tr>
      <w:tr>
        <w:trPr>
          <w:trHeight w:val="19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6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Motif : réétalonnage, remplacement du capteur, réfection du collage, changement d'installation ou autre — une rupture de suivi remet la référence (μ₀, σ₀) à zéro pour le segment suivant.</w:t>
      </w:r>
    </w:p>
    <w:p>
      <w:pPr>
        <w:spacing w:before="26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Voir page 2/2 : historiques d'étalonnage, de zéros, de contrôles de shunt, événements et interventions.</w:t>
      </w:r>
    </w:p>
    <w:p>
      <w:pPr>
        <w:sectPr>
          <w:headerReference w:type="default" r:id="rId7"/>
          <w:pgSz w:w="11906" w:h="16838" w:orient="portrait"/>
          <w:pgMar w:top="1134" w:right="1134" w:bottom="500" w:left="1134" w:header="340" w:footer="340" w:gutter="0"/>
          <w:pgNumType/>
          <w:docGrid w:linePitch="360"/>
        </w:sectPr>
      </w:pPr>
    </w:p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3. Étalonnages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1700"/>
        <w:gridCol w:w="1500"/>
        <w:gridCol w:w="1700"/>
        <w:gridCol w:w="1938"/>
      </w:tblGrid>
      <w:tr>
        <w:trPr>
          <w:tblHeader/>
          <w:trHeight w:val="240" w:hRule="atLeast"/>
        </w:trPr>
        <w:tc>
          <w:tcPr>
            <w:tcW w:type="dxa" w:w="11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Prestataire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Référentiel appliqué</w:t>
            </w:r>
          </w:p>
        </w:tc>
        <w:tc>
          <w:tcPr>
            <w:tcW w:type="dxa" w:w="15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Sens de chargement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Incertitude élargie</w:t>
            </w:r>
          </w:p>
        </w:tc>
        <w:tc>
          <w:tcPr>
            <w:tcW w:type="dxa" w:w="19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Réf. certificat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10/03/2023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SOFIMAE Étalonnage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COFRAC 17025 / NF ISO 6789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Bidirectionnel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0,8 % (k=2)</w:t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COF-2023-1187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09/09/2023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SOFIMAE Étalonnage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COFRAC 17025 / NF ISO 6789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Bidirectionnel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0,8 % (k=2)</w:t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COF-2023-2765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11/03/2024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SOFIMAE Étalonnage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COFRAC 17025 / NF ISO 6789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Bidirectionnel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0,9 % (k=2)</w:t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COF-2024-1094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10/09/2024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SOFIMAE Étalonnage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COFRAC 17025 / NF ISO 6789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Bidirectionnel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0,9 % (k=2)</w:t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COF-2024-2611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14/03/2025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SOFIMAE Étalonnage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COFRAC 17025 / NF ISO 6789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Bidirectionnel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1,0 % (k=2)</w:t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COF-2025-1203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12/09/2025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SOFIMAE Étalonnage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COFRAC 17025 / NF ISO 6789</w:t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Bidirectionnel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1,0 % (k=2)</w:t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COF-2025-2588</w:t>
            </w:r>
          </w:p>
        </w:tc>
      </w:tr>
      <w:tr>
        <w:trPr>
          <w:trHeight w:val="230" w:hRule="atLeast"/>
        </w:trPr>
        <w:tc>
          <w:tcPr>
            <w:tcW w:type="dxa" w:w="11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5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60" w:hRule="atLeast"/>
        </w:trPr>
        <w:tc>
          <w:tcPr>
            <w:tcW w:type="dxa" w:w="96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EAF1F8" w:val="clear"/>
            <w:tcMar>
              <w:top w:type="dxa" w:w="35"/>
              <w:left w:type="dxa" w:w="100"/>
              <w:bottom w:type="dxa" w:w="35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1F3864"/>
                <w:sz w:val="16"/>
                <w:szCs w:val="16"/>
              </w:rPr>
              <w:t xml:space="preserve">Périodicité retenue par l'exploitant : 180 jours (deux étalonnages par an, exploitant FEV France). (Le contrôle réglementaire à 370 jours porte sur le capteur d'effort du banc, non sur ce couplemètre.)</w:t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4. Historique des zéros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700"/>
        <w:gridCol w:w="1700"/>
        <w:gridCol w:w="1300"/>
        <w:gridCol w:w="17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19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Essai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avant</w:t>
            </w:r>
          </w:p>
        </w:tc>
        <w:tc>
          <w:tcPr>
            <w:tcW w:type="dxa" w:w="1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après</w:t>
            </w:r>
          </w:p>
        </w:tc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Écart</w:t>
            </w:r>
          </w:p>
        </w:tc>
        <w:tc>
          <w:tcPr>
            <w:tcW w:type="dxa" w:w="17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Opérateur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03/01/2025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n°288 — cycle WLTC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0,6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0,2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L. Perrin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17/01/2025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n°291 — ligne droite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0,3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0,3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0,0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L. Perrin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04/02/2025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n°295 — côte 12 %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0,5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0,9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A. Costa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21/02/2025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n°299 — cycle WLTC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0,5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0,1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L. Perrin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06/03/2025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n°303 — endurance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0,6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1,1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0,5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A. Costa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22/03/2025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n°307 — cycle WLTC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0,3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0,1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L. Perrin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09/04/2025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n°310 — ligne droite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0,0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M. Dubreuil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28/04/2025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n°314 — endurance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0,5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0,8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0,3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A. Costa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15/05/2025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n°318 — cycle WLTC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0,6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0,2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L. Perrin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02/06/2025</w:t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Essai n°321 — côte 12 %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0,5 N·m</w:t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1,0 N·m</w:t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0,5 N·m</w:t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M. Dubreuil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9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17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5. Historique des contrôles de shunt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700"/>
        <w:gridCol w:w="2438"/>
      </w:tblGrid>
      <w:tr>
        <w:trPr>
          <w:tblHeader/>
          <w:trHeight w:val="240" w:hRule="atLeast"/>
        </w:trPr>
        <w:tc>
          <w:tcPr>
            <w:tcW w:type="dxa" w:w="18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attendue</w:t>
            </w:r>
          </w:p>
        </w:tc>
        <w:tc>
          <w:tcPr>
            <w:tcW w:type="dxa" w:w="27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Valeur restituée</w:t>
            </w:r>
          </w:p>
        </w:tc>
        <w:tc>
          <w:tcPr>
            <w:tcW w:type="dxa" w:w="24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Écart</w:t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10/03/2025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1000,0 µdef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1002,1 µdef</w:t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0,21 %</w:t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09/06/2025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1000,0 µdef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1003,4 µdef</w:t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0,34 %</w:t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08/09/2025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1000,0 µdef</w:t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1004,8 µdef</w:t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0,48 %</w:t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  <w:tr>
        <w:trPr>
          <w:trHeight w:val="195" w:hRule="atLeast"/>
        </w:trPr>
        <w:tc>
          <w:tcPr>
            <w:tcW w:type="dxa" w:w="1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7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24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7. Événements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3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3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Action immédiate</w:t>
            </w:r>
          </w:p>
        </w:tc>
      </w:tr>
      <w:tr>
        <w:trPr>
          <w:trHeight w:val="21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06/03/2025</w:t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Dépassement ponctuel de couple lors de l'essai n°303 (endurance, côte 12 %)</w:t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Relevé de zéro immédiat, essai poursuivi sous surveillance</w:t>
            </w:r>
          </w:p>
        </w:tc>
      </w:tr>
      <w:tr>
        <w:trPr>
          <w:trHeight w:val="21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19/07/2025</w:t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Choc rapporté par l'opérateur au montage sur banc</w:t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Contrôle visuel du câblage, zéro vérifié avant essai suivant</w:t>
            </w:r>
          </w:p>
        </w:tc>
      </w:tr>
      <w:tr>
        <w:trPr>
          <w:trHeight w:val="210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Description : sollicitation exceptionnelle, incident, choc, dépassement de couple.</w:t>
      </w:r>
    </w:p>
    <w:p>
      <w:pPr>
        <w:pBdr>
          <w:bottom w:val="single" w:color="2E74B5" w:sz="8" w:space="2"/>
        </w:pBdr>
        <w:spacing w:after="55" w:before="11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8. Interventions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000"/>
        <w:gridCol w:w="3338"/>
      </w:tblGrid>
      <w:tr>
        <w:trPr>
          <w:tblHeader/>
          <w:trHeight w:val="240" w:hRule="atLeast"/>
        </w:trPr>
        <w:tc>
          <w:tcPr>
            <w:tcW w:type="dxa" w:w="13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Date</w:t>
            </w:r>
          </w:p>
        </w:tc>
        <w:tc>
          <w:tcPr>
            <w:tcW w:type="dxa" w:w="5000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Nature</w:t>
            </w:r>
          </w:p>
        </w:tc>
        <w:tc>
          <w:tcPr>
            <w:tcW w:type="dxa" w:w="3338"/>
            <w:tcBorders>
              <w:top w:val="single" w:color="1F3864" w:sz="4"/>
              <w:left w:val="single" w:color="1F3864" w:sz="4"/>
              <w:bottom w:val="single" w:color="1F3864" w:sz="4"/>
              <w:right w:val="single" w:color="1F3864" w:sz="4"/>
            </w:tcBorders>
            <w:shd w:fill="2E74B5" w:val="clear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Réalisé par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15/03/2023</w:t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Montage initial et vérification de collage</w:t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J. Element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12/09/2024</w:t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Contrôle N2 électronique rotor (suite dérive faible détectée)</w:t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>M. Dubreuil</w:t>
            </w:r>
          </w:p>
        </w:tc>
      </w:tr>
      <w:tr>
        <w:trPr>
          <w:trHeight w:val="195" w:hRule="atLeast"/>
        </w:trPr>
        <w:tc>
          <w:tcPr>
            <w:tcW w:type="dxa" w:w="13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5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  <w:tc>
          <w:tcPr>
            <w:tcW w:type="dxa" w:w="3338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r>
              <w:rPr>
                <w:rFonts w:ascii="Calibri" w:cs="Calibri" w:eastAsia="Calibri" w:hAnsi="Calibri"/>
                <w:color w:val="1A1A1A"/>
                <w:sz w:val="16"/>
                <w:szCs w:val="16"/>
              </w:rPr>
              <w:t xml:space="preserve"/>
            </w:r>
          </w:p>
        </w:tc>
      </w:tr>
    </w:tbl>
    <w:p>
      <w:pPr>
        <w:spacing w:after="0" w:before="20"/>
      </w:pPr>
      <w:r>
        <w:rPr>
          <w:rFonts w:ascii="Calibri" w:cs="Calibri" w:eastAsia="Calibri" w:hAnsi="Calibri"/>
          <w:i/>
          <w:iCs/>
          <w:color w:val="1A1A1A"/>
          <w:sz w:val="15"/>
          <w:szCs w:val="15"/>
        </w:rPr>
        <w:t xml:space="preserve">Nature : maintenance réalisée, réfection de collage, remplacement de composant.</w:t>
      </w:r>
    </w:p>
    <w:sectPr>
      <w:headerReference w:type="default" r:id="rId8"/>
      <w:pgSz w:w="11906" w:h="16838" w:orient="portrait"/>
      <w:pgMar w:top="1134" w:right="1134" w:bottom="500" w:left="1134" w:header="34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FEV France</w:t>
    </w:r>
    <w:r>
      <w:rPr>
        <w:rFonts w:ascii="Calibri" w:cs="Calibri" w:eastAsia="Calibri" w:hAnsi="Calibri"/>
        <w:i/>
        <w:iCs/>
        <w:color w:val="1F3864"/>
        <w:sz w:val="18"/>
        <w:szCs w:val="18"/>
      </w:rPr>
      <w:t xml:space="preserve">  ·  Centre technique de Belchamp</w:t>
    </w:r>
    <w:r>
      <w:t xml:space="preserve">	</w:t>
    </w: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Fiche de vie capteur — 1/2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6" w:space="4"/>
      </w:pBdr>
      <w:tabs>
        <w:tab w:val="right" w:pos="9638"/>
      </w:tabs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FEV France</w:t>
    </w:r>
    <w:r>
      <w:rPr>
        <w:rFonts w:ascii="Calibri" w:cs="Calibri" w:eastAsia="Calibri" w:hAnsi="Calibri"/>
        <w:i/>
        <w:iCs/>
        <w:color w:val="1F3864"/>
        <w:sz w:val="18"/>
        <w:szCs w:val="18"/>
      </w:rPr>
      <w:t xml:space="preserve">  ·  Centre technique de Belchamp</w:t>
    </w:r>
    <w:r>
      <w:t xml:space="preserve">	</w:t>
    </w: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Fiche de vie capteur — 2/2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2026-08-25T21:53:34.062Z</dcterms:created>
  <dcterms:modified xsi:type="dcterms:W3CDTF">2026-08-25T21:53:34.062Z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