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FICHE DE VIE CAPTEUR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Modèle — Annexe 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rHeight w:val="480" w:hRule="atLeast"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 de capteur</w:t>
            </w:r>
          </w:p>
        </w:tc>
        <w:tc>
          <w:tcPr>
            <w:tcW w:type="dxa" w:w="74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1. Identification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269"/>
        <w:gridCol w:w="1550"/>
        <w:gridCol w:w="3269"/>
      </w:tblGrid>
      <w:tr>
        <w:trPr>
          <w:trHeight w:val="480" w:hRule="atLeast"/>
        </w:trPr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Référence capteur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N° de série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Arbre d'affectation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Véhicule d'affectation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Date de mise en service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2. Caractéristiques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269"/>
        <w:gridCol w:w="1550"/>
        <w:gridCol w:w="3269"/>
      </w:tblGrid>
      <w:tr>
        <w:trPr>
          <w:trHeight w:val="480" w:hRule="atLeast"/>
        </w:trPr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Étendue de mesure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Sensibilité nominale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Couple de service maximal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Couple limite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Couple de rupture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6. Usage cumulé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rHeight w:val="1300" w:hRule="atLeast"/>
        </w:trPr>
        <w:tc>
          <w:tcPr>
            <w:tcW w:type="dxa" w:w="3212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EAF1F8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4"/>
                <w:szCs w:val="34"/>
              </w:rPr>
              <w:t xml:space="preserve">……………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Kilométrage d'essai cumulé (km)</w:t>
            </w:r>
          </w:p>
        </w:tc>
        <w:tc>
          <w:tcPr>
            <w:tcW w:type="dxa" w:w="3212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EAF1F8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4"/>
                <w:szCs w:val="34"/>
              </w:rPr>
              <w:t xml:space="preserve">……………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Nombre d'essais total</w:t>
            </w:r>
          </w:p>
        </w:tc>
        <w:tc>
          <w:tcPr>
            <w:tcW w:type="dxa" w:w="3214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EAF1F8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4"/>
                <w:szCs w:val="34"/>
              </w:rPr>
              <w:t xml:space="preserve">……………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Essais à forte sollicitation (&gt; 750 N·m)</w:t>
            </w:r>
          </w:p>
        </w:tc>
      </w:tr>
    </w:tbl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9. Statut (cf. tableau 34, §6.6)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rHeight w:val="500" w:hRule="atLeast"/>
        </w:trPr>
        <w:tc>
          <w:tcPr>
            <w:tcW w:type="dxa" w:w="321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☐  Vert · bande acceptable</w:t>
            </w:r>
          </w:p>
        </w:tc>
        <w:tc>
          <w:tcPr>
            <w:tcW w:type="dxa" w:w="321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☐  Orange · planification</w:t>
            </w:r>
          </w:p>
        </w:tc>
        <w:tc>
          <w:tcPr>
            <w:tcW w:type="dxa" w:w="3214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☐  Rouge · inexploitable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269"/>
        <w:gridCol w:w="1550"/>
        <w:gridCol w:w="3269"/>
      </w:tblGrid>
      <w:tr>
        <w:trPr>
          <w:trHeight w:val="480" w:hRule="atLeast"/>
        </w:trPr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Date de la décision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Décision associée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10. Ruptures de suivi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638"/>
      </w:tblGrid>
      <w:tr>
        <w:trPr>
          <w:tblHeader/>
          <w:trHeight w:val="240" w:hRule="atLeast"/>
        </w:trPr>
        <w:tc>
          <w:tcPr>
            <w:tcW w:type="dxa" w:w="1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Motif</w:t>
            </w:r>
          </w:p>
        </w:tc>
        <w:tc>
          <w:tcPr>
            <w:tcW w:type="dxa" w:w="56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Commentaire</w:t>
            </w:r>
          </w:p>
        </w:tc>
      </w:tr>
      <w:tr>
        <w:trPr>
          <w:trHeight w:val="190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6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"/>
      </w:pPr>
      <w:r>
        <w:rPr>
          <w:rFonts w:ascii="Calibri" w:cs="Calibri" w:eastAsia="Calibri" w:hAnsi="Calibri"/>
          <w:i/>
          <w:iCs/>
          <w:color w:val="1A1A1A"/>
          <w:sz w:val="15"/>
          <w:szCs w:val="15"/>
        </w:rPr>
        <w:t xml:space="preserve">Motif : réétalonnage, remplacement du capteur, réfection du collage, changement d'installation ou autre — une rupture de suivi remet la référence (μ₀, σ₀) à zéro pour le segment suivant.</w:t>
      </w:r>
    </w:p>
    <w:p>
      <w:pPr>
        <w:spacing w:before="260"/>
      </w:pPr>
      <w:r>
        <w:rPr>
          <w:rFonts w:ascii="Calibri" w:cs="Calibri" w:eastAsia="Calibri" w:hAnsi="Calibri"/>
          <w:i/>
          <w:iCs/>
          <w:color w:val="1A1A1A"/>
          <w:sz w:val="15"/>
          <w:szCs w:val="15"/>
        </w:rPr>
        <w:t xml:space="preserve">Voir page 2/2 : historiques d'étalonnage, de zéros, de contrôles de shunt, événements et interventions.</w:t>
      </w:r>
    </w:p>
    <w:p>
      <w:pPr>
        <w:sectPr>
          <w:headerReference w:type="default" r:id="rId7"/>
          <w:pgSz w:w="11906" w:h="16838" w:orient="portrait"/>
          <w:pgMar w:top="1134" w:right="1134" w:bottom="500" w:left="1134" w:header="340" w:footer="340" w:gutter="0"/>
          <w:pgNumType/>
          <w:docGrid w:linePitch="360"/>
        </w:sectPr>
      </w:pPr>
    </w:p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3. Étalonnages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700"/>
        <w:gridCol w:w="1500"/>
        <w:gridCol w:w="1700"/>
        <w:gridCol w:w="1938"/>
      </w:tblGrid>
      <w:tr>
        <w:trPr>
          <w:tblHeader/>
          <w:trHeight w:val="240" w:hRule="atLeast"/>
        </w:trPr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Prestataire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Référentiel appliqué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Sens de chargement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Incertitude élargie</w:t>
            </w:r>
          </w:p>
        </w:tc>
        <w:tc>
          <w:tcPr>
            <w:tcW w:type="dxa" w:w="19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Réf. certificat</w:t>
            </w:r>
          </w:p>
        </w:tc>
      </w:tr>
      <w:tr>
        <w:trPr>
          <w:trHeight w:val="230" w:hRule="atLeast"/>
        </w:trPr>
        <w:tc>
          <w:tcPr>
            <w:tcW w:type="dxa" w:w="1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type="dxa" w:w="1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type="dxa" w:w="1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type="dxa" w:w="1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type="dxa" w:w="1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type="dxa" w:w="1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60" w:hRule="atLeast"/>
        </w:trPr>
        <w:tc>
          <w:tcPr>
            <w:tcW w:type="dxa" w:w="96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1F8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6"/>
                <w:szCs w:val="16"/>
              </w:rPr>
              <w:t xml:space="preserve">Périodicité retenue par l'exploitant : ……… jours (à préciser par l'exploitant). (Le contrôle réglementaire à 370 jours porte sur le capteur d'effort du banc, non sur ce couplemètre.)</w:t>
            </w:r>
          </w:p>
        </w:tc>
      </w:tr>
    </w:tbl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 Historique des zéros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700"/>
        <w:gridCol w:w="1700"/>
        <w:gridCol w:w="1300"/>
        <w:gridCol w:w="1738"/>
      </w:tblGrid>
      <w:tr>
        <w:trPr>
          <w:tblHeader/>
          <w:trHeight w:val="240" w:hRule="atLeast"/>
        </w:trPr>
        <w:tc>
          <w:tcPr>
            <w:tcW w:type="dxa" w:w="1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Essai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Valeur avant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Valeur après</w:t>
            </w:r>
          </w:p>
        </w:tc>
        <w:tc>
          <w:tcPr>
            <w:tcW w:type="dxa" w:w="1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Écart</w:t>
            </w:r>
          </w:p>
        </w:tc>
        <w:tc>
          <w:tcPr>
            <w:tcW w:type="dxa" w:w="17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Opérateur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 Historique des contrôles de shunt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438"/>
      </w:tblGrid>
      <w:tr>
        <w:trPr>
          <w:tblHeader/>
          <w:trHeight w:val="240" w:hRule="atLeast"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Valeur attendue</w:t>
            </w:r>
          </w:p>
        </w:tc>
        <w:tc>
          <w:tcPr>
            <w:tcW w:type="dxa" w:w="2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Valeur restituée</w:t>
            </w:r>
          </w:p>
        </w:tc>
        <w:tc>
          <w:tcPr>
            <w:tcW w:type="dxa" w:w="24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Écart</w:t>
            </w:r>
          </w:p>
        </w:tc>
      </w:tr>
      <w:tr>
        <w:trPr>
          <w:trHeight w:val="195" w:hRule="atLeast"/>
        </w:trPr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7. Événements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0"/>
        <w:gridCol w:w="3338"/>
      </w:tblGrid>
      <w:tr>
        <w:trPr>
          <w:tblHeader/>
          <w:trHeight w:val="240" w:hRule="atLeast"/>
        </w:trPr>
        <w:tc>
          <w:tcPr>
            <w:tcW w:type="dxa" w:w="1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33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Action immédiate</w:t>
            </w:r>
          </w:p>
        </w:tc>
      </w:tr>
      <w:tr>
        <w:trPr>
          <w:trHeight w:val="210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33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210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33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210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33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"/>
      </w:pPr>
      <w:r>
        <w:rPr>
          <w:rFonts w:ascii="Calibri" w:cs="Calibri" w:eastAsia="Calibri" w:hAnsi="Calibri"/>
          <w:i/>
          <w:iCs/>
          <w:color w:val="1A1A1A"/>
          <w:sz w:val="15"/>
          <w:szCs w:val="15"/>
        </w:rPr>
        <w:t xml:space="preserve">Description : sollicitation exceptionnelle, incident, choc, dépassement de couple.</w:t>
      </w:r>
    </w:p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8. Interventions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0"/>
        <w:gridCol w:w="3338"/>
      </w:tblGrid>
      <w:tr>
        <w:trPr>
          <w:tblHeader/>
          <w:trHeight w:val="240" w:hRule="atLeast"/>
        </w:trPr>
        <w:tc>
          <w:tcPr>
            <w:tcW w:type="dxa" w:w="1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Nature</w:t>
            </w:r>
          </w:p>
        </w:tc>
        <w:tc>
          <w:tcPr>
            <w:tcW w:type="dxa" w:w="33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Réalisé par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33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33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33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"/>
      </w:pPr>
      <w:r>
        <w:rPr>
          <w:rFonts w:ascii="Calibri" w:cs="Calibri" w:eastAsia="Calibri" w:hAnsi="Calibri"/>
          <w:i/>
          <w:iCs/>
          <w:color w:val="1A1A1A"/>
          <w:sz w:val="15"/>
          <w:szCs w:val="15"/>
        </w:rPr>
        <w:t xml:space="preserve">Nature : maintenance réalisée, réfection de collage, remplacement de composant.</w:t>
      </w:r>
    </w:p>
    <w:sectPr>
      <w:headerReference w:type="default" r:id="rId8"/>
      <w:pgSz w:w="11906" w:h="16838" w:orient="portrait"/>
      <w:pgMar w:top="1134" w:right="1134" w:bottom="500" w:left="1134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FEV France</w:t>
    </w:r>
    <w:r>
      <w:rPr>
        <w:rFonts w:ascii="Calibri" w:cs="Calibri" w:eastAsia="Calibri" w:hAnsi="Calibri"/>
        <w:i/>
        <w:iCs/>
        <w:color w:val="1F3864"/>
        <w:sz w:val="18"/>
        <w:szCs w:val="18"/>
      </w:rPr>
      <w:t xml:space="preserve">  ·  Centre technique de Belchamp</w:t>
    </w:r>
    <w:r>
      <w:t xml:space="preserve">	</w:t>
    </w: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Fiche de vie capteur — 1/2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FEV France</w:t>
    </w:r>
    <w:r>
      <w:rPr>
        <w:rFonts w:ascii="Calibri" w:cs="Calibri" w:eastAsia="Calibri" w:hAnsi="Calibri"/>
        <w:i/>
        <w:iCs/>
        <w:color w:val="1F3864"/>
        <w:sz w:val="18"/>
        <w:szCs w:val="18"/>
      </w:rPr>
      <w:t xml:space="preserve">  ·  Centre technique de Belchamp</w:t>
    </w:r>
    <w:r>
      <w:t xml:space="preserve">	</w:t>
    </w: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Fiche de vie capteur — 2/2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2026-08-25T21:53:33.917Z</dcterms:created>
  <dcterms:modified xsi:type="dcterms:W3CDTF">2026-08-25T21:53:33.917Z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