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6B6B"/>
          <w:sz w:val="24"/>
        </w:rPr>
        <w:t>Sakeni | Student Housing Platform | Egypt</w:t>
      </w:r>
    </w:p>
    <w:p/>
    <w:p>
      <w:pPr>
        <w:jc w:val="center"/>
      </w:pPr>
      <w:r>
        <w:rPr>
          <w:b/>
          <w:color w:val="1A2B3C"/>
          <w:sz w:val="52"/>
        </w:rPr>
        <w:t>Executive Summary</w:t>
      </w:r>
    </w:p>
    <w:p/>
    <w:p>
      <w:pPr>
        <w:jc w:val="center"/>
      </w:pPr>
      <w:r>
        <w:rPr>
          <w:i/>
          <w:color w:val="2C3E50"/>
          <w:sz w:val="26"/>
        </w:rPr>
        <w:t>Sakeni — Broker-Free Student Housing Platform for Egypt</w:t>
      </w:r>
    </w:p>
    <w:p/>
    <w:p>
      <w:pPr>
        <w:jc w:val="center"/>
      </w:pPr>
      <w:r>
        <w:rPr>
          <w:color w:val="888888"/>
          <w:sz w:val="22"/>
        </w:rPr>
        <w:t>March 2025</w:t>
      </w:r>
    </w:p>
    <w:p>
      <w:r>
        <w:br w:type="page"/>
      </w:r>
    </w:p>
    <w:p>
      <w:pPr>
        <w:spacing w:after="80"/>
      </w:pPr>
      <w:r>
        <w:rPr>
          <w:b w:val="0"/>
          <w:i w:val="0"/>
          <w:sz w:val="24"/>
        </w:rPr>
        <w:t>Sakeni is a mobile marketplace application connecting Egyptian university students with verified apartment owners — without brokers. We are transforming the highly fragmented and frustrating student housing search process in Egypt into a digital, trusted, and organized experience.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color w:val="006B6B"/>
          <w:sz w:val="24"/>
        </w:rPr>
        <w:t>We seek EGP 100,000 in seed funding to build, launch, and grow the platform to 8,000 students and 700 listings within 6 months of launch.</w:t>
      </w:r>
    </w:p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Key Numbers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fill="E8F4F4" w:val="clear"/>
          </w:tcPr>
          <w:p>
            <w:pPr>
              <w:jc w:val="center"/>
            </w:pPr>
            <w:r>
              <w:rPr>
                <w:b/>
                <w:color w:val="006B6B"/>
                <w:sz w:val="40"/>
              </w:rPr>
              <w:t>EGP 100K</w:t>
            </w:r>
          </w:p>
          <w:p>
            <w:pPr>
              <w:jc w:val="center"/>
            </w:pPr>
            <w:r>
              <w:rPr>
                <w:b/>
                <w:color w:val="1A2B3C"/>
                <w:sz w:val="18"/>
              </w:rPr>
              <w:t>Seed Capital Required</w:t>
            </w:r>
          </w:p>
        </w:tc>
        <w:tc>
          <w:tcPr>
            <w:tcW w:type="dxa" w:w="1464"/>
            <w:shd w:fill="E8F4F4" w:val="clear"/>
          </w:tcPr>
          <w:p>
            <w:pPr>
              <w:jc w:val="center"/>
            </w:pPr>
            <w:r>
              <w:rPr>
                <w:b/>
                <w:color w:val="006B6B"/>
                <w:sz w:val="40"/>
              </w:rPr>
              <w:t>EGP 600K+</w:t>
            </w:r>
          </w:p>
          <w:p>
            <w:pPr>
              <w:jc w:val="center"/>
            </w:pPr>
            <w:r>
              <w:rPr>
                <w:b/>
                <w:color w:val="1A2B3C"/>
                <w:sz w:val="18"/>
              </w:rPr>
              <w:t>Year 1 Revenue Target</w:t>
            </w:r>
          </w:p>
        </w:tc>
        <w:tc>
          <w:tcPr>
            <w:tcW w:type="dxa" w:w="1464"/>
            <w:shd w:fill="E8F4F4" w:val="clear"/>
          </w:tcPr>
          <w:p>
            <w:pPr>
              <w:jc w:val="center"/>
            </w:pPr>
            <w:r>
              <w:rPr>
                <w:b/>
                <w:color w:val="006B6B"/>
                <w:sz w:val="40"/>
              </w:rPr>
              <w:t>8,000</w:t>
            </w:r>
          </w:p>
          <w:p>
            <w:pPr>
              <w:jc w:val="center"/>
            </w:pPr>
            <w:r>
              <w:rPr>
                <w:b/>
                <w:color w:val="1A2B3C"/>
                <w:sz w:val="18"/>
              </w:rPr>
              <w:t>Phase 1 Students Target</w:t>
            </w:r>
          </w:p>
        </w:tc>
        <w:tc>
          <w:tcPr>
            <w:tcW w:type="dxa" w:w="1464"/>
            <w:shd w:fill="E8F4F4" w:val="clear"/>
          </w:tcPr>
          <w:p>
            <w:pPr>
              <w:jc w:val="center"/>
            </w:pPr>
            <w:r>
              <w:rPr>
                <w:b/>
                <w:color w:val="006B6B"/>
                <w:sz w:val="40"/>
              </w:rPr>
              <w:t>700</w:t>
            </w:r>
          </w:p>
          <w:p>
            <w:pPr>
              <w:jc w:val="center"/>
            </w:pPr>
            <w:r>
              <w:rPr>
                <w:b/>
                <w:color w:val="1A2B3C"/>
                <w:sz w:val="18"/>
              </w:rPr>
              <w:t>Phase 1 Listings Target</w:t>
            </w:r>
          </w:p>
        </w:tc>
        <w:tc>
          <w:tcPr>
            <w:tcW w:type="dxa" w:w="1464"/>
            <w:shd w:fill="E8F4F4" w:val="clear"/>
          </w:tcPr>
          <w:p>
            <w:pPr>
              <w:jc w:val="center"/>
            </w:pPr>
            <w:r>
              <w:rPr>
                <w:b/>
                <w:color w:val="006B6B"/>
                <w:sz w:val="40"/>
              </w:rPr>
              <w:t>Month 10</w:t>
            </w:r>
          </w:p>
          <w:p>
            <w:pPr>
              <w:jc w:val="center"/>
            </w:pPr>
            <w:r>
              <w:rPr>
                <w:b/>
                <w:color w:val="1A2B3C"/>
                <w:sz w:val="18"/>
              </w:rPr>
              <w:t>Break-Even Timeline</w:t>
            </w:r>
          </w:p>
        </w:tc>
        <w:tc>
          <w:tcPr>
            <w:tcW w:type="dxa" w:w="1464"/>
            <w:shd w:fill="E8F4F4" w:val="clear"/>
          </w:tcPr>
          <w:p>
            <w:pPr>
              <w:jc w:val="center"/>
            </w:pPr>
            <w:r>
              <w:rPr>
                <w:b/>
                <w:color w:val="006B6B"/>
                <w:sz w:val="40"/>
              </w:rPr>
              <w:t>EGP 600M+</w:t>
            </w:r>
          </w:p>
          <w:p>
            <w:pPr>
              <w:jc w:val="center"/>
            </w:pPr>
            <w:r>
              <w:rPr>
                <w:b/>
                <w:color w:val="1A2B3C"/>
                <w:sz w:val="18"/>
              </w:rPr>
              <w:t>TAM (Phase 1)</w:t>
            </w:r>
          </w:p>
        </w:tc>
      </w:tr>
    </w:tbl>
    <w:p/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The Problem</w:t>
      </w:r>
    </w:p>
    <w:p>
      <w:pPr>
        <w:spacing w:after="80"/>
      </w:pPr>
      <w:r>
        <w:rPr>
          <w:b w:val="0"/>
          <w:i w:val="0"/>
          <w:sz w:val="22"/>
        </w:rPr>
        <w:t>Egypt has 3.5 million university students, of whom over 800,000 are studying away from home and need to find housing near campus. The current search process is broken:</w:t>
      </w:r>
    </w:p>
    <w:p>
      <w:pPr>
        <w:pStyle w:val="ListBullet"/>
        <w:spacing w:after="40"/>
        <w:ind w:left="432"/>
      </w:pPr>
      <w:r>
        <w:rPr>
          <w:sz w:val="21"/>
        </w:rPr>
        <w:t>Students search exclusively through chaotic Facebook groups with no verification or quality control.</w:t>
      </w:r>
    </w:p>
    <w:p>
      <w:pPr>
        <w:pStyle w:val="ListBullet"/>
        <w:spacing w:after="40"/>
        <w:ind w:left="432"/>
      </w:pPr>
      <w:r>
        <w:rPr>
          <w:sz w:val="21"/>
        </w:rPr>
        <w:t>Average search time: 3-6 weeks of dead-end visits, scams, and disappointments.</w:t>
      </w:r>
    </w:p>
    <w:p>
      <w:pPr>
        <w:pStyle w:val="ListBullet"/>
        <w:spacing w:after="40"/>
        <w:ind w:left="432"/>
      </w:pPr>
      <w:r>
        <w:rPr>
          <w:sz w:val="21"/>
        </w:rPr>
        <w:t>Broker commissions: EGP 3,000-8,000 per year (8-15% of annual rent) — a major financial burden.</w:t>
      </w:r>
    </w:p>
    <w:p>
      <w:pPr>
        <w:pStyle w:val="ListBullet"/>
        <w:spacing w:after="40"/>
        <w:ind w:left="432"/>
      </w:pPr>
      <w:r>
        <w:rPr>
          <w:sz w:val="21"/>
        </w:rPr>
        <w:t>Zero accountability: no ratings, no reviews, no recourse when a landlord is dishonest.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color w:val="2C3E50"/>
          <w:sz w:val="22"/>
        </w:rPr>
        <w:t>Landlords face the mirror problem: no organized channel to reach serious, verified students; broker dependency; and hundreds of unqualified phone inquiries per listing.</w:t>
      </w:r>
    </w:p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The Solution — Sakeni</w:t>
      </w:r>
    </w:p>
    <w:p>
      <w:pPr>
        <w:spacing w:after="80"/>
      </w:pPr>
      <w:r>
        <w:rPr>
          <w:b w:val="0"/>
          <w:i w:val="0"/>
          <w:sz w:val="22"/>
        </w:rPr>
        <w:t>Sakeni (Arabic: My Home) is a Flutter-based mobile app (Android + iOS) that provides:</w:t>
      </w:r>
    </w:p>
    <w:p>
      <w:pPr>
        <w:pStyle w:val="ListBullet"/>
        <w:spacing w:after="40"/>
        <w:ind w:left="432"/>
      </w:pPr>
      <w:r>
        <w:rPr>
          <w:sz w:val="21"/>
        </w:rPr>
        <w:t>For Students: Verified listings with real photos, smart filters (price/area/gender/furnished), in-app chat, and a trust rating system.</w:t>
      </w:r>
    </w:p>
    <w:p>
      <w:pPr>
        <w:pStyle w:val="ListBullet"/>
        <w:spacing w:after="40"/>
        <w:ind w:left="432"/>
      </w:pPr>
      <w:r>
        <w:rPr>
          <w:sz w:val="21"/>
        </w:rPr>
        <w:t>For Landlords: A digital listing platform, inquiry management dashboard, and direct student lead generation — at a fraction of broker costs.</w:t>
      </w:r>
    </w:p>
    <w:p>
      <w:pPr>
        <w:pStyle w:val="ListBullet"/>
        <w:spacing w:after="40"/>
        <w:ind w:left="432"/>
      </w:pPr>
      <w:r>
        <w:rPr>
          <w:sz w:val="21"/>
        </w:rPr>
        <w:t>For Both: A safe, organized, broker-free transaction environment that saves money and time for every party.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color w:val="2C3E50"/>
          <w:sz w:val="22"/>
        </w:rPr>
        <w:t>Our technology stack — Flutter for the app + Firebase for backend — enables rapid development with a single codebase for both platforms, real-time chat, and cloud scalability from Day 1.</w:t>
      </w:r>
    </w:p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The Market Opportunity</w:t>
      </w:r>
    </w:p>
    <w:p>
      <w:pPr>
        <w:spacing w:before="200" w:after="60"/>
      </w:pPr>
      <w:r>
        <w:rPr>
          <w:b/>
          <w:color w:val="1A2B3C"/>
          <w:sz w:val="26"/>
        </w:rPr>
        <w:t>Phase 1 Target Market:</w:t>
      </w:r>
    </w:p>
    <w:p>
      <w:pPr>
        <w:pStyle w:val="ListBullet"/>
        <w:spacing w:after="40"/>
        <w:ind w:left="432"/>
      </w:pPr>
      <w:r>
        <w:rPr>
          <w:sz w:val="21"/>
        </w:rPr>
        <w:t>6th October City: 80,000-120,000 students; high income, furnished preference.</w:t>
      </w:r>
    </w:p>
    <w:p>
      <w:pPr>
        <w:pStyle w:val="ListBullet"/>
        <w:spacing w:after="40"/>
        <w:ind w:left="432"/>
      </w:pPr>
      <w:r>
        <w:rPr>
          <w:sz w:val="21"/>
        </w:rPr>
        <w:t>Al-Azhar University zones: 150,000-200,000 students; high volume, budget-conscious.</w:t>
      </w:r>
    </w:p>
    <w:p>
      <w:pPr>
        <w:pStyle w:val="ListBullet"/>
        <w:spacing w:after="40"/>
        <w:ind w:left="432"/>
      </w:pPr>
      <w:r>
        <w:rPr>
          <w:sz w:val="21"/>
        </w:rPr>
        <w:t>Ain Shams University zones: 100,000-150,000 students; year-round steady demand.</w:t>
      </w:r>
    </w:p>
    <w:p>
      <w:pPr>
        <w:spacing w:before="200" w:after="60"/>
      </w:pPr>
      <w:r>
        <w:rPr>
          <w:b/>
          <w:color w:val="1A2B3C"/>
          <w:sz w:val="26"/>
        </w:rPr>
        <w:t>Market Sizing:</w:t>
      </w:r>
    </w:p>
    <w:p>
      <w:pPr>
        <w:pStyle w:val="ListBullet"/>
        <w:spacing w:after="40"/>
        <w:ind w:left="432"/>
      </w:pPr>
      <w:r>
        <w:rPr>
          <w:sz w:val="21"/>
        </w:rPr>
        <w:t>Total Phase 1 TAM (addressable students): 400,000 students needing housing.</w:t>
      </w:r>
    </w:p>
    <w:p>
      <w:pPr>
        <w:pStyle w:val="ListBullet"/>
        <w:spacing w:after="40"/>
        <w:ind w:left="432"/>
      </w:pPr>
      <w:r>
        <w:rPr>
          <w:sz w:val="21"/>
        </w:rPr>
        <w:t>Available rental units in target zones: 120,000-180,000+ apartments.</w:t>
      </w:r>
    </w:p>
    <w:p>
      <w:pPr>
        <w:pStyle w:val="ListBullet"/>
        <w:spacing w:after="40"/>
        <w:ind w:left="432"/>
      </w:pPr>
      <w:r>
        <w:rPr>
          <w:sz w:val="21"/>
        </w:rPr>
        <w:t>Annual rental market value: EGP 600M - 1.5B in Phase 1 zones alone.</w:t>
      </w:r>
    </w:p>
    <w:p>
      <w:pPr>
        <w:pStyle w:val="ListBullet"/>
        <w:spacing w:after="40"/>
        <w:ind w:left="432"/>
      </w:pPr>
      <w:r>
        <w:rPr>
          <w:sz w:val="21"/>
        </w:rPr>
        <w:t>Egypt total student housing market: EGP 3B+ annually.</w:t>
      </w:r>
    </w:p>
    <w:p>
      <w:pPr>
        <w:spacing w:before="200" w:after="60"/>
      </w:pPr>
      <w:r>
        <w:rPr>
          <w:b/>
          <w:color w:val="1A2B3C"/>
          <w:sz w:val="26"/>
        </w:rPr>
        <w:t>Long-Term Opportunity:</w:t>
      </w:r>
    </w:p>
    <w:p>
      <w:pPr>
        <w:pStyle w:val="ListBullet"/>
        <w:spacing w:after="40"/>
        <w:ind w:left="432"/>
      </w:pPr>
      <w:r>
        <w:rPr>
          <w:sz w:val="21"/>
        </w:rPr>
        <w:t>Egypt's total real estate market: EGP 500B+ (buy + sell + rent).</w:t>
      </w:r>
    </w:p>
    <w:p>
      <w:pPr>
        <w:pStyle w:val="ListBullet"/>
        <w:spacing w:after="40"/>
        <w:ind w:left="432"/>
      </w:pPr>
      <w:r>
        <w:rPr>
          <w:sz w:val="21"/>
        </w:rPr>
        <w:t>MENA PropTech investment: $1.2B in 2023, growing rapidly.</w:t>
      </w:r>
    </w:p>
    <w:p>
      <w:pPr>
        <w:pStyle w:val="ListBullet"/>
        <w:spacing w:after="40"/>
        <w:ind w:left="432"/>
      </w:pPr>
      <w:r>
        <w:rPr>
          <w:sz w:val="21"/>
        </w:rPr>
        <w:t>Sakeni is positioned as a future Egypt-wide real estate marketplace — starting with the underserved student segment.</w:t>
      </w:r>
    </w:p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Competitive Advantage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006B6B" w:val="clear"/>
          </w:tcPr>
          <w:p>
            <w:r>
              <w:rPr>
                <w:b/>
                <w:color w:val="FFFFFF"/>
              </w:rPr>
              <w:t>Advantage</w:t>
            </w:r>
          </w:p>
        </w:tc>
        <w:tc>
          <w:tcPr>
            <w:tcW w:type="dxa" w:w="2928"/>
            <w:shd w:fill="006B6B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928"/>
            <w:shd w:fill="006B6B" w:val="clear"/>
          </w:tcPr>
          <w:p>
            <w:r>
              <w:rPr>
                <w:b/>
                <w:color w:val="FFFFFF"/>
              </w:rPr>
              <w:t>Vs. Competitors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b/>
              </w:rPr>
              <w:t>Student-First Design</w:t>
            </w:r>
          </w:p>
        </w:tc>
        <w:tc>
          <w:tcPr>
            <w:tcW w:type="dxa" w:w="2928"/>
          </w:tcPr>
          <w:p>
            <w:r>
              <w:t>UI/UX built specifically for the student housing use case</w:t>
            </w:r>
          </w:p>
        </w:tc>
        <w:tc>
          <w:tcPr>
            <w:tcW w:type="dxa" w:w="2928"/>
          </w:tcPr>
          <w:p>
            <w:r>
              <w:t>OLX/Aqarmap: generic real estate platforms</w:t>
            </w:r>
          </w:p>
        </w:tc>
      </w:tr>
      <w:tr>
        <w:tc>
          <w:tcPr>
            <w:tcW w:type="dxa" w:w="2928"/>
            <w:shd w:fill="E8F4F4" w:val="clear"/>
          </w:tcPr>
          <w:p>
            <w:r>
              <w:rPr>
                <w:b/>
              </w:rPr>
              <w:t>Broker-Free Model</w:t>
            </w:r>
          </w:p>
        </w:tc>
        <w:tc>
          <w:tcPr>
            <w:tcW w:type="dxa" w:w="2928"/>
          </w:tcPr>
          <w:p>
            <w:r>
              <w:t>Zero broker fees: direct landlord-student connection</w:t>
            </w:r>
          </w:p>
        </w:tc>
        <w:tc>
          <w:tcPr>
            <w:tcW w:type="dxa" w:w="2928"/>
          </w:tcPr>
          <w:p>
            <w:r>
              <w:t>Traditional brokers: charge 8-15% of rent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b/>
              </w:rPr>
              <w:t>Verified Listings</w:t>
            </w:r>
          </w:p>
        </w:tc>
        <w:tc>
          <w:tcPr>
            <w:tcW w:type="dxa" w:w="2928"/>
          </w:tcPr>
          <w:p>
            <w:r>
              <w:t>All listings reviewed before publication</w:t>
            </w:r>
          </w:p>
        </w:tc>
        <w:tc>
          <w:tcPr>
            <w:tcW w:type="dxa" w:w="2928"/>
          </w:tcPr>
          <w:p>
            <w:r>
              <w:t>Facebook groups: zero verification, rampant scams</w:t>
            </w:r>
          </w:p>
        </w:tc>
      </w:tr>
      <w:tr>
        <w:tc>
          <w:tcPr>
            <w:tcW w:type="dxa" w:w="2928"/>
            <w:shd w:fill="E8F4F4" w:val="clear"/>
          </w:tcPr>
          <w:p>
            <w:r>
              <w:rPr>
                <w:b/>
              </w:rPr>
              <w:t>In-App Private Chat</w:t>
            </w:r>
          </w:p>
        </w:tc>
        <w:tc>
          <w:tcPr>
            <w:tcW w:type="dxa" w:w="2928"/>
          </w:tcPr>
          <w:p>
            <w:r>
              <w:t>Number privacy until both parties opt-in</w:t>
            </w:r>
          </w:p>
        </w:tc>
        <w:tc>
          <w:tcPr>
            <w:tcW w:type="dxa" w:w="2928"/>
          </w:tcPr>
          <w:p>
            <w:r>
              <w:t>OLX: public phone numbers, no privacy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b/>
              </w:rPr>
              <w:t>Trust &amp; Rating System</w:t>
            </w:r>
          </w:p>
        </w:tc>
        <w:tc>
          <w:tcPr>
            <w:tcW w:type="dxa" w:w="2928"/>
          </w:tcPr>
          <w:p>
            <w:r>
              <w:t>Landlords and listings rated by real tenants</w:t>
            </w:r>
          </w:p>
        </w:tc>
        <w:tc>
          <w:tcPr>
            <w:tcW w:type="dxa" w:w="2928"/>
          </w:tcPr>
          <w:p>
            <w:r>
              <w:t>Competitors: no student-specific ratings</w:t>
            </w:r>
          </w:p>
        </w:tc>
      </w:tr>
      <w:tr>
        <w:tc>
          <w:tcPr>
            <w:tcW w:type="dxa" w:w="2928"/>
            <w:shd w:fill="E8F4F4" w:val="clear"/>
          </w:tcPr>
          <w:p>
            <w:r>
              <w:rPr>
                <w:b/>
              </w:rPr>
              <w:t>University Filtering</w:t>
            </w:r>
          </w:p>
        </w:tc>
        <w:tc>
          <w:tcPr>
            <w:tcW w:type="dxa" w:w="2928"/>
          </w:tcPr>
          <w:p>
            <w:r>
              <w:t>Search by specific university / campus area</w:t>
            </w:r>
          </w:p>
        </w:tc>
        <w:tc>
          <w:tcPr>
            <w:tcW w:type="dxa" w:w="2928"/>
          </w:tcPr>
          <w:p>
            <w:r>
              <w:t>All competitors: location-only, no university context</w:t>
            </w:r>
          </w:p>
        </w:tc>
      </w:tr>
    </w:tbl>
    <w:p/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Revenue Model</w:t>
      </w:r>
    </w:p>
    <w:p>
      <w:pPr>
        <w:spacing w:after="80"/>
      </w:pPr>
      <w:r>
        <w:rPr>
          <w:b w:val="0"/>
          <w:i w:val="0"/>
          <w:sz w:val="22"/>
        </w:rPr>
        <w:t>Sakeni operates a freemium B2B2C model. Students use the platform for free. Revenue is generated from landlords and premium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2B3C" w:val="clear"/>
          </w:tcPr>
          <w:p>
            <w:r>
              <w:rPr>
                <w:b/>
                <w:color w:val="FFFFFF"/>
              </w:rPr>
              <w:t>Revenue Stream</w:t>
            </w:r>
          </w:p>
        </w:tc>
        <w:tc>
          <w:tcPr>
            <w:tcW w:type="dxa" w:w="2928"/>
            <w:shd w:fill="1A2B3C" w:val="clear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928"/>
            <w:shd w:fill="1A2B3C" w:val="clear"/>
          </w:tcPr>
          <w:p>
            <w:r>
              <w:rPr>
                <w:b/>
                <w:color w:val="FFFFFF"/>
              </w:rPr>
              <w:t>Year-1 Estimate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b/>
              </w:rPr>
              <w:t>Landlord Monthly Subscription</w:t>
            </w:r>
          </w:p>
        </w:tc>
        <w:tc>
          <w:tcPr>
            <w:tcW w:type="dxa" w:w="2928"/>
          </w:tcPr>
          <w:p>
            <w:r>
              <w:t>EGP 100-150/month</w:t>
            </w:r>
          </w:p>
        </w:tc>
        <w:tc>
          <w:tcPr>
            <w:tcW w:type="dxa" w:w="2928"/>
          </w:tcPr>
          <w:p>
            <w:r>
              <w:t>EGP 50K-75K/month at 500 landlords</w:t>
            </w:r>
          </w:p>
        </w:tc>
      </w:tr>
      <w:tr>
        <w:tc>
          <w:tcPr>
            <w:tcW w:type="dxa" w:w="2928"/>
            <w:shd w:fill="F5F5F5" w:val="clear"/>
          </w:tcPr>
          <w:p>
            <w:r>
              <w:rPr>
                <w:b/>
              </w:rPr>
              <w:t>Featured / Boosted Listings</w:t>
            </w:r>
          </w:p>
        </w:tc>
        <w:tc>
          <w:tcPr>
            <w:tcW w:type="dxa" w:w="2928"/>
          </w:tcPr>
          <w:p>
            <w:r>
              <w:t>EGP 300-500/ad</w:t>
            </w:r>
          </w:p>
        </w:tc>
        <w:tc>
          <w:tcPr>
            <w:tcW w:type="dxa" w:w="2928"/>
          </w:tcPr>
          <w:p>
            <w:r>
              <w:t>EGP 30K-50K/month at 100 ads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b/>
              </w:rPr>
              <w:t>Security Deposit Insurance (Phase 2)</w:t>
            </w:r>
          </w:p>
        </w:tc>
        <w:tc>
          <w:tcPr>
            <w:tcW w:type="dxa" w:w="2928"/>
          </w:tcPr>
          <w:p>
            <w:r>
              <w:t>3-5% of deposit value</w:t>
            </w:r>
          </w:p>
        </w:tc>
        <w:tc>
          <w:tcPr>
            <w:tcW w:type="dxa" w:w="2928"/>
          </w:tcPr>
          <w:p>
            <w:r>
              <w:t>EGP 20K-40K/month at scale</w:t>
            </w:r>
          </w:p>
        </w:tc>
      </w:tr>
      <w:tr>
        <w:tc>
          <w:tcPr>
            <w:tcW w:type="dxa" w:w="2928"/>
            <w:shd w:fill="F5F5F5" w:val="clear"/>
          </w:tcPr>
          <w:p>
            <w:r>
              <w:rPr>
                <w:b/>
              </w:rPr>
              <w:t>Property Sale Commission (Phase 3)</w:t>
            </w:r>
          </w:p>
        </w:tc>
        <w:tc>
          <w:tcPr>
            <w:tcW w:type="dxa" w:w="2928"/>
          </w:tcPr>
          <w:p>
            <w:r>
              <w:t>1-2% of property sale price</w:t>
            </w:r>
          </w:p>
        </w:tc>
        <w:tc>
          <w:tcPr>
            <w:tcW w:type="dxa" w:w="2928"/>
          </w:tcPr>
          <w:p>
            <w:r>
              <w:t>EGP 50K+/transaction</w:t>
            </w:r>
          </w:p>
        </w:tc>
      </w:tr>
    </w:tbl>
    <w:p/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Financial Overview</w:t>
      </w:r>
    </w:p>
    <w:p>
      <w:pPr>
        <w:spacing w:before="200" w:after="60"/>
      </w:pPr>
      <w:r>
        <w:rPr>
          <w:b/>
          <w:color w:val="1A2B3C"/>
          <w:sz w:val="26"/>
        </w:rPr>
        <w:t>Startup Capital Requirement — EGP 100,000: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2B3C" w:val="clear"/>
          </w:tcPr>
          <w:p>
            <w:r>
              <w:rPr>
                <w:b/>
                <w:color w:val="FFFFFF"/>
              </w:rPr>
              <w:t>Cost Item</w:t>
            </w:r>
          </w:p>
        </w:tc>
        <w:tc>
          <w:tcPr>
            <w:tcW w:type="dxa" w:w="4392"/>
            <w:shd w:fill="1A2B3C" w:val="clear"/>
          </w:tcPr>
          <w:p>
            <w:r>
              <w:rPr>
                <w:b/>
                <w:color w:val="FFFFFF"/>
              </w:rPr>
              <w:t>Amount (EGP)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b w:val="0"/>
              </w:rPr>
              <w:t>UI/UX Design (Figma full screen set)</w:t>
            </w:r>
          </w:p>
        </w:tc>
        <w:tc>
          <w:tcPr>
            <w:tcW w:type="dxa" w:w="4392"/>
          </w:tcPr>
          <w:p>
            <w:r>
              <w:t>15,000</w:t>
            </w:r>
          </w:p>
        </w:tc>
      </w:tr>
      <w:tr>
        <w:tc>
          <w:tcPr>
            <w:tcW w:type="dxa" w:w="4392"/>
            <w:shd w:fill="F5F5F5" w:val="clear"/>
          </w:tcPr>
          <w:p>
            <w:r>
              <w:rPr>
                <w:b w:val="0"/>
              </w:rPr>
              <w:t>Mobile App Development (Flutter, Android + iOS)</w:t>
            </w:r>
          </w:p>
        </w:tc>
        <w:tc>
          <w:tcPr>
            <w:tcW w:type="dxa" w:w="4392"/>
          </w:tcPr>
          <w:p>
            <w:r>
              <w:t>50,000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b w:val="0"/>
              </w:rPr>
              <w:t>Firebase Backend Infrastructure (6 months)</w:t>
            </w:r>
          </w:p>
        </w:tc>
        <w:tc>
          <w:tcPr>
            <w:tcW w:type="dxa" w:w="4392"/>
          </w:tcPr>
          <w:p>
            <w:r>
              <w:t>10,000</w:t>
            </w:r>
          </w:p>
        </w:tc>
      </w:tr>
      <w:tr>
        <w:tc>
          <w:tcPr>
            <w:tcW w:type="dxa" w:w="4392"/>
            <w:shd w:fill="F5F5F5" w:val="clear"/>
          </w:tcPr>
          <w:p>
            <w:r>
              <w:rPr>
                <w:b w:val="0"/>
              </w:rPr>
              <w:t>App Store Developer Accounts (Google + Apple)</w:t>
            </w:r>
          </w:p>
        </w:tc>
        <w:tc>
          <w:tcPr>
            <w:tcW w:type="dxa" w:w="4392"/>
          </w:tcPr>
          <w:p>
            <w:r>
              <w:t>5,000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b w:val="0"/>
              </w:rPr>
              <w:t>Company Registration &amp; Legal Setup</w:t>
            </w:r>
          </w:p>
        </w:tc>
        <w:tc>
          <w:tcPr>
            <w:tcW w:type="dxa" w:w="4392"/>
          </w:tcPr>
          <w:p>
            <w:r>
              <w:t>5,000</w:t>
            </w:r>
          </w:p>
        </w:tc>
      </w:tr>
      <w:tr>
        <w:tc>
          <w:tcPr>
            <w:tcW w:type="dxa" w:w="4392"/>
            <w:shd w:fill="F5F5F5" w:val="clear"/>
          </w:tcPr>
          <w:p>
            <w:r>
              <w:rPr>
                <w:b w:val="0"/>
              </w:rPr>
              <w:t>Initial Marketing (Facebook + TikTok ads)</w:t>
            </w:r>
          </w:p>
        </w:tc>
        <w:tc>
          <w:tcPr>
            <w:tcW w:type="dxa" w:w="4392"/>
          </w:tcPr>
          <w:p>
            <w:r>
              <w:t>10,000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b/>
              </w:rPr>
              <w:t>Contingency Reserve</w:t>
            </w:r>
          </w:p>
        </w:tc>
        <w:tc>
          <w:tcPr>
            <w:tcW w:type="dxa" w:w="4392"/>
          </w:tcPr>
          <w:p>
            <w:r>
              <w:t>5,000</w:t>
            </w:r>
          </w:p>
        </w:tc>
      </w:tr>
    </w:tbl>
    <w:p/>
    <w:p>
      <w:pPr>
        <w:spacing w:before="200" w:after="60"/>
      </w:pPr>
      <w:r>
        <w:rPr>
          <w:b/>
          <w:color w:val="1A2B3C"/>
          <w:sz w:val="26"/>
        </w:rPr>
        <w:t>Revenue Projections: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006B6B" w:val="clear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928"/>
            <w:shd w:fill="006B6B" w:val="clear"/>
          </w:tcPr>
          <w:p>
            <w:r>
              <w:rPr>
                <w:b/>
                <w:color w:val="FFFFFF"/>
              </w:rPr>
              <w:t>Monthly Revenue (EGP)</w:t>
            </w:r>
          </w:p>
        </w:tc>
        <w:tc>
          <w:tcPr>
            <w:tcW w:type="dxa" w:w="2928"/>
            <w:shd w:fill="006B6B" w:val="clear"/>
          </w:tcPr>
          <w:p>
            <w:r>
              <w:rPr>
                <w:b/>
                <w:color w:val="FFFFFF"/>
              </w:rPr>
              <w:t>Key Driver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t>Months 1-3 (Launch)</w:t>
            </w:r>
          </w:p>
        </w:tc>
        <w:tc>
          <w:tcPr>
            <w:tcW w:type="dxa" w:w="2928"/>
          </w:tcPr>
          <w:p>
            <w:r>
              <w:t>5,000-12,500</w:t>
            </w:r>
          </w:p>
        </w:tc>
        <w:tc>
          <w:tcPr>
            <w:tcW w:type="dxa" w:w="2928"/>
          </w:tcPr>
          <w:p>
            <w:r>
              <w:t>50 paying landlords + first featured ads</w:t>
            </w:r>
          </w:p>
        </w:tc>
      </w:tr>
      <w:tr>
        <w:tc>
          <w:tcPr>
            <w:tcW w:type="dxa" w:w="2928"/>
            <w:shd w:fill="F5F5F5" w:val="clear"/>
          </w:tcPr>
          <w:p>
            <w:r>
              <w:t>Months 4-6</w:t>
            </w:r>
          </w:p>
        </w:tc>
        <w:tc>
          <w:tcPr>
            <w:tcW w:type="dxa" w:w="2928"/>
          </w:tcPr>
          <w:p>
            <w:r>
              <w:t>37,500</w:t>
            </w:r>
          </w:p>
        </w:tc>
        <w:tc>
          <w:tcPr>
            <w:tcW w:type="dxa" w:w="2928"/>
          </w:tcPr>
          <w:p>
            <w:r>
              <w:t>150 landlords + growing ad revenue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t>Months 7-12 (Break-Even)</w:t>
            </w:r>
          </w:p>
        </w:tc>
        <w:tc>
          <w:tcPr>
            <w:tcW w:type="dxa" w:w="2928"/>
          </w:tcPr>
          <w:p>
            <w:r>
              <w:t>75,000-125,000</w:t>
            </w:r>
          </w:p>
        </w:tc>
        <w:tc>
          <w:tcPr>
            <w:tcW w:type="dxa" w:w="2928"/>
          </w:tcPr>
          <w:p>
            <w:r>
              <w:t>300-500 landlords + payment integration</w:t>
            </w:r>
          </w:p>
        </w:tc>
      </w:tr>
    </w:tbl>
    <w:p/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Go-To-Market Strategy</w:t>
      </w:r>
    </w:p>
    <w:p>
      <w:pPr>
        <w:spacing w:before="200" w:after="60"/>
      </w:pPr>
      <w:r>
        <w:rPr>
          <w:b/>
          <w:color w:val="1A2B3C"/>
          <w:sz w:val="26"/>
        </w:rPr>
        <w:t>Phase 1 — Pre-Launch (Months -3 to 0):</w:t>
      </w:r>
    </w:p>
    <w:p>
      <w:pPr>
        <w:pStyle w:val="ListBullet"/>
        <w:spacing w:after="40"/>
        <w:ind w:left="432"/>
      </w:pPr>
      <w:r>
        <w:rPr>
          <w:sz w:val="21"/>
        </w:rPr>
        <w:t>TARGET: Recruit 300+ verified listings before public launch (supply-first strategy).</w:t>
      </w:r>
    </w:p>
    <w:p>
      <w:pPr>
        <w:pStyle w:val="ListBullet"/>
        <w:spacing w:after="40"/>
        <w:ind w:left="432"/>
      </w:pPr>
      <w:r>
        <w:rPr>
          <w:sz w:val="21"/>
        </w:rPr>
        <w:t>Facebook ads targeted at apartment owners aged 25-50 in zones of 6th October, Ain Shams, Al-Azhar areas.</w:t>
      </w:r>
    </w:p>
    <w:p>
      <w:pPr>
        <w:pStyle w:val="ListBullet"/>
        <w:spacing w:after="40"/>
        <w:ind w:left="432"/>
      </w:pPr>
      <w:r>
        <w:rPr>
          <w:sz w:val="21"/>
        </w:rPr>
        <w:t>Budget: EGP 2,000-3,000 on Facebook ads; direct WhatsApp outreach to landlord groups.</w:t>
      </w:r>
    </w:p>
    <w:p>
      <w:pPr>
        <w:pStyle w:val="ListBullet"/>
        <w:spacing w:after="40"/>
        <w:ind w:left="432"/>
      </w:pPr>
      <w:r>
        <w:rPr>
          <w:sz w:val="21"/>
        </w:rPr>
        <w:t>Free first 3 months subscription as incentive for early landlord partners.</w:t>
      </w:r>
    </w:p>
    <w:p>
      <w:pPr>
        <w:spacing w:before="200" w:after="60"/>
      </w:pPr>
      <w:r>
        <w:rPr>
          <w:b/>
          <w:color w:val="1A2B3C"/>
          <w:sz w:val="26"/>
        </w:rPr>
        <w:t>Phase 1 — Post-Launch (Months 0-6):</w:t>
      </w:r>
    </w:p>
    <w:p>
      <w:pPr>
        <w:pStyle w:val="ListBullet"/>
        <w:spacing w:after="40"/>
        <w:ind w:left="432"/>
      </w:pPr>
      <w:r>
        <w:rPr>
          <w:sz w:val="21"/>
        </w:rPr>
        <w:t>TikTok short-form video campaigns targeting students aged 18-25 near target universities.</w:t>
      </w:r>
    </w:p>
    <w:p>
      <w:pPr>
        <w:pStyle w:val="ListBullet"/>
        <w:spacing w:after="40"/>
        <w:ind w:left="432"/>
      </w:pPr>
      <w:r>
        <w:rPr>
          <w:sz w:val="21"/>
        </w:rPr>
        <w:t>University ambassador program: recruit 1-2 student representatives per target campus.</w:t>
      </w:r>
    </w:p>
    <w:p>
      <w:pPr>
        <w:pStyle w:val="ListBullet"/>
        <w:spacing w:after="40"/>
        <w:ind w:left="432"/>
      </w:pPr>
      <w:r>
        <w:rPr>
          <w:sz w:val="21"/>
        </w:rPr>
        <w:t>Offline: campus posters, flyers at dormitories and student housing boards.</w:t>
      </w:r>
    </w:p>
    <w:p>
      <w:pPr>
        <w:pStyle w:val="ListBullet"/>
        <w:spacing w:after="40"/>
        <w:ind w:left="432"/>
      </w:pPr>
      <w:r>
        <w:rPr>
          <w:sz w:val="21"/>
        </w:rPr>
        <w:t>Budget: EGP 5,000-10,000 for combined digital + offline student acquisition.</w:t>
      </w:r>
    </w:p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The Founding Team</w:t>
      </w:r>
    </w:p>
    <w:p>
      <w:pPr>
        <w:spacing w:after="80"/>
      </w:pPr>
      <w:r>
        <w:rPr>
          <w:b w:val="0"/>
          <w:i w:val="0"/>
          <w:color w:val="2C3E50"/>
          <w:sz w:val="22"/>
        </w:rPr>
        <w:t>Sakeni is founded by a team with deep knowledge of the Egyptian student market, mobile app development, and business operations. The core team combines technical execution capability with on-the-ground market understanding.</w:t>
      </w:r>
    </w:p>
    <w:p>
      <w:pPr>
        <w:pStyle w:val="ListBullet"/>
        <w:spacing w:after="40"/>
        <w:ind w:left="432"/>
      </w:pPr>
      <w:r>
        <w:rPr>
          <w:sz w:val="21"/>
        </w:rPr>
        <w:t>Co-Founder / CEO: Business strategy, fundraising, landlord and university partnerships.</w:t>
      </w:r>
    </w:p>
    <w:p>
      <w:pPr>
        <w:pStyle w:val="ListBullet"/>
        <w:spacing w:after="40"/>
        <w:ind w:left="432"/>
      </w:pPr>
      <w:r>
        <w:rPr>
          <w:sz w:val="21"/>
        </w:rPr>
        <w:t>Co-Founder / CTO: Flutter and Firebase development, technical architecture.</w:t>
      </w:r>
    </w:p>
    <w:p>
      <w:pPr>
        <w:pStyle w:val="ListBullet"/>
        <w:spacing w:after="40"/>
        <w:ind w:left="432"/>
      </w:pPr>
      <w:r>
        <w:rPr>
          <w:sz w:val="21"/>
        </w:rPr>
        <w:t>UI/UX Designer: Figma design system, user research, and app visual identity.</w:t>
      </w:r>
    </w:p>
    <w:p>
      <w:pPr>
        <w:pStyle w:val="ListBullet"/>
        <w:spacing w:after="40"/>
        <w:ind w:left="432"/>
      </w:pPr>
      <w:r>
        <w:rPr>
          <w:sz w:val="21"/>
        </w:rPr>
        <w:t>Marketing Lead: Social media campaigns, community building, university outreach.</w:t>
      </w:r>
    </w:p>
    <w:p>
      <w:pPr>
        <w:pStyle w:val="ListBullet"/>
        <w:spacing w:after="40"/>
        <w:ind w:left="432"/>
      </w:pPr>
      <w:r>
        <w:rPr>
          <w:sz w:val="21"/>
        </w:rPr>
        <w:t>Advisory Support: Entrepreneurship faculty, real estate industry experts.</w:t>
      </w:r>
    </w:p>
    <w:p>
      <w:pPr>
        <w:spacing w:before="80" w:after="80"/>
        <w:pBdr>
          <w:bottom w:val="single" w:sz="6" w:space="1" w:color="006B6B"/>
        </w:pBdr>
      </w:pPr>
    </w:p>
    <w:p>
      <w:pPr>
        <w:spacing w:before="320" w:after="100"/>
      </w:pPr>
      <w:r>
        <w:rPr>
          <w:b/>
          <w:color w:val="006B6B"/>
          <w:sz w:val="36"/>
        </w:rPr>
        <w:t>Vision &amp; Investment Opportunity</w:t>
      </w:r>
    </w:p>
    <w:p>
      <w:pPr>
        <w:spacing w:after="80"/>
      </w:pPr>
      <w:r>
        <w:rPr>
          <w:b/>
          <w:i w:val="0"/>
          <w:color w:val="1A2B3C"/>
          <w:sz w:val="24"/>
        </w:rPr>
        <w:t>Within 4 years, Sakeni aims to be the leading student housing digital platform in Egypt. Within 8-10 years, we aim to become Egypt's largest and most trusted digital real estate marketplace.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We are a classic network-effects business: every new listing makes the platform more valuable to students; every new student makes the platform more valuable to landlords. As the network grows, competitive moats deepen.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color w:val="006B6B"/>
          <w:sz w:val="22"/>
        </w:rPr>
        <w:t>We invite strategic investors, angel investors, and accelerators aligned with Egypt's digital economy transformation to join us in building Sakeni.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