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06B6B"/>
          <w:sz w:val="24"/>
        </w:rPr>
        <w:t>Sakeni | Student Housing Platform | Egypt</w:t>
      </w:r>
    </w:p>
    <w:p/>
    <w:p>
      <w:pPr>
        <w:jc w:val="center"/>
      </w:pPr>
      <w:r>
        <w:rPr>
          <w:b/>
          <w:color w:val="1A2B3C"/>
          <w:sz w:val="52"/>
        </w:rPr>
        <w:t>Idea Summary</w:t>
      </w:r>
    </w:p>
    <w:p/>
    <w:p>
      <w:pPr>
        <w:jc w:val="center"/>
      </w:pPr>
      <w:r>
        <w:rPr>
          <w:i/>
          <w:color w:val="2C3E50"/>
          <w:sz w:val="26"/>
        </w:rPr>
        <w:t>Connecting Students to Homes — Without Brokers</w:t>
      </w:r>
    </w:p>
    <w:p/>
    <w:p>
      <w:pPr>
        <w:jc w:val="center"/>
      </w:pPr>
      <w:r>
        <w:rPr>
          <w:color w:val="888888"/>
          <w:sz w:val="22"/>
        </w:rPr>
        <w:t>March 2025</w:t>
      </w:r>
    </w:p>
    <w:p>
      <w:r>
        <w:br w:type="page"/>
      </w:r>
    </w:p>
    <w:p>
      <w:pPr>
        <w:spacing w:before="320" w:after="100"/>
      </w:pPr>
      <w:r>
        <w:rPr>
          <w:b/>
          <w:color w:val="006B6B"/>
          <w:sz w:val="36"/>
        </w:rPr>
        <w:t>1. Innovation Name</w:t>
      </w:r>
    </w:p>
    <w:p>
      <w:pPr>
        <w:spacing w:after="80"/>
      </w:pPr>
      <w:r>
        <w:rPr>
          <w:b/>
          <w:i w:val="0"/>
          <w:color w:val="1A2B3C"/>
          <w:sz w:val="30"/>
        </w:rPr>
        <w:t>Sakeni (Arabic: My Home)</w:t>
      </w:r>
    </w:p>
    <w:p>
      <w:pPr>
        <w:spacing w:after="80"/>
      </w:pPr>
      <w:r>
        <w:rPr>
          <w:b w:val="0"/>
          <w:i w:val="0"/>
          <w:sz w:val="22"/>
        </w:rPr>
        <w:t>Sakeni is a mobile marketplace platform (iOS + Android) that directly connects university students in Egypt with apartment owners in high-density campus areas — eliminating brokers, reducing search time from weeks to hours, and building a trustworthy, rated, and safe student housing ecosystem.</w:t>
      </w:r>
    </w:p>
    <w:p>
      <w:pPr>
        <w:spacing w:before="80" w:after="80"/>
        <w:pBdr>
          <w:bottom w:val="single" w:sz="6" w:space="1" w:color="006B6B"/>
        </w:pBdr>
      </w:pPr>
    </w:p>
    <w:p>
      <w:pPr>
        <w:spacing w:before="320" w:after="100"/>
      </w:pPr>
      <w:r>
        <w:rPr>
          <w:b/>
          <w:color w:val="006B6B"/>
          <w:sz w:val="36"/>
        </w:rPr>
        <w:t>2. News Headline</w:t>
      </w:r>
    </w:p>
    <w:p>
      <w:pPr>
        <w:spacing w:after="80"/>
      </w:pPr>
      <w:r>
        <w:rPr>
          <w:b/>
          <w:i/>
          <w:color w:val="006B6B"/>
          <w:sz w:val="26"/>
        </w:rPr>
        <w:t>"Egyptian Students Can Now Find Safe, Verified, Broker-Free Housing Near Campus in Under 72 Hours."</w:t>
      </w:r>
    </w:p>
    <w:p>
      <w:pPr>
        <w:spacing w:before="80" w:after="80"/>
        <w:pBdr>
          <w:bottom w:val="single" w:sz="6" w:space="1" w:color="006B6B"/>
        </w:pBdr>
      </w:pPr>
    </w:p>
    <w:p>
      <w:pPr>
        <w:spacing w:before="320" w:after="100"/>
      </w:pPr>
      <w:r>
        <w:rPr>
          <w:b/>
          <w:color w:val="006B6B"/>
          <w:sz w:val="36"/>
        </w:rPr>
        <w:t>3. Customer / Stakeholders</w:t>
      </w:r>
    </w:p>
    <w:p>
      <w:pPr>
        <w:spacing w:before="200" w:after="60"/>
      </w:pPr>
      <w:r>
        <w:rPr>
          <w:b/>
          <w:color w:val="1A2B3C"/>
          <w:sz w:val="26"/>
        </w:rPr>
        <w:t>Primary — Students:</w:t>
      </w:r>
    </w:p>
    <w:p>
      <w:pPr>
        <w:pStyle w:val="ListBullet"/>
        <w:spacing w:after="40"/>
        <w:ind w:left="432"/>
      </w:pPr>
      <w:r>
        <w:rPr>
          <w:sz w:val="21"/>
        </w:rPr>
        <w:t>University students aged 18-25 relocating or studying away from home.</w:t>
      </w:r>
    </w:p>
    <w:p>
      <w:pPr>
        <w:pStyle w:val="ListBullet"/>
        <w:spacing w:after="40"/>
        <w:ind w:left="432"/>
      </w:pPr>
      <w:r>
        <w:rPr>
          <w:sz w:val="21"/>
        </w:rPr>
        <w:t>Segments: 6th October City (private universities), Al-Azhar University (massive student body), Ain Shams University (continuous demand year-round).</w:t>
      </w:r>
    </w:p>
    <w:p>
      <w:pPr>
        <w:pStyle w:val="ListBullet"/>
        <w:spacing w:after="40"/>
        <w:ind w:left="432"/>
      </w:pPr>
      <w:r>
        <w:rPr>
          <w:sz w:val="21"/>
        </w:rPr>
        <w:t>Pain profile: time-poor, budget-conscious, mobile-first, distrustful of brokers.</w:t>
      </w:r>
    </w:p>
    <w:p>
      <w:pPr>
        <w:spacing w:before="200" w:after="60"/>
      </w:pPr>
      <w:r>
        <w:rPr>
          <w:b/>
          <w:color w:val="1A2B3C"/>
          <w:sz w:val="26"/>
        </w:rPr>
        <w:t>Secondary — Apartment Owners:</w:t>
      </w:r>
    </w:p>
    <w:p>
      <w:pPr>
        <w:pStyle w:val="ListBullet"/>
        <w:spacing w:after="40"/>
        <w:ind w:left="432"/>
      </w:pPr>
      <w:r>
        <w:rPr>
          <w:sz w:val="21"/>
        </w:rPr>
        <w:t>Individual private landlords with furnished/semi-furnished units near universities.</w:t>
      </w:r>
    </w:p>
    <w:p>
      <w:pPr>
        <w:pStyle w:val="ListBullet"/>
        <w:spacing w:after="40"/>
        <w:ind w:left="432"/>
      </w:pPr>
      <w:r>
        <w:rPr>
          <w:sz w:val="21"/>
        </w:rPr>
        <w:t>Want: reliable tenants, no broker fees, organized inquiry management.</w:t>
      </w:r>
    </w:p>
    <w:p>
      <w:pPr>
        <w:spacing w:before="200" w:after="60"/>
      </w:pPr>
      <w:r>
        <w:rPr>
          <w:b/>
          <w:color w:val="1A2B3C"/>
          <w:sz w:val="26"/>
        </w:rPr>
        <w:t>Tertiary (Future):</w:t>
      </w:r>
    </w:p>
    <w:p>
      <w:pPr>
        <w:pStyle w:val="ListBullet"/>
        <w:spacing w:after="40"/>
        <w:ind w:left="432"/>
      </w:pPr>
      <w:r>
        <w:rPr>
          <w:sz w:val="21"/>
        </w:rPr>
        <w:t>General real estate market: buyers, sellers, and renters across Egypt.</w:t>
      </w:r>
    </w:p>
    <w:p>
      <w:pPr>
        <w:spacing w:before="80" w:after="80"/>
        <w:pBdr>
          <w:bottom w:val="single" w:sz="6" w:space="1" w:color="006B6B"/>
        </w:pBdr>
      </w:pPr>
    </w:p>
    <w:p>
      <w:pPr>
        <w:spacing w:before="320" w:after="100"/>
      </w:pPr>
      <w:r>
        <w:rPr>
          <w:b/>
          <w:color w:val="006B6B"/>
          <w:sz w:val="36"/>
        </w:rPr>
        <w:t>4. Problem</w:t>
      </w:r>
    </w:p>
    <w:p>
      <w:pPr>
        <w:spacing w:before="200" w:after="60"/>
      </w:pPr>
      <w:r>
        <w:rPr>
          <w:b/>
          <w:color w:val="1A2B3C"/>
          <w:sz w:val="26"/>
        </w:rPr>
        <w:t>Student Pain Points:</w:t>
      </w:r>
    </w:p>
    <w:p>
      <w:pPr>
        <w:pStyle w:val="ListBullet"/>
        <w:spacing w:after="40"/>
        <w:ind w:left="432"/>
      </w:pPr>
      <w:r>
        <w:rPr>
          <w:sz w:val="21"/>
        </w:rPr>
        <w:t>Search happens entirely in chaotic, unverified Facebook groups.</w:t>
      </w:r>
    </w:p>
    <w:p>
      <w:pPr>
        <w:pStyle w:val="ListBullet"/>
        <w:spacing w:after="40"/>
        <w:ind w:left="432"/>
      </w:pPr>
      <w:r>
        <w:rPr>
          <w:sz w:val="21"/>
        </w:rPr>
        <w:t>Average search time: 3-6 weeks of visits, calls, and disappointments.</w:t>
      </w:r>
    </w:p>
    <w:p>
      <w:pPr>
        <w:pStyle w:val="ListBullet"/>
        <w:spacing w:after="40"/>
        <w:ind w:left="432"/>
      </w:pPr>
      <w:r>
        <w:rPr>
          <w:sz w:val="21"/>
        </w:rPr>
        <w:t>30%+ of listings are inaccurate, outdated, or outright scams.</w:t>
      </w:r>
    </w:p>
    <w:p>
      <w:pPr>
        <w:pStyle w:val="ListBullet"/>
        <w:spacing w:after="40"/>
        <w:ind w:left="432"/>
      </w:pPr>
      <w:r>
        <w:rPr>
          <w:sz w:val="21"/>
        </w:rPr>
        <w:t>Broker fees: 1-2 months rent (EGP 3,000-8,000 annual cost).</w:t>
      </w:r>
    </w:p>
    <w:p>
      <w:pPr>
        <w:pStyle w:val="ListBullet"/>
        <w:spacing w:after="40"/>
        <w:ind w:left="432"/>
      </w:pPr>
      <w:r>
        <w:rPr>
          <w:sz w:val="21"/>
        </w:rPr>
        <w:t>Zero trust system — no ratings, no reviews, no accountability.</w:t>
      </w:r>
    </w:p>
    <w:p>
      <w:pPr>
        <w:spacing w:before="200" w:after="60"/>
      </w:pPr>
      <w:r>
        <w:rPr>
          <w:b/>
          <w:color w:val="1A2B3C"/>
          <w:sz w:val="26"/>
        </w:rPr>
        <w:t>Landlord Pain Points:</w:t>
      </w:r>
    </w:p>
    <w:p>
      <w:pPr>
        <w:pStyle w:val="ListBullet"/>
        <w:spacing w:after="40"/>
        <w:ind w:left="432"/>
      </w:pPr>
      <w:r>
        <w:rPr>
          <w:sz w:val="21"/>
        </w:rPr>
        <w:t>No structured platform to reach the student market directly.</w:t>
      </w:r>
    </w:p>
    <w:p>
      <w:pPr>
        <w:pStyle w:val="ListBullet"/>
        <w:spacing w:after="40"/>
        <w:ind w:left="432"/>
      </w:pPr>
      <w:r>
        <w:rPr>
          <w:sz w:val="21"/>
        </w:rPr>
        <w:t>Broker commissions reduce net rental income by 8-15%.</w:t>
      </w:r>
    </w:p>
    <w:p>
      <w:pPr>
        <w:pStyle w:val="ListBullet"/>
        <w:spacing w:after="40"/>
        <w:ind w:left="432"/>
      </w:pPr>
      <w:r>
        <w:rPr>
          <w:sz w:val="21"/>
        </w:rPr>
        <w:t>100s of unserious phone inquiry calls per listing.</w:t>
      </w:r>
    </w:p>
    <w:p>
      <w:pPr>
        <w:pStyle w:val="ListBullet"/>
        <w:spacing w:after="40"/>
        <w:ind w:left="432"/>
      </w:pPr>
      <w:r>
        <w:rPr>
          <w:sz w:val="21"/>
        </w:rPr>
        <w:t>No digital dashboard to manage inquiries or track listing performance.</w:t>
      </w:r>
    </w:p>
    <w:p>
      <w:pPr>
        <w:spacing w:before="80" w:after="80"/>
        <w:pBdr>
          <w:bottom w:val="single" w:sz="6" w:space="1" w:color="006B6B"/>
        </w:pBdr>
      </w:pPr>
    </w:p>
    <w:p>
      <w:pPr>
        <w:spacing w:before="320" w:after="100"/>
      </w:pPr>
      <w:r>
        <w:rPr>
          <w:b/>
          <w:color w:val="006B6B"/>
          <w:sz w:val="36"/>
        </w:rPr>
        <w:t>5. Benefit Promise</w:t>
      </w:r>
    </w:p>
    <w:p>
      <w:pPr>
        <w:spacing w:after="80"/>
      </w:pPr>
      <w:r>
        <w:rPr>
          <w:b/>
          <w:i w:val="0"/>
          <w:sz w:val="24"/>
        </w:rPr>
        <w:t>Sakeni commits to: reducing apartment search time from 3-6 weeks to under 72 hours, saving students and landlords up to 100% of traditional broker fees, and providing verified, rated, and photo-authenticated listings — at zero cost to students during the MVP phase.</w:t>
      </w:r>
    </w:p>
    <w:p>
      <w:pPr>
        <w:spacing w:before="80" w:after="80"/>
        <w:pBdr>
          <w:bottom w:val="single" w:sz="6" w:space="1" w:color="006B6B"/>
        </w:pBdr>
      </w:pPr>
    </w:p>
    <w:p>
      <w:pPr>
        <w:spacing w:before="320" w:after="100"/>
      </w:pPr>
      <w:r>
        <w:rPr>
          <w:b/>
          <w:color w:val="006B6B"/>
          <w:sz w:val="36"/>
        </w:rPr>
        <w:t>6. Proof — The Innovation &amp; How It Works</w:t>
      </w:r>
    </w:p>
    <w:p>
      <w:pPr>
        <w:spacing w:before="200" w:after="60"/>
      </w:pPr>
      <w:r>
        <w:rPr>
          <w:b/>
          <w:color w:val="1A2B3C"/>
          <w:sz w:val="26"/>
        </w:rPr>
        <w:t>Technology Stack:</w:t>
      </w:r>
    </w:p>
    <w:p>
      <w:pPr>
        <w:pStyle w:val="ListBullet"/>
        <w:spacing w:after="40"/>
        <w:ind w:left="432"/>
      </w:pPr>
      <w:r>
        <w:rPr>
          <w:sz w:val="21"/>
        </w:rPr>
        <w:t>Flutter framework: one codebase for both Android and iOS apps.</w:t>
      </w:r>
    </w:p>
    <w:p>
      <w:pPr>
        <w:pStyle w:val="ListBullet"/>
        <w:spacing w:after="40"/>
        <w:ind w:left="432"/>
      </w:pPr>
      <w:r>
        <w:rPr>
          <w:sz w:val="21"/>
        </w:rPr>
        <w:t>Firebase backend: authentication, real-time database, in-app chat, push notifications.</w:t>
      </w:r>
    </w:p>
    <w:p>
      <w:pPr>
        <w:pStyle w:val="ListBullet"/>
        <w:spacing w:after="40"/>
        <w:ind w:left="432"/>
      </w:pPr>
      <w:r>
        <w:rPr>
          <w:sz w:val="21"/>
        </w:rPr>
        <w:t>Admin dashboard for listing verification, abuse reporting, and user management.</w:t>
      </w:r>
    </w:p>
    <w:p>
      <w:pPr>
        <w:spacing w:before="200" w:after="60"/>
      </w:pPr>
      <w:r>
        <w:rPr>
          <w:b/>
          <w:color w:val="1A2B3C"/>
          <w:sz w:val="26"/>
        </w:rPr>
        <w:t>Core User Flows:</w:t>
      </w:r>
    </w:p>
    <w:p>
      <w:pPr>
        <w:spacing w:before="120" w:after="40"/>
      </w:pPr>
      <w:r>
        <w:rPr>
          <w:b/>
          <w:color w:val="2C3E50"/>
          <w:sz w:val="22"/>
        </w:rPr>
        <w:t>Student Flow:</w:t>
      </w:r>
    </w:p>
    <w:p>
      <w:pPr>
        <w:pStyle w:val="ListBullet"/>
        <w:spacing w:after="40"/>
        <w:ind w:left="864"/>
      </w:pPr>
      <w:r>
        <w:rPr>
          <w:sz w:val="21"/>
        </w:rPr>
        <w:t>Register via mobile + OTP -&gt; Select university + area -&gt; Browse verified listings.</w:t>
      </w:r>
    </w:p>
    <w:p>
      <w:pPr>
        <w:pStyle w:val="ListBullet"/>
        <w:spacing w:after="40"/>
        <w:ind w:left="864"/>
      </w:pPr>
      <w:r>
        <w:rPr>
          <w:sz w:val="21"/>
        </w:rPr>
        <w:t>Filter by price, gender preference, furnished status, room type.</w:t>
      </w:r>
    </w:p>
    <w:p>
      <w:pPr>
        <w:pStyle w:val="ListBullet"/>
        <w:spacing w:after="40"/>
        <w:ind w:left="864"/>
      </w:pPr>
      <w:r>
        <w:rPr>
          <w:sz w:val="21"/>
        </w:rPr>
        <w:t>View real photos + location + reviews -&gt; Chat directly with landlord (private number).</w:t>
      </w:r>
    </w:p>
    <w:p>
      <w:pPr>
        <w:spacing w:before="120" w:after="40"/>
      </w:pPr>
      <w:r>
        <w:rPr>
          <w:b/>
          <w:color w:val="2C3E50"/>
          <w:sz w:val="22"/>
        </w:rPr>
        <w:t>Landlord Flow:</w:t>
      </w:r>
    </w:p>
    <w:p>
      <w:pPr>
        <w:pStyle w:val="ListBullet"/>
        <w:spacing w:after="40"/>
        <w:ind w:left="864"/>
      </w:pPr>
      <w:r>
        <w:rPr>
          <w:sz w:val="21"/>
        </w:rPr>
        <w:t>Register -&gt; Upload listing (photos, price, conditions, area) -&gt; Activate dashboard.</w:t>
      </w:r>
    </w:p>
    <w:p>
      <w:pPr>
        <w:pStyle w:val="ListBullet"/>
        <w:spacing w:after="40"/>
        <w:ind w:left="864"/>
      </w:pPr>
      <w:r>
        <w:rPr>
          <w:sz w:val="21"/>
        </w:rPr>
        <w:t>View listing analytics (views, messages) -&gt; Respond to student inquiries.</w:t>
      </w:r>
    </w:p>
    <w:p>
      <w:pPr>
        <w:pStyle w:val="ListBullet"/>
        <w:spacing w:after="40"/>
        <w:ind w:left="864"/>
      </w:pPr>
      <w:r>
        <w:rPr>
          <w:sz w:val="21"/>
        </w:rPr>
        <w:t>Optional: purchase featured boost for increased visibility.</w:t>
      </w:r>
    </w:p>
    <w:p>
      <w:pPr>
        <w:spacing w:before="200" w:after="60"/>
      </w:pPr>
      <w:r>
        <w:rPr>
          <w:b/>
          <w:color w:val="1A2B3C"/>
          <w:sz w:val="26"/>
        </w:rPr>
        <w:t>Future Features (Phases 2-3):</w:t>
      </w:r>
    </w:p>
    <w:p>
      <w:pPr>
        <w:pStyle w:val="ListBullet"/>
        <w:spacing w:after="40"/>
        <w:ind w:left="432"/>
      </w:pPr>
      <w:r>
        <w:rPr>
          <w:sz w:val="21"/>
        </w:rPr>
        <w:t>Payment gateway integration (Fawry, Paymob, Paytabs).</w:t>
      </w:r>
    </w:p>
    <w:p>
      <w:pPr>
        <w:pStyle w:val="ListBullet"/>
        <w:spacing w:after="40"/>
        <w:ind w:left="432"/>
      </w:pPr>
      <w:r>
        <w:rPr>
          <w:sz w:val="21"/>
        </w:rPr>
        <w:t>Escrow-based security deposit management.</w:t>
      </w:r>
    </w:p>
    <w:p>
      <w:pPr>
        <w:pStyle w:val="ListBullet"/>
        <w:spacing w:after="40"/>
        <w:ind w:left="432"/>
      </w:pPr>
      <w:r>
        <w:rPr>
          <w:sz w:val="21"/>
        </w:rPr>
        <w:t>Digital lease contract generation.</w:t>
      </w:r>
    </w:p>
    <w:p>
      <w:pPr>
        <w:pStyle w:val="ListBullet"/>
        <w:spacing w:after="40"/>
        <w:ind w:left="432"/>
      </w:pPr>
      <w:r>
        <w:rPr>
          <w:sz w:val="21"/>
        </w:rPr>
        <w:t>AI-powered apartment matching and recommendations.</w:t>
      </w:r>
    </w:p>
    <w:p>
      <w:pPr>
        <w:pStyle w:val="ListBullet"/>
        <w:spacing w:after="40"/>
        <w:ind w:left="432"/>
      </w:pPr>
      <w:r>
        <w:rPr>
          <w:sz w:val="21"/>
        </w:rPr>
        <w:t>Full real estate marketplace: buy, sell, long-term rent.</w:t>
      </w:r>
    </w:p>
    <w:p>
      <w:pPr>
        <w:spacing w:before="80" w:after="80"/>
        <w:pBdr>
          <w:bottom w:val="single" w:sz="6" w:space="1" w:color="006B6B"/>
        </w:pBdr>
      </w:pPr>
    </w:p>
    <w:p>
      <w:pPr>
        <w:spacing w:before="320" w:after="100"/>
      </w:pPr>
      <w:r>
        <w:rPr>
          <w:b/>
          <w:color w:val="006B6B"/>
          <w:sz w:val="36"/>
        </w:rPr>
        <w:t>7. Profit — Revenue Model</w:t>
      </w:r>
    </w:p>
    <w:tbl>
      <w:tblPr>
        <w:tblStyle w:val="TableGrid"/>
        <w:tblW w:type="auto" w:w="0"/>
        <w:tblLook w:firstColumn="1" w:firstRow="1" w:lastColumn="0" w:lastRow="0" w:noHBand="0" w:noVBand="1" w:val="04A0"/>
      </w:tblPr>
      <w:tblGrid>
        <w:gridCol w:w="2928"/>
        <w:gridCol w:w="2928"/>
        <w:gridCol w:w="2928"/>
      </w:tblGrid>
      <w:tr>
        <w:tc>
          <w:tcPr>
            <w:tcW w:type="dxa" w:w="2928"/>
            <w:shd w:fill="006B6B" w:val="clear"/>
          </w:tcPr>
          <w:p>
            <w:r>
              <w:rPr>
                <w:b/>
                <w:color w:val="FFFFFF"/>
              </w:rPr>
              <w:t>Revenue Stream</w:t>
            </w:r>
          </w:p>
        </w:tc>
        <w:tc>
          <w:tcPr>
            <w:tcW w:type="dxa" w:w="2928"/>
            <w:shd w:fill="006B6B" w:val="clear"/>
          </w:tcPr>
          <w:p>
            <w:r>
              <w:rPr>
                <w:b/>
                <w:color w:val="FFFFFF"/>
              </w:rPr>
              <w:t>Pricing</w:t>
            </w:r>
          </w:p>
        </w:tc>
        <w:tc>
          <w:tcPr>
            <w:tcW w:type="dxa" w:w="2928"/>
            <w:shd w:fill="006B6B" w:val="clear"/>
          </w:tcPr>
          <w:p>
            <w:r>
              <w:rPr>
                <w:b/>
                <w:color w:val="FFFFFF"/>
              </w:rPr>
              <w:t>Year-1 Target</w:t>
            </w:r>
          </w:p>
        </w:tc>
      </w:tr>
      <w:tr>
        <w:tc>
          <w:tcPr>
            <w:tcW w:type="dxa" w:w="2928"/>
            <w:shd w:fill="F5F5F5" w:val="clear"/>
          </w:tcPr>
          <w:p>
            <w:r>
              <w:t>Landlord Monthly Subscription</w:t>
            </w:r>
          </w:p>
        </w:tc>
        <w:tc>
          <w:tcPr>
            <w:tcW w:type="dxa" w:w="2928"/>
            <w:shd w:fill="F5F5F5" w:val="clear"/>
          </w:tcPr>
          <w:p>
            <w:r>
              <w:t>EGP 100-150/month</w:t>
            </w:r>
          </w:p>
        </w:tc>
        <w:tc>
          <w:tcPr>
            <w:tcW w:type="dxa" w:w="2928"/>
            <w:shd w:fill="F5F5F5" w:val="clear"/>
          </w:tcPr>
          <w:p>
            <w:r>
              <w:t>500 landlords -&gt; EGP 50K-75K/mo</w:t>
            </w:r>
          </w:p>
        </w:tc>
      </w:tr>
      <w:tr>
        <w:tc>
          <w:tcPr>
            <w:tcW w:type="dxa" w:w="2928"/>
            <w:shd w:fill="F5F5F5" w:val="clear"/>
          </w:tcPr>
          <w:p>
            <w:r>
              <w:t>Featured/Boosted Listings</w:t>
            </w:r>
          </w:p>
        </w:tc>
        <w:tc>
          <w:tcPr>
            <w:tcW w:type="dxa" w:w="2928"/>
            <w:shd w:fill="F5F5F5" w:val="clear"/>
          </w:tcPr>
          <w:p>
            <w:r>
              <w:t>EGP 300-500/ad</w:t>
            </w:r>
          </w:p>
        </w:tc>
        <w:tc>
          <w:tcPr>
            <w:tcW w:type="dxa" w:w="2928"/>
            <w:shd w:fill="F5F5F5" w:val="clear"/>
          </w:tcPr>
          <w:p>
            <w:r>
              <w:t>100 ads/mo -&gt; EGP 30K-50K/mo</w:t>
            </w:r>
          </w:p>
        </w:tc>
      </w:tr>
      <w:tr>
        <w:tc>
          <w:tcPr>
            <w:tcW w:type="dxa" w:w="2928"/>
            <w:shd w:fill="F5F5F5" w:val="clear"/>
          </w:tcPr>
          <w:p>
            <w:r>
              <w:t>Insurance Commission (Phase 2)</w:t>
            </w:r>
          </w:p>
        </w:tc>
        <w:tc>
          <w:tcPr>
            <w:tcW w:type="dxa" w:w="2928"/>
            <w:shd w:fill="F5F5F5" w:val="clear"/>
          </w:tcPr>
          <w:p>
            <w:r>
              <w:t>3-5% of deposit</w:t>
            </w:r>
          </w:p>
        </w:tc>
        <w:tc>
          <w:tcPr>
            <w:tcW w:type="dxa" w:w="2928"/>
            <w:shd w:fill="F5F5F5" w:val="clear"/>
          </w:tcPr>
          <w:p>
            <w:r>
              <w:t>EGP 20K-40K/mo at scale</w:t>
            </w:r>
          </w:p>
        </w:tc>
      </w:tr>
      <w:tr>
        <w:tc>
          <w:tcPr>
            <w:tcW w:type="dxa" w:w="2928"/>
            <w:shd w:fill="F5F5F5" w:val="clear"/>
          </w:tcPr>
          <w:p>
            <w:r>
              <w:t>Property Sale Commission (Phase 3)</w:t>
            </w:r>
          </w:p>
        </w:tc>
        <w:tc>
          <w:tcPr>
            <w:tcW w:type="dxa" w:w="2928"/>
            <w:shd w:fill="F5F5F5" w:val="clear"/>
          </w:tcPr>
          <w:p>
            <w:r>
              <w:t>1-2% of sale price</w:t>
            </w:r>
          </w:p>
        </w:tc>
        <w:tc>
          <w:tcPr>
            <w:tcW w:type="dxa" w:w="2928"/>
            <w:shd w:fill="F5F5F5" w:val="clear"/>
          </w:tcPr>
          <w:p>
            <w:r>
              <w:t>EGP 50K+/transaction</w:t>
            </w:r>
          </w:p>
        </w:tc>
      </w:tr>
      <w:tr>
        <w:tc>
          <w:tcPr>
            <w:tcW w:type="dxa" w:w="2928"/>
            <w:shd w:fill="003333" w:val="clear"/>
          </w:tcPr>
          <w:p>
            <w:r>
              <w:rPr>
                <w:b/>
                <w:color w:val="FFFFFF"/>
              </w:rPr>
              <w:t>Total Year-1 Projected Revenue</w:t>
            </w:r>
          </w:p>
        </w:tc>
        <w:tc>
          <w:tcPr>
            <w:tcW w:type="dxa" w:w="2928"/>
            <w:shd w:fill="003333" w:val="clear"/>
          </w:tcPr>
          <w:p>
            <w:r>
              <w:rPr>
                <w:b/>
                <w:color w:val="FFFFFF"/>
              </w:rPr>
            </w:r>
          </w:p>
        </w:tc>
        <w:tc>
          <w:tcPr>
            <w:tcW w:type="dxa" w:w="2928"/>
            <w:shd w:fill="003333" w:val="clear"/>
          </w:tcPr>
          <w:p>
            <w:r>
              <w:rPr>
                <w:b/>
                <w:color w:val="FFFFFF"/>
              </w:rPr>
              <w:t>EGP 600K - 900K</w:t>
            </w:r>
          </w:p>
        </w:tc>
      </w:tr>
    </w:tbl>
    <w:p/>
    <w:p>
      <w:pPr>
        <w:spacing w:before="80" w:after="80"/>
        <w:pBdr>
          <w:bottom w:val="single" w:sz="6" w:space="1" w:color="006B6B"/>
        </w:pBdr>
      </w:pPr>
    </w:p>
    <w:p>
      <w:pPr>
        <w:spacing w:before="320" w:after="100"/>
      </w:pPr>
      <w:r>
        <w:rPr>
          <w:b/>
          <w:color w:val="006B6B"/>
          <w:sz w:val="36"/>
        </w:rPr>
        <w:t>8. Raw Math — Market Opportunity</w:t>
      </w:r>
    </w:p>
    <w:p>
      <w:pPr>
        <w:spacing w:before="200" w:after="60"/>
      </w:pPr>
      <w:r>
        <w:rPr>
          <w:b/>
          <w:color w:val="1A2B3C"/>
          <w:sz w:val="26"/>
        </w:rPr>
        <w:t>Market Size:</w:t>
      </w:r>
    </w:p>
    <w:p>
      <w:pPr>
        <w:pStyle w:val="ListBullet"/>
        <w:spacing w:after="40"/>
        <w:ind w:left="432"/>
      </w:pPr>
      <w:r>
        <w:rPr>
          <w:sz w:val="21"/>
        </w:rPr>
        <w:t>Egypt: ~3.5M university students total; ~800K are out-of-town requiring housing.</w:t>
      </w:r>
    </w:p>
    <w:p>
      <w:pPr>
        <w:pStyle w:val="ListBullet"/>
        <w:spacing w:after="40"/>
        <w:ind w:left="432"/>
      </w:pPr>
      <w:r>
        <w:rPr>
          <w:sz w:val="21"/>
        </w:rPr>
        <w:t>Phase 1 target zones: 6th October, Al-Azhar, Ain Shams = ~400,000 students needing housing.</w:t>
      </w:r>
    </w:p>
    <w:p>
      <w:pPr>
        <w:pStyle w:val="ListBullet"/>
        <w:spacing w:after="40"/>
        <w:ind w:left="432"/>
      </w:pPr>
      <w:r>
        <w:rPr>
          <w:sz w:val="21"/>
        </w:rPr>
        <w:t>Average monthly rent/student: EGP 1,500-4,000.</w:t>
      </w:r>
    </w:p>
    <w:p>
      <w:pPr>
        <w:pStyle w:val="ListBullet"/>
        <w:spacing w:after="40"/>
        <w:ind w:left="432"/>
      </w:pPr>
      <w:r>
        <w:rPr>
          <w:sz w:val="21"/>
        </w:rPr>
        <w:t>Total addressable market (Phase 1): EGP 600M+ annually.</w:t>
      </w:r>
    </w:p>
    <w:p>
      <w:pPr>
        <w:spacing w:before="200" w:after="60"/>
      </w:pPr>
      <w:r>
        <w:rPr>
          <w:b/>
          <w:color w:val="1A2B3C"/>
          <w:sz w:val="26"/>
        </w:rPr>
        <w:t>Realistic Market Capture:</w:t>
      </w:r>
    </w:p>
    <w:p>
      <w:pPr>
        <w:pStyle w:val="ListBullet"/>
        <w:spacing w:after="40"/>
        <w:ind w:left="432"/>
      </w:pPr>
      <w:r>
        <w:rPr>
          <w:sz w:val="21"/>
        </w:rPr>
        <w:t>Year 1: 8,000 students + 700 listings (2% of Phase 1 market).</w:t>
      </w:r>
    </w:p>
    <w:p>
      <w:pPr>
        <w:pStyle w:val="ListBullet"/>
        <w:spacing w:after="40"/>
        <w:ind w:left="432"/>
      </w:pPr>
      <w:r>
        <w:rPr>
          <w:sz w:val="21"/>
        </w:rPr>
        <w:t>Year 2: 50,000 students + 5,000 listings (10% of Greater Cairo market).</w:t>
      </w:r>
    </w:p>
    <w:p>
      <w:pPr>
        <w:pStyle w:val="ListBullet"/>
        <w:spacing w:after="40"/>
        <w:ind w:left="432"/>
      </w:pPr>
      <w:r>
        <w:rPr>
          <w:sz w:val="21"/>
        </w:rPr>
        <w:t>Year 3: 200,000 users + real estate expansion = EGP 10M+ revenue.</w:t>
      </w:r>
    </w:p>
    <w:p>
      <w:pPr>
        <w:spacing w:before="200" w:after="60"/>
      </w:pPr>
      <w:r>
        <w:rPr>
          <w:b/>
          <w:color w:val="1A2B3C"/>
          <w:sz w:val="26"/>
        </w:rPr>
        <w:t>Cost per User Acquisition (CAC):</w:t>
      </w:r>
    </w:p>
    <w:p>
      <w:pPr>
        <w:pStyle w:val="ListBullet"/>
        <w:spacing w:after="40"/>
        <w:ind w:left="432"/>
      </w:pPr>
      <w:r>
        <w:rPr>
          <w:sz w:val="21"/>
        </w:rPr>
        <w:t>Facebook/TikTok ad spend: EGP 6-16 per click.</w:t>
      </w:r>
    </w:p>
    <w:p>
      <w:pPr>
        <w:pStyle w:val="ListBullet"/>
        <w:spacing w:after="40"/>
        <w:ind w:left="432"/>
      </w:pPr>
      <w:r>
        <w:rPr>
          <w:sz w:val="21"/>
        </w:rPr>
        <w:t>Estimated CAC: EGP 25-40 per registered student.</w:t>
      </w:r>
    </w:p>
    <w:p>
      <w:pPr>
        <w:pStyle w:val="ListBullet"/>
        <w:spacing w:after="40"/>
        <w:ind w:left="432"/>
      </w:pPr>
      <w:r>
        <w:rPr>
          <w:sz w:val="21"/>
        </w:rPr>
        <w:t>CAC: EGP 200-400 per paying landlord (much higher LTV).</w:t>
      </w:r>
    </w:p>
    <w:p>
      <w:pPr>
        <w:spacing w:before="200" w:after="60"/>
      </w:pPr>
      <w:r>
        <w:rPr>
          <w:b/>
          <w:color w:val="1A2B3C"/>
          <w:sz w:val="26"/>
        </w:rPr>
        <w:t>Expected Margins:</w:t>
      </w:r>
    </w:p>
    <w:p>
      <w:pPr>
        <w:pStyle w:val="ListBullet"/>
        <w:spacing w:after="40"/>
        <w:ind w:left="432"/>
      </w:pPr>
      <w:r>
        <w:rPr>
          <w:sz w:val="21"/>
        </w:rPr>
        <w:t>Gross margin on subscriptions: ~85% (mainly Firebase cloud costs).</w:t>
      </w:r>
    </w:p>
    <w:p>
      <w:pPr>
        <w:pStyle w:val="ListBullet"/>
        <w:spacing w:after="40"/>
        <w:ind w:left="432"/>
      </w:pPr>
      <w:r>
        <w:rPr>
          <w:sz w:val="21"/>
        </w:rPr>
        <w:t>Gross margin on featured ads: ~95%.</w:t>
      </w:r>
    </w:p>
    <w:p>
      <w:pPr>
        <w:pStyle w:val="ListBullet"/>
        <w:spacing w:after="40"/>
        <w:ind w:left="432"/>
      </w:pPr>
      <w:r>
        <w:rPr>
          <w:sz w:val="21"/>
        </w:rPr>
        <w:t>Operating costs: EGP 8,000/month (server, support, maintenance, marketing).</w:t>
      </w:r>
    </w:p>
    <w:p>
      <w:pPr>
        <w:spacing w:before="80" w:after="80"/>
        <w:pBdr>
          <w:bottom w:val="single" w:sz="6" w:space="1" w:color="006B6B"/>
        </w:pBdr>
      </w:pPr>
    </w:p>
    <w:p>
      <w:pPr>
        <w:spacing w:before="320" w:after="100"/>
      </w:pPr>
      <w:r>
        <w:rPr>
          <w:b/>
          <w:color w:val="006B6B"/>
          <w:sz w:val="36"/>
        </w:rPr>
        <w:t>9. Death Threats &amp; Mitigation</w:t>
      </w:r>
    </w:p>
    <w:p>
      <w:pPr>
        <w:spacing w:before="200" w:after="60"/>
      </w:pPr>
      <w:r>
        <w:rPr>
          <w:b/>
          <w:color w:val="1A2B3C"/>
          <w:sz w:val="26"/>
        </w:rPr>
        <w:t>Death Threat 1: Supply-Side Cold Start (insufficient listings at launch)</w:t>
      </w:r>
    </w:p>
    <w:p>
      <w:pPr>
        <w:spacing w:after="80"/>
      </w:pPr>
      <w:r>
        <w:rPr>
          <w:b w:val="0"/>
          <w:i w:val="0"/>
          <w:sz w:val="22"/>
        </w:rPr>
        <w:t>Risk: Students find &lt;50 apartments and uninstall immediately.</w:t>
      </w:r>
    </w:p>
    <w:p>
      <w:pPr>
        <w:spacing w:after="80"/>
      </w:pPr>
      <w:r>
        <w:rPr>
          <w:b/>
          <w:i w:val="0"/>
          <w:sz w:val="22"/>
        </w:rPr>
        <w:t>Action: Pre-launch landlord acquisition campaign 90 days before app launch. Target 300 verified listings on Day 1. Offer free 3-month subscription as incentive.</w:t>
      </w:r>
    </w:p>
    <w:p>
      <w:pPr>
        <w:spacing w:before="200" w:after="60"/>
      </w:pPr>
      <w:r>
        <w:rPr>
          <w:b/>
          <w:color w:val="1A2B3C"/>
          <w:sz w:val="26"/>
        </w:rPr>
        <w:t>Death Threat 2: Trust &amp; Scam Listings</w:t>
      </w:r>
    </w:p>
    <w:p>
      <w:pPr>
        <w:spacing w:after="80"/>
      </w:pPr>
      <w:r>
        <w:rPr>
          <w:b w:val="0"/>
          <w:i w:val="0"/>
          <w:sz w:val="22"/>
        </w:rPr>
        <w:t>Risk: One publicized scam destroys platform reputation.</w:t>
      </w:r>
    </w:p>
    <w:p>
      <w:pPr>
        <w:spacing w:after="80"/>
      </w:pPr>
      <w:r>
        <w:rPr>
          <w:b/>
          <w:i w:val="0"/>
          <w:sz w:val="22"/>
        </w:rPr>
        <w:t>Action: Manual review of first 500 listings. Landlord ID verification. Student abuse reporting built into MVP.</w:t>
      </w:r>
    </w:p>
    <w:p>
      <w:pPr>
        <w:spacing w:before="200" w:after="60"/>
      </w:pPr>
      <w:r>
        <w:rPr>
          <w:b/>
          <w:color w:val="1A2B3C"/>
          <w:sz w:val="26"/>
        </w:rPr>
        <w:t>Death Threat 3: Competition from Free Platforms (OLX, Facebook)</w:t>
      </w:r>
    </w:p>
    <w:p>
      <w:pPr>
        <w:spacing w:after="80"/>
      </w:pPr>
      <w:r>
        <w:rPr>
          <w:b w:val="0"/>
          <w:i w:val="0"/>
          <w:sz w:val="22"/>
        </w:rPr>
        <w:t>Risk: Landlords ask "why pay when Facebook is free?"</w:t>
      </w:r>
    </w:p>
    <w:p>
      <w:pPr>
        <w:spacing w:after="80"/>
      </w:pPr>
      <w:r>
        <w:rPr>
          <w:b/>
          <w:i w:val="0"/>
          <w:sz w:val="22"/>
        </w:rPr>
        <w:t>Action: Differentiate on quality leads (serious students only), organized dashboard, and saved broker commissions (ROI of 10-20x subscription cost).</w:t>
      </w:r>
    </w:p>
    <w:p>
      <w:pPr>
        <w:spacing w:before="200" w:after="60"/>
      </w:pPr>
      <w:r>
        <w:rPr>
          <w:b/>
          <w:color w:val="1A2B3C"/>
          <w:sz w:val="26"/>
        </w:rPr>
        <w:t>Death Threat 4: Low App Adoption / Poor App Store Ratings</w:t>
      </w:r>
    </w:p>
    <w:p>
      <w:pPr>
        <w:spacing w:after="80"/>
      </w:pPr>
      <w:r>
        <w:rPr>
          <w:b/>
          <w:i w:val="0"/>
          <w:sz w:val="22"/>
        </w:rPr>
        <w:t>Action: Recruit 100 student beta testers before public launch. Iterate on UX based on real feedback. Target 4.5+ App Store rating pre-launch.</w:t>
      </w:r>
    </w:p>
    <w:p>
      <w:pPr>
        <w:spacing w:before="80" w:after="80"/>
        <w:pBdr>
          <w:bottom w:val="single" w:sz="6" w:space="1" w:color="006B6B"/>
        </w:pBdr>
      </w:pPr>
    </w:p>
    <w:p>
      <w:pPr>
        <w:spacing w:before="320" w:after="100"/>
      </w:pPr>
      <w:r>
        <w:rPr>
          <w:b/>
          <w:color w:val="006B6B"/>
          <w:sz w:val="36"/>
        </w:rPr>
        <w:t>10. Passion — Why Sakeni Exists</w:t>
      </w:r>
    </w:p>
    <w:p>
      <w:pPr>
        <w:spacing w:after="80"/>
      </w:pPr>
      <w:r>
        <w:rPr>
          <w:b w:val="0"/>
          <w:i w:val="0"/>
          <w:sz w:val="22"/>
        </w:rPr>
        <w:t>Every year, hundreds of thousands of Egyptian university students spend their first weeks at campus anxiously browsing unverified Facebook groups, paying outrageous broker commissions, and moving into apartments that look nothing like the photos. Their families carry that anxiety with them.</w:t>
      </w:r>
    </w:p>
    <w:p>
      <w:pPr>
        <w:spacing w:after="80"/>
      </w:pPr>
      <w:r>
        <w:rPr>
          <w:b/>
          <w:i w:val="0"/>
          <w:color w:val="006B6B"/>
          <w:sz w:val="22"/>
        </w:rPr>
        <w:t>Sakeni exists to end that. Our mission is to make the student housing search in Egypt as simple, safe, and trustworthy as booking a hotel online.</w:t>
      </w:r>
    </w:p>
    <w:p>
      <w:pPr>
        <w:spacing w:after="80"/>
      </w:pPr>
      <w:r>
        <w:rPr>
          <w:b w:val="0"/>
          <w:i w:val="0"/>
          <w:sz w:val="22"/>
        </w:rPr>
        <w:t>We start with student housing because the problem is urgent, the market is massive, and the solution is clear. But our vision is larger: to become Egypt's most trusted digital real estate platform within 8-10 years.</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