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line="324" w:lineRule="auto"/>
        <w:jc w:val="right"/>
      </w:pPr>
      <w:r>
        <w:rPr>
          <w:rFonts w:ascii="Traditional Arabic" w:hAnsi="Traditional Arabic" w:cs="Traditional Arabic"/>
          <w:b/>
          <w:color w:val="1E3A8A"/>
          <w:sz w:val="72"/>
        </w:rPr>
        <w:t>Mindlytics</w:t>
      </w:r>
    </w:p>
    <w:p>
      <w:pPr>
        <w:bidi w:val="1"/>
        <w:spacing w:after="240" w:line="324" w:lineRule="auto"/>
        <w:jc w:val="right"/>
      </w:pPr>
      <w:r>
        <w:rPr>
          <w:rFonts w:ascii="Arabic Typesetting" w:hAnsi="Arabic Typesetting" w:cs="Arabic Typesetting"/>
          <w:b/>
          <w:color w:val="037BA8"/>
          <w:sz w:val="40"/>
        </w:rPr>
        <w:t>أكاديمية البرمجة والذكاء الاصطناعي</w:t>
      </w:r>
    </w:p>
    <w:p>
      <w:pPr>
        <w:bidi w:val="1"/>
        <w:spacing w:after="160" w:line="324" w:lineRule="auto"/>
        <w:jc w:val="right"/>
      </w:pPr>
      <w:r>
        <w:rPr>
          <w:rFonts w:ascii="Arabic Typesetting" w:hAnsi="Arabic Typesetting" w:cs="Arabic Typesetting"/>
          <w:b/>
          <w:sz w:val="32"/>
        </w:rPr>
        <w:t>دليل المنصة — عرض أعمال</w:t>
      </w:r>
    </w:p>
    <w:p>
      <w:pPr>
        <w:bidi w:val="1"/>
        <w:spacing w:after="480" w:line="324" w:lineRule="auto"/>
        <w:jc w:val="right"/>
      </w:pPr>
      <w:r>
        <w:rPr>
          <w:rFonts w:ascii="Tahoma" w:hAnsi="Tahoma" w:cs="Tahoma"/>
          <w:b w:val="0"/>
          <w:color w:val="64748B"/>
          <w:sz w:val="24"/>
        </w:rPr>
        <w:t>وثيقة موجّهة لصنّاع القرار، الشركاء، والمستثمرين</w:t>
        <w:br/>
        <w:t>تشرح الفكرة، المستخدمون، والمواصفات التشغيلية — دون تفاصيل تقنية</w:t>
      </w:r>
    </w:p>
    <w:p>
      <w:pPr>
        <w:bidi w:val="1"/>
        <w:spacing w:after="120" w:line="324" w:lineRule="auto"/>
        <w:jc w:val="right"/>
      </w:pPr>
      <w:r>
        <w:rPr>
          <w:rFonts w:ascii="Tahoma" w:hAnsi="Tahoma" w:cs="Tahoma"/>
          <w:b w:val="0"/>
          <w:color w:val="64748B"/>
          <w:sz w:val="22"/>
        </w:rPr>
        <w:t>تاريخ الإصدار: 2026/05/16</w:t>
      </w:r>
    </w:p>
    <w:p>
      <w:r>
        <w:br w:type="page"/>
      </w:r>
    </w:p>
    <w:p>
      <w:pPr>
        <w:bidi w:val="1"/>
        <w:spacing w:after="200" w:line="324" w:lineRule="auto" w:before="120"/>
        <w:jc w:val="right"/>
      </w:pPr>
      <w:r>
        <w:rPr>
          <w:rFonts w:ascii="Traditional Arabic" w:hAnsi="Traditional Arabic" w:cs="Traditional Arabic"/>
          <w:b/>
          <w:color w:val="1E3A8A"/>
          <w:sz w:val="44"/>
        </w:rPr>
        <w:t>١. الملخص التنفيذي</w:t>
      </w:r>
    </w:p>
    <w:p>
      <w:pPr>
        <w:bidi w:val="1"/>
        <w:spacing w:after="120" w:line="324" w:lineRule="auto"/>
        <w:jc w:val="right"/>
      </w:pPr>
      <w:r>
        <w:rPr>
          <w:rFonts w:ascii="Tahoma" w:hAnsi="Tahoma" w:cs="Tahoma"/>
          <w:b w:val="0"/>
          <w:sz w:val="24"/>
        </w:rPr>
        <w:t>Mindlytics منصة تعليمية عربية متكاملة تجمع بين التعلّم الرقمي والحضوري في مجال البرمجة والذكاء الاصطناعي وعلوم البيانات. لا تقتصر على بيع الدورات فقط، بل تبني مساراً كاملاً من التعلّم إلى إثبات المهارة (شهادات، مشاريع، بورتفوليو) ثم الربط بسوق العمل والمجتمع التقني.</w:t>
      </w:r>
    </w:p>
    <w:p>
      <w:pPr>
        <w:pStyle w:val="ListBullet"/>
        <w:bidi w:val="1"/>
        <w:spacing w:after="80"/>
        <w:ind w:right="283"/>
        <w:jc w:val="right"/>
      </w:pPr>
      <w:r>
        <w:rPr>
          <w:rFonts w:ascii="Tahoma" w:hAnsi="Tahoma" w:cs="Tahoma"/>
          <w:b w:val="0"/>
          <w:sz w:val="24"/>
        </w:rPr>
        <w:t>تعليم احترافي بمحتوى عربي عالي الجودة من خبراء المجال.</w:t>
      </w:r>
    </w:p>
    <w:p>
      <w:pPr>
        <w:pStyle w:val="ListBullet"/>
        <w:bidi w:val="1"/>
        <w:spacing w:after="80"/>
        <w:ind w:right="283"/>
        <w:jc w:val="right"/>
      </w:pPr>
      <w:r>
        <w:rPr>
          <w:rFonts w:ascii="Tahoma" w:hAnsi="Tahoma" w:cs="Tahoma"/>
          <w:b w:val="0"/>
          <w:sz w:val="24"/>
        </w:rPr>
        <w:t>مسارات تعليمية منظمة تربط المهارات باحتياجات السوق.</w:t>
      </w:r>
    </w:p>
    <w:p>
      <w:pPr>
        <w:pStyle w:val="ListBullet"/>
        <w:bidi w:val="1"/>
        <w:spacing w:after="80"/>
        <w:ind w:right="283"/>
        <w:jc w:val="right"/>
      </w:pPr>
      <w:r>
        <w:rPr>
          <w:rFonts w:ascii="Tahoma" w:hAnsi="Tahoma" w:cs="Tahoma"/>
          <w:b w:val="0"/>
          <w:sz w:val="24"/>
        </w:rPr>
        <w:t>شهادات وإنجازات موثّقة تعزز مصداقية المتعلّم.</w:t>
      </w:r>
    </w:p>
    <w:p>
      <w:pPr>
        <w:pStyle w:val="ListBullet"/>
        <w:bidi w:val="1"/>
        <w:spacing w:after="80"/>
        <w:ind w:right="283"/>
        <w:jc w:val="right"/>
      </w:pPr>
      <w:r>
        <w:rPr>
          <w:rFonts w:ascii="Tahoma" w:hAnsi="Tahoma" w:cs="Tahoma"/>
          <w:b w:val="0"/>
          <w:sz w:val="24"/>
        </w:rPr>
        <w:t>معرض أعمال يربط الطلاب بالشركات الباحثة عن المواهب.</w:t>
      </w:r>
    </w:p>
    <w:p>
      <w:pPr>
        <w:pStyle w:val="ListBullet"/>
        <w:bidi w:val="1"/>
        <w:spacing w:after="80"/>
        <w:ind w:right="283"/>
        <w:jc w:val="right"/>
      </w:pPr>
      <w:r>
        <w:rPr>
          <w:rFonts w:ascii="Tahoma" w:hAnsi="Tahoma" w:cs="Tahoma"/>
          <w:b w:val="0"/>
          <w:sz w:val="24"/>
        </w:rPr>
        <w:t>مجتمع للبيانات والذكاء الاصطناعي (مسابقات، مجموعات بيانات، نقاشات).</w:t>
      </w:r>
    </w:p>
    <w:p>
      <w:pPr>
        <w:pStyle w:val="ListBullet"/>
        <w:bidi w:val="1"/>
        <w:spacing w:after="80"/>
        <w:ind w:right="283"/>
        <w:jc w:val="right"/>
      </w:pPr>
      <w:r>
        <w:rPr>
          <w:rFonts w:ascii="Tahoma" w:hAnsi="Tahoma" w:cs="Tahoma"/>
          <w:b w:val="0"/>
          <w:sz w:val="24"/>
        </w:rPr>
        <w:t>إدارة مؤسسية شاملة: مبيعات، محاسبة، موارد بشرية، وتسويق.</w:t>
      </w:r>
    </w:p>
    <w:p>
      <w:pPr>
        <w:bidi w:val="1"/>
        <w:spacing w:after="200" w:line="324" w:lineRule="auto" w:before="120"/>
        <w:jc w:val="right"/>
      </w:pPr>
      <w:r>
        <w:rPr>
          <w:rFonts w:ascii="Traditional Arabic" w:hAnsi="Traditional Arabic" w:cs="Traditional Arabic"/>
          <w:b/>
          <w:color w:val="1E3A8A"/>
          <w:sz w:val="44"/>
        </w:rPr>
        <w:t>٢. الرؤية والرسالة</w:t>
      </w:r>
    </w:p>
    <w:p>
      <w:pPr>
        <w:bidi w:val="1"/>
        <w:spacing w:after="160" w:line="324" w:lineRule="auto"/>
        <w:jc w:val="right"/>
      </w:pPr>
      <w:r>
        <w:rPr>
          <w:rFonts w:ascii="Arabic Typesetting" w:hAnsi="Arabic Typesetting" w:cs="Arabic Typesetting"/>
          <w:b/>
          <w:color w:val="037BA8"/>
          <w:sz w:val="34"/>
        </w:rPr>
        <w:t>الرؤية</w:t>
      </w:r>
    </w:p>
    <w:p>
      <w:pPr>
        <w:bidi w:val="1"/>
        <w:spacing w:after="120" w:line="324" w:lineRule="auto"/>
        <w:jc w:val="right"/>
      </w:pPr>
      <w:r>
        <w:rPr>
          <w:rFonts w:ascii="Tahoma" w:hAnsi="Tahoma" w:cs="Tahoma"/>
          <w:b w:val="0"/>
          <w:sz w:val="24"/>
        </w:rPr>
        <w:t>أن تكون المنصة المرجع العربي الأول لبناء جيل من المطورين ومتخصصي الذكاء الاصطناعي القادرين على المنافسة محلياً وعالمياً.</w:t>
      </w:r>
    </w:p>
    <w:p>
      <w:pPr>
        <w:bidi w:val="1"/>
        <w:spacing w:after="160" w:line="324" w:lineRule="auto"/>
        <w:jc w:val="right"/>
      </w:pPr>
      <w:r>
        <w:rPr>
          <w:rFonts w:ascii="Arabic Typesetting" w:hAnsi="Arabic Typesetting" w:cs="Arabic Typesetting"/>
          <w:b/>
          <w:color w:val="037BA8"/>
          <w:sz w:val="34"/>
        </w:rPr>
        <w:t>الرسالة</w:t>
      </w:r>
    </w:p>
    <w:p>
      <w:pPr>
        <w:bidi w:val="1"/>
        <w:spacing w:after="120" w:line="324" w:lineRule="auto"/>
        <w:jc w:val="right"/>
      </w:pPr>
      <w:r>
        <w:rPr>
          <w:rFonts w:ascii="Tahoma" w:hAnsi="Tahoma" w:cs="Tahoma"/>
          <w:b w:val="0"/>
          <w:sz w:val="24"/>
        </w:rPr>
        <w:t>تمكين المتعلمين العرب من الصفر إلى الاحتراف عبر تجربة تعليمية متكاملة، مدعومة بمجتمع نشط، وأدوات إدارية تضمن جودة التشغيل واستدامة النمو.</w:t>
      </w:r>
    </w:p>
    <w:p>
      <w:pPr>
        <w:bidi w:val="1"/>
        <w:spacing w:after="160" w:line="324" w:lineRule="auto"/>
        <w:jc w:val="right"/>
      </w:pPr>
      <w:r>
        <w:rPr>
          <w:rFonts w:ascii="Arabic Typesetting" w:hAnsi="Arabic Typesetting" w:cs="Arabic Typesetting"/>
          <w:b/>
          <w:color w:val="037BA8"/>
          <w:sz w:val="34"/>
        </w:rPr>
        <w:t>القيمة المقترحة</w:t>
      </w:r>
    </w:p>
    <w:p>
      <w:pPr>
        <w:pStyle w:val="ListBullet"/>
        <w:bidi w:val="1"/>
        <w:spacing w:after="80"/>
        <w:ind w:right="283"/>
        <w:jc w:val="right"/>
      </w:pPr>
      <w:r>
        <w:rPr>
          <w:rFonts w:ascii="Tahoma" w:hAnsi="Tahoma" w:cs="Tahoma"/>
          <w:b w:val="0"/>
          <w:sz w:val="24"/>
        </w:rPr>
        <w:t>للطالب: مسار واضح + دعم + فرص عمل.</w:t>
      </w:r>
    </w:p>
    <w:p>
      <w:pPr>
        <w:pStyle w:val="ListBullet"/>
        <w:bidi w:val="1"/>
        <w:spacing w:after="80"/>
        <w:ind w:right="283"/>
        <w:jc w:val="right"/>
      </w:pPr>
      <w:r>
        <w:rPr>
          <w:rFonts w:ascii="Tahoma" w:hAnsi="Tahoma" w:cs="Tahoma"/>
          <w:b w:val="0"/>
          <w:sz w:val="24"/>
        </w:rPr>
        <w:t>للمدرب: أدوات تدريس وتتبع دون تعقيد إداري.</w:t>
      </w:r>
    </w:p>
    <w:p>
      <w:pPr>
        <w:pStyle w:val="ListBullet"/>
        <w:bidi w:val="1"/>
        <w:spacing w:after="80"/>
        <w:ind w:right="283"/>
        <w:jc w:val="right"/>
      </w:pPr>
      <w:r>
        <w:rPr>
          <w:rFonts w:ascii="Tahoma" w:hAnsi="Tahoma" w:cs="Tahoma"/>
          <w:b w:val="0"/>
          <w:sz w:val="24"/>
        </w:rPr>
        <w:t>للإدارة: رؤية مالية وتشغيلية في لوحة واحدة.</w:t>
      </w:r>
    </w:p>
    <w:p>
      <w:pPr>
        <w:pStyle w:val="ListBullet"/>
        <w:bidi w:val="1"/>
        <w:spacing w:after="80"/>
        <w:ind w:right="283"/>
        <w:jc w:val="right"/>
      </w:pPr>
      <w:r>
        <w:rPr>
          <w:rFonts w:ascii="Tahoma" w:hAnsi="Tahoma" w:cs="Tahoma"/>
          <w:b w:val="0"/>
          <w:sz w:val="24"/>
        </w:rPr>
        <w:t>للسوق: قناة موثوقة لاكتشاف المواهب التقنية.</w:t>
      </w:r>
    </w:p>
    <w:p>
      <w:pPr>
        <w:bidi w:val="1"/>
        <w:spacing w:after="200" w:line="324" w:lineRule="auto" w:before="120"/>
        <w:jc w:val="right"/>
      </w:pPr>
      <w:r>
        <w:rPr>
          <w:rFonts w:ascii="Traditional Arabic" w:hAnsi="Traditional Arabic" w:cs="Traditional Arabic"/>
          <w:b/>
          <w:color w:val="1E3A8A"/>
          <w:sz w:val="44"/>
        </w:rPr>
        <w:t>٣. الفئة المستهدفة</w:t>
      </w:r>
    </w:p>
    <w:p>
      <w:pPr>
        <w:pStyle w:val="ListBullet"/>
        <w:bidi w:val="1"/>
        <w:spacing w:after="80"/>
        <w:ind w:right="283"/>
        <w:jc w:val="right"/>
      </w:pPr>
      <w:r>
        <w:rPr>
          <w:rFonts w:ascii="Tahoma" w:hAnsi="Tahoma" w:cs="Tahoma"/>
          <w:b w:val="0"/>
          <w:sz w:val="24"/>
        </w:rPr>
        <w:t>المبتدئون الراغبون في دخول مجال البرمجة والذكاء الاصطناعي.</w:t>
      </w:r>
    </w:p>
    <w:p>
      <w:pPr>
        <w:pStyle w:val="ListBullet"/>
        <w:bidi w:val="1"/>
        <w:spacing w:after="80"/>
        <w:ind w:right="283"/>
        <w:jc w:val="right"/>
      </w:pPr>
      <w:r>
        <w:rPr>
          <w:rFonts w:ascii="Tahoma" w:hAnsi="Tahoma" w:cs="Tahoma"/>
          <w:b w:val="0"/>
          <w:sz w:val="24"/>
        </w:rPr>
        <w:t>الطلاب والخريجون الذين يبحثون عن مسار مهني عملي.</w:t>
      </w:r>
    </w:p>
    <w:p>
      <w:pPr>
        <w:pStyle w:val="ListBullet"/>
        <w:bidi w:val="1"/>
        <w:spacing w:after="80"/>
        <w:ind w:right="283"/>
        <w:jc w:val="right"/>
      </w:pPr>
      <w:r>
        <w:rPr>
          <w:rFonts w:ascii="Tahoma" w:hAnsi="Tahoma" w:cs="Tahoma"/>
          <w:b w:val="0"/>
          <w:sz w:val="24"/>
        </w:rPr>
        <w:t>المهنيون الراغبون في تطوير مهاراتهم أو الحصول على شهادات.</w:t>
      </w:r>
    </w:p>
    <w:p>
      <w:pPr>
        <w:pStyle w:val="ListBullet"/>
        <w:bidi w:val="1"/>
        <w:spacing w:after="80"/>
        <w:ind w:right="283"/>
        <w:jc w:val="right"/>
      </w:pPr>
      <w:r>
        <w:rPr>
          <w:rFonts w:ascii="Tahoma" w:hAnsi="Tahoma" w:cs="Tahoma"/>
          <w:b w:val="0"/>
          <w:sz w:val="24"/>
        </w:rPr>
        <w:t>الشركات التي تبحث عن مطورين ومحللي بيانات.</w:t>
      </w:r>
    </w:p>
    <w:p>
      <w:pPr>
        <w:pStyle w:val="ListBullet"/>
        <w:bidi w:val="1"/>
        <w:spacing w:after="80"/>
        <w:ind w:right="283"/>
        <w:jc w:val="right"/>
      </w:pPr>
      <w:r>
        <w:rPr>
          <w:rFonts w:ascii="Tahoma" w:hAnsi="Tahoma" w:cs="Tahoma"/>
          <w:b w:val="0"/>
          <w:sz w:val="24"/>
        </w:rPr>
        <w:t>المدربون والخبراء الذين يريدون نشر معرفتهم ضمن بنية أكاديمية منظمة.</w:t>
      </w:r>
    </w:p>
    <w:p>
      <w:pPr>
        <w:bidi w:val="1"/>
        <w:spacing w:after="200" w:line="324" w:lineRule="auto" w:before="120"/>
        <w:jc w:val="right"/>
      </w:pPr>
      <w:r>
        <w:rPr>
          <w:rFonts w:ascii="Traditional Arabic" w:hAnsi="Traditional Arabic" w:cs="Traditional Arabic"/>
          <w:b/>
          <w:color w:val="1E3A8A"/>
          <w:sz w:val="44"/>
        </w:rPr>
        <w:t>٤. أنواع المستخدمين في المنصة</w:t>
      </w:r>
    </w:p>
    <w:p>
      <w:pPr>
        <w:bidi w:val="1"/>
        <w:spacing w:after="120" w:line="324" w:lineRule="auto"/>
        <w:jc w:val="right"/>
      </w:pPr>
      <w:r>
        <w:rPr>
          <w:rFonts w:ascii="Tahoma" w:hAnsi="Tahoma" w:cs="Tahoma"/>
          <w:b w:val="0"/>
          <w:sz w:val="24"/>
        </w:rPr>
        <w:t>تعمل Mindlytics بنموذج أدوار واضح: كل مستخدم يرى لوحة وصلاحيات تناسب دوره. الجدول التالي يلخّص الأدوار من منظور أعمال:</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E3A8A"/>
          </w:tcPr>
          <w:p>
            <w:pPr>
              <w:bidi w:val="1"/>
              <w:jc w:val="right"/>
            </w:pPr>
            <w:r>
              <w:rPr>
                <w:rFonts w:ascii="Arabic Typesetting" w:hAnsi="Arabic Typesetting" w:cs="Arabic Typesetting"/>
                <w:b/>
                <w:color w:val="FFFFFF"/>
                <w:sz w:val="22"/>
              </w:rPr>
              <w:t>نوع المستخدم</w:t>
            </w:r>
          </w:p>
        </w:tc>
        <w:tc>
          <w:tcPr>
            <w:tcW w:type="dxa" w:w="3249"/>
            <w:shd w:fill="1E3A8A"/>
          </w:tcPr>
          <w:p>
            <w:pPr>
              <w:bidi w:val="1"/>
              <w:jc w:val="right"/>
            </w:pPr>
            <w:r>
              <w:rPr>
                <w:rFonts w:ascii="Arabic Typesetting" w:hAnsi="Arabic Typesetting" w:cs="Arabic Typesetting"/>
                <w:b/>
                <w:color w:val="FFFFFF"/>
                <w:sz w:val="22"/>
              </w:rPr>
              <w:t>الدور في المنصة</w:t>
            </w:r>
          </w:p>
        </w:tc>
        <w:tc>
          <w:tcPr>
            <w:tcW w:type="dxa" w:w="3249"/>
            <w:shd w:fill="1E3A8A"/>
          </w:tcPr>
          <w:p>
            <w:pPr>
              <w:bidi w:val="1"/>
              <w:jc w:val="right"/>
            </w:pPr>
            <w:r>
              <w:rPr>
                <w:rFonts w:ascii="Arabic Typesetting" w:hAnsi="Arabic Typesetting" w:cs="Arabic Typesetting"/>
                <w:b/>
                <w:color w:val="FFFFFF"/>
                <w:sz w:val="22"/>
              </w:rPr>
              <w:t>أبرز ما يحققه</w:t>
            </w:r>
          </w:p>
        </w:tc>
      </w:tr>
      <w:tr>
        <w:tc>
          <w:tcPr>
            <w:tcW w:type="dxa" w:w="3249"/>
          </w:tcPr>
          <w:p>
            <w:pPr>
              <w:bidi w:val="1"/>
              <w:jc w:val="right"/>
            </w:pPr>
            <w:r>
              <w:rPr>
                <w:rFonts w:ascii="Tahoma" w:hAnsi="Tahoma" w:cs="Tahoma"/>
                <w:b w:val="0"/>
                <w:sz w:val="21"/>
              </w:rPr>
              <w:t>الطالب</w:t>
            </w:r>
          </w:p>
        </w:tc>
        <w:tc>
          <w:tcPr>
            <w:tcW w:type="dxa" w:w="3249"/>
          </w:tcPr>
          <w:p>
            <w:pPr>
              <w:bidi w:val="1"/>
              <w:jc w:val="right"/>
            </w:pPr>
            <w:r>
              <w:rPr>
                <w:rFonts w:ascii="Tahoma" w:hAnsi="Tahoma" w:cs="Tahoma"/>
                <w:b w:val="0"/>
                <w:sz w:val="21"/>
              </w:rPr>
              <w:t>متعلّم ومستفيد من المحتوى</w:t>
            </w:r>
          </w:p>
        </w:tc>
        <w:tc>
          <w:tcPr>
            <w:tcW w:type="dxa" w:w="3249"/>
          </w:tcPr>
          <w:p>
            <w:pPr>
              <w:bidi w:val="1"/>
              <w:jc w:val="right"/>
            </w:pPr>
            <w:r>
              <w:rPr>
                <w:rFonts w:ascii="Tahoma" w:hAnsi="Tahoma" w:cs="Tahoma"/>
                <w:b w:val="0"/>
                <w:sz w:val="21"/>
              </w:rPr>
              <w:t>التسجيل في الكورسات والمسارات، متابعة التقدم، الواجبات والامتحانات، الشهادات، المحفظة، البورتفوليو، والمجتمع.</w:t>
            </w:r>
          </w:p>
        </w:tc>
      </w:tr>
      <w:tr>
        <w:tc>
          <w:tcPr>
            <w:tcW w:type="dxa" w:w="3249"/>
          </w:tcPr>
          <w:p>
            <w:pPr>
              <w:bidi w:val="1"/>
              <w:jc w:val="right"/>
            </w:pPr>
            <w:r>
              <w:rPr>
                <w:rFonts w:ascii="Tahoma" w:hAnsi="Tahoma" w:cs="Tahoma"/>
                <w:b w:val="0"/>
                <w:sz w:val="21"/>
              </w:rPr>
              <w:t>المدرب / المعلّم</w:t>
            </w:r>
          </w:p>
        </w:tc>
        <w:tc>
          <w:tcPr>
            <w:tcW w:type="dxa" w:w="3249"/>
          </w:tcPr>
          <w:p>
            <w:pPr>
              <w:bidi w:val="1"/>
              <w:jc w:val="right"/>
            </w:pPr>
            <w:r>
              <w:rPr>
                <w:rFonts w:ascii="Tahoma" w:hAnsi="Tahoma" w:cs="Tahoma"/>
                <w:b w:val="0"/>
                <w:sz w:val="21"/>
              </w:rPr>
              <w:t>منشئ ومقدّم للتجربة التعليمية</w:t>
            </w:r>
          </w:p>
        </w:tc>
        <w:tc>
          <w:tcPr>
            <w:tcW w:type="dxa" w:w="3249"/>
          </w:tcPr>
          <w:p>
            <w:pPr>
              <w:bidi w:val="1"/>
              <w:jc w:val="right"/>
            </w:pPr>
            <w:r>
              <w:rPr>
                <w:rFonts w:ascii="Tahoma" w:hAnsi="Tahoma" w:cs="Tahoma"/>
                <w:b w:val="0"/>
                <w:sz w:val="21"/>
              </w:rPr>
              <w:t>إدارة الكورسات (أونلاين وأوفلاين)، المحاضرات، المجموعات، الحضور، الواجبات، الامتحانات، وبنوك الأسئلة.</w:t>
            </w:r>
          </w:p>
        </w:tc>
      </w:tr>
      <w:tr>
        <w:tc>
          <w:tcPr>
            <w:tcW w:type="dxa" w:w="3249"/>
          </w:tcPr>
          <w:p>
            <w:pPr>
              <w:bidi w:val="1"/>
              <w:jc w:val="right"/>
            </w:pPr>
            <w:r>
              <w:rPr>
                <w:rFonts w:ascii="Tahoma" w:hAnsi="Tahoma" w:cs="Tahoma"/>
                <w:b w:val="0"/>
                <w:sz w:val="21"/>
              </w:rPr>
              <w:t>الإداري</w:t>
            </w:r>
          </w:p>
        </w:tc>
        <w:tc>
          <w:tcPr>
            <w:tcW w:type="dxa" w:w="3249"/>
          </w:tcPr>
          <w:p>
            <w:pPr>
              <w:bidi w:val="1"/>
              <w:jc w:val="right"/>
            </w:pPr>
            <w:r>
              <w:rPr>
                <w:rFonts w:ascii="Tahoma" w:hAnsi="Tahoma" w:cs="Tahoma"/>
                <w:b w:val="0"/>
                <w:sz w:val="21"/>
              </w:rPr>
              <w:t>تشغيل يومي للأكاديمية</w:t>
            </w:r>
          </w:p>
        </w:tc>
        <w:tc>
          <w:tcPr>
            <w:tcW w:type="dxa" w:w="3249"/>
          </w:tcPr>
          <w:p>
            <w:pPr>
              <w:bidi w:val="1"/>
              <w:jc w:val="right"/>
            </w:pPr>
            <w:r>
              <w:rPr>
                <w:rFonts w:ascii="Tahoma" w:hAnsi="Tahoma" w:cs="Tahoma"/>
                <w:b w:val="0"/>
                <w:sz w:val="21"/>
              </w:rPr>
              <w:t>إدارة المستخدمين والطلبات، المحتوى، التسجيلات، المبيعات، المحاسبة، التسويق، والجودة.</w:t>
            </w:r>
          </w:p>
        </w:tc>
      </w:tr>
      <w:tr>
        <w:tc>
          <w:tcPr>
            <w:tcW w:type="dxa" w:w="3249"/>
          </w:tcPr>
          <w:p>
            <w:pPr>
              <w:bidi w:val="1"/>
              <w:jc w:val="right"/>
            </w:pPr>
            <w:r>
              <w:rPr>
                <w:rFonts w:ascii="Tahoma" w:hAnsi="Tahoma" w:cs="Tahoma"/>
                <w:b w:val="0"/>
                <w:sz w:val="21"/>
              </w:rPr>
              <w:t>المدير الأعلى (Super Admin)</w:t>
            </w:r>
          </w:p>
        </w:tc>
        <w:tc>
          <w:tcPr>
            <w:tcW w:type="dxa" w:w="3249"/>
          </w:tcPr>
          <w:p>
            <w:pPr>
              <w:bidi w:val="1"/>
              <w:jc w:val="right"/>
            </w:pPr>
            <w:r>
              <w:rPr>
                <w:rFonts w:ascii="Tahoma" w:hAnsi="Tahoma" w:cs="Tahoma"/>
                <w:b w:val="0"/>
                <w:sz w:val="21"/>
              </w:rPr>
              <w:t>حوكمة شاملة</w:t>
            </w:r>
          </w:p>
        </w:tc>
        <w:tc>
          <w:tcPr>
            <w:tcW w:type="dxa" w:w="3249"/>
          </w:tcPr>
          <w:p>
            <w:pPr>
              <w:bidi w:val="1"/>
              <w:jc w:val="right"/>
            </w:pPr>
            <w:r>
              <w:rPr>
                <w:rFonts w:ascii="Tahoma" w:hAnsi="Tahoma" w:cs="Tahoma"/>
                <w:b w:val="0"/>
                <w:sz w:val="21"/>
              </w:rPr>
              <w:t>صلاحيات موسعة تشمل مجتمع الذكاء الاصطناعي، الأدوار والصلاحيات، وإعدادات النظام الحساسة.</w:t>
            </w:r>
          </w:p>
        </w:tc>
      </w:tr>
      <w:tr>
        <w:tc>
          <w:tcPr>
            <w:tcW w:type="dxa" w:w="3249"/>
          </w:tcPr>
          <w:p>
            <w:pPr>
              <w:bidi w:val="1"/>
              <w:jc w:val="right"/>
            </w:pPr>
            <w:r>
              <w:rPr>
                <w:rFonts w:ascii="Tahoma" w:hAnsi="Tahoma" w:cs="Tahoma"/>
                <w:b w:val="0"/>
                <w:sz w:val="21"/>
              </w:rPr>
              <w:t>موظف المبيعات</w:t>
            </w:r>
          </w:p>
        </w:tc>
        <w:tc>
          <w:tcPr>
            <w:tcW w:type="dxa" w:w="3249"/>
          </w:tcPr>
          <w:p>
            <w:pPr>
              <w:bidi w:val="1"/>
              <w:jc w:val="right"/>
            </w:pPr>
            <w:r>
              <w:rPr>
                <w:rFonts w:ascii="Tahoma" w:hAnsi="Tahoma" w:cs="Tahoma"/>
                <w:b w:val="0"/>
                <w:sz w:val="21"/>
              </w:rPr>
              <w:t>نمو الإيرادات وعلاقة العملاء</w:t>
            </w:r>
          </w:p>
        </w:tc>
        <w:tc>
          <w:tcPr>
            <w:tcW w:type="dxa" w:w="3249"/>
          </w:tcPr>
          <w:p>
            <w:pPr>
              <w:bidi w:val="1"/>
              <w:jc w:val="right"/>
            </w:pPr>
            <w:r>
              <w:rPr>
                <w:rFonts w:ascii="Tahoma" w:hAnsi="Tahoma" w:cs="Tahoma"/>
                <w:b w:val="0"/>
                <w:sz w:val="21"/>
              </w:rPr>
              <w:t>متابعة العملاء المحتملين، الأنشطة، رضا العملاء، ومؤشرات الأداء الشخصية.</w:t>
            </w:r>
          </w:p>
        </w:tc>
      </w:tr>
      <w:tr>
        <w:tc>
          <w:tcPr>
            <w:tcW w:type="dxa" w:w="3249"/>
          </w:tcPr>
          <w:p>
            <w:pPr>
              <w:bidi w:val="1"/>
              <w:jc w:val="right"/>
            </w:pPr>
            <w:r>
              <w:rPr>
                <w:rFonts w:ascii="Tahoma" w:hAnsi="Tahoma" w:cs="Tahoma"/>
                <w:b w:val="0"/>
                <w:sz w:val="21"/>
              </w:rPr>
              <w:t>موظف التسويق / المشرف (Moderator)</w:t>
            </w:r>
          </w:p>
        </w:tc>
        <w:tc>
          <w:tcPr>
            <w:tcW w:type="dxa" w:w="3249"/>
          </w:tcPr>
          <w:p>
            <w:pPr>
              <w:bidi w:val="1"/>
              <w:jc w:val="right"/>
            </w:pPr>
            <w:r>
              <w:rPr>
                <w:rFonts w:ascii="Tahoma" w:hAnsi="Tahoma" w:cs="Tahoma"/>
                <w:b w:val="0"/>
                <w:sz w:val="21"/>
              </w:rPr>
              <w:t>حضور رقمي ومحتوى بصري</w:t>
            </w:r>
          </w:p>
        </w:tc>
        <w:tc>
          <w:tcPr>
            <w:tcW w:type="dxa" w:w="3249"/>
          </w:tcPr>
          <w:p>
            <w:pPr>
              <w:bidi w:val="1"/>
              <w:jc w:val="right"/>
            </w:pPr>
            <w:r>
              <w:rPr>
                <w:rFonts w:ascii="Tahoma" w:hAnsi="Tahoma" w:cs="Tahoma"/>
                <w:b w:val="0"/>
                <w:sz w:val="21"/>
              </w:rPr>
              <w:t>خطط التسويق عبر المنصات، دورات التصميم، وتسليم المخرجات الإبداعية.</w:t>
            </w:r>
          </w:p>
        </w:tc>
      </w:tr>
      <w:tr>
        <w:tc>
          <w:tcPr>
            <w:tcW w:type="dxa" w:w="3249"/>
          </w:tcPr>
          <w:p>
            <w:pPr>
              <w:bidi w:val="1"/>
              <w:jc w:val="right"/>
            </w:pPr>
            <w:r>
              <w:rPr>
                <w:rFonts w:ascii="Tahoma" w:hAnsi="Tahoma" w:cs="Tahoma"/>
                <w:b w:val="0"/>
                <w:sz w:val="21"/>
              </w:rPr>
              <w:t>موظف عام (فريق داخلي)</w:t>
            </w:r>
          </w:p>
        </w:tc>
        <w:tc>
          <w:tcPr>
            <w:tcW w:type="dxa" w:w="3249"/>
          </w:tcPr>
          <w:p>
            <w:pPr>
              <w:bidi w:val="1"/>
              <w:jc w:val="right"/>
            </w:pPr>
            <w:r>
              <w:rPr>
                <w:rFonts w:ascii="Tahoma" w:hAnsi="Tahoma" w:cs="Tahoma"/>
                <w:b w:val="0"/>
                <w:sz w:val="21"/>
              </w:rPr>
              <w:t>تنفيذ عمليات الأكاديمية</w:t>
            </w:r>
          </w:p>
        </w:tc>
        <w:tc>
          <w:tcPr>
            <w:tcW w:type="dxa" w:w="3249"/>
          </w:tcPr>
          <w:p>
            <w:pPr>
              <w:bidi w:val="1"/>
              <w:jc w:val="right"/>
            </w:pPr>
            <w:r>
              <w:rPr>
                <w:rFonts w:ascii="Tahoma" w:hAnsi="Tahoma" w:cs="Tahoma"/>
                <w:b w:val="0"/>
                <w:sz w:val="21"/>
              </w:rPr>
              <w:t>المهام الموكلة، الإجازات، الراتب والاتفاقيات، التقويم، والتقارير.</w:t>
            </w:r>
          </w:p>
        </w:tc>
      </w:tr>
      <w:tr>
        <w:tc>
          <w:tcPr>
            <w:tcW w:type="dxa" w:w="3249"/>
          </w:tcPr>
          <w:p>
            <w:pPr>
              <w:bidi w:val="1"/>
              <w:jc w:val="right"/>
            </w:pPr>
            <w:r>
              <w:rPr>
                <w:rFonts w:ascii="Tahoma" w:hAnsi="Tahoma" w:cs="Tahoma"/>
                <w:b w:val="0"/>
                <w:sz w:val="21"/>
              </w:rPr>
              <w:t>الزائر / العميل المحتمل</w:t>
            </w:r>
          </w:p>
        </w:tc>
        <w:tc>
          <w:tcPr>
            <w:tcW w:type="dxa" w:w="3249"/>
          </w:tcPr>
          <w:p>
            <w:pPr>
              <w:bidi w:val="1"/>
              <w:jc w:val="right"/>
            </w:pPr>
            <w:r>
              <w:rPr>
                <w:rFonts w:ascii="Tahoma" w:hAnsi="Tahoma" w:cs="Tahoma"/>
                <w:b w:val="0"/>
                <w:sz w:val="21"/>
              </w:rPr>
              <w:t>اكتشاف العلامة قبل الاشتراك</w:t>
            </w:r>
          </w:p>
        </w:tc>
        <w:tc>
          <w:tcPr>
            <w:tcW w:type="dxa" w:w="3249"/>
          </w:tcPr>
          <w:p>
            <w:pPr>
              <w:bidi w:val="1"/>
              <w:jc w:val="right"/>
            </w:pPr>
            <w:r>
              <w:rPr>
                <w:rFonts w:ascii="Tahoma" w:hAnsi="Tahoma" w:cs="Tahoma"/>
                <w:b w:val="0"/>
                <w:sz w:val="21"/>
              </w:rPr>
              <w:t>تصفح الكورسات والمسارات، التسجيل، الدفع، ومعرض الأعمال العام.</w:t>
            </w:r>
          </w:p>
        </w:tc>
      </w:tr>
      <w:tr>
        <w:tc>
          <w:tcPr>
            <w:tcW w:type="dxa" w:w="3249"/>
          </w:tcPr>
          <w:p>
            <w:pPr>
              <w:bidi w:val="1"/>
              <w:jc w:val="right"/>
            </w:pPr>
            <w:r>
              <w:rPr>
                <w:rFonts w:ascii="Tahoma" w:hAnsi="Tahoma" w:cs="Tahoma"/>
                <w:b w:val="0"/>
                <w:sz w:val="21"/>
              </w:rPr>
              <w:t>الشركات (عبر البورتفوليو)</w:t>
            </w:r>
          </w:p>
        </w:tc>
        <w:tc>
          <w:tcPr>
            <w:tcW w:type="dxa" w:w="3249"/>
          </w:tcPr>
          <w:p>
            <w:pPr>
              <w:bidi w:val="1"/>
              <w:jc w:val="right"/>
            </w:pPr>
            <w:r>
              <w:rPr>
                <w:rFonts w:ascii="Tahoma" w:hAnsi="Tahoma" w:cs="Tahoma"/>
                <w:b w:val="0"/>
                <w:sz w:val="21"/>
              </w:rPr>
              <w:t>توظيف واكتشاف المواهب</w:t>
            </w:r>
          </w:p>
        </w:tc>
        <w:tc>
          <w:tcPr>
            <w:tcW w:type="dxa" w:w="3249"/>
          </w:tcPr>
          <w:p>
            <w:pPr>
              <w:bidi w:val="1"/>
              <w:jc w:val="right"/>
            </w:pPr>
            <w:r>
              <w:rPr>
                <w:rFonts w:ascii="Tahoma" w:hAnsi="Tahoma" w:cs="Tahoma"/>
                <w:b w:val="0"/>
                <w:sz w:val="21"/>
              </w:rPr>
              <w:t>استعراض مشاريع الطلاب والتواصل مع الموهوبين الجاهزين لسوق العمل.</w:t>
            </w:r>
          </w:p>
        </w:tc>
      </w:tr>
    </w:tbl>
    <w:p/>
    <w:p>
      <w:pPr>
        <w:bidi w:val="1"/>
        <w:spacing w:after="200" w:line="324" w:lineRule="auto" w:before="120"/>
        <w:jc w:val="right"/>
      </w:pPr>
      <w:r>
        <w:rPr>
          <w:rFonts w:ascii="Traditional Arabic" w:hAnsi="Traditional Arabic" w:cs="Traditional Arabic"/>
          <w:b/>
          <w:color w:val="1E3A8A"/>
          <w:sz w:val="44"/>
        </w:rPr>
        <w:t>٥. تجربة الطالب</w:t>
      </w:r>
    </w:p>
    <w:p>
      <w:pPr>
        <w:bidi w:val="1"/>
        <w:spacing w:after="160" w:line="324" w:lineRule="auto"/>
        <w:jc w:val="right"/>
      </w:pPr>
      <w:r>
        <w:rPr>
          <w:rFonts w:ascii="Arabic Typesetting" w:hAnsi="Arabic Typesetting" w:cs="Arabic Typesetting"/>
          <w:b/>
          <w:color w:val="037BA8"/>
          <w:sz w:val="34"/>
        </w:rPr>
        <w:t>اكتشاف التعلّم والتسجيل</w:t>
      </w:r>
    </w:p>
    <w:p>
      <w:pPr>
        <w:pStyle w:val="ListBullet"/>
        <w:bidi w:val="1"/>
        <w:spacing w:after="80"/>
        <w:ind w:right="283"/>
        <w:jc w:val="right"/>
      </w:pPr>
      <w:r>
        <w:rPr>
          <w:rFonts w:ascii="Tahoma" w:hAnsi="Tahoma" w:cs="Tahoma"/>
          <w:b w:val="0"/>
          <w:sz w:val="24"/>
        </w:rPr>
        <w:t>تصفح الكورسات والمسارات التعليمية من الواجهة العامة.</w:t>
      </w:r>
    </w:p>
    <w:p>
      <w:pPr>
        <w:pStyle w:val="ListBullet"/>
        <w:bidi w:val="1"/>
        <w:spacing w:after="80"/>
        <w:ind w:right="283"/>
        <w:jc w:val="right"/>
      </w:pPr>
      <w:r>
        <w:rPr>
          <w:rFonts w:ascii="Tahoma" w:hAnsi="Tahoma" w:cs="Tahoma"/>
          <w:b w:val="0"/>
          <w:sz w:val="24"/>
        </w:rPr>
        <w:t>التسجيل في كورسات مسجّلة (أونلاين) أو برامج حضورية (أوفلاين).</w:t>
      </w:r>
    </w:p>
    <w:p>
      <w:pPr>
        <w:pStyle w:val="ListBullet"/>
        <w:bidi w:val="1"/>
        <w:spacing w:after="80"/>
        <w:ind w:right="283"/>
        <w:jc w:val="right"/>
      </w:pPr>
      <w:r>
        <w:rPr>
          <w:rFonts w:ascii="Tahoma" w:hAnsi="Tahoma" w:cs="Tahoma"/>
          <w:b w:val="0"/>
          <w:sz w:val="24"/>
        </w:rPr>
        <w:t>الاشتراك في مسارات تعليمية متكاملة تجمع عدة مهارات.</w:t>
      </w:r>
    </w:p>
    <w:p>
      <w:pPr>
        <w:pStyle w:val="ListBullet"/>
        <w:bidi w:val="1"/>
        <w:spacing w:after="80"/>
        <w:ind w:right="283"/>
        <w:jc w:val="right"/>
      </w:pPr>
      <w:r>
        <w:rPr>
          <w:rFonts w:ascii="Tahoma" w:hAnsi="Tahoma" w:cs="Tahoma"/>
          <w:b w:val="0"/>
          <w:sz w:val="24"/>
        </w:rPr>
        <w:t>متابعة الطلبات والفواتير والمحفظة المالية.</w:t>
      </w:r>
    </w:p>
    <w:p>
      <w:pPr>
        <w:pStyle w:val="ListBullet"/>
        <w:bidi w:val="1"/>
        <w:spacing w:after="80"/>
        <w:ind w:right="283"/>
        <w:jc w:val="right"/>
      </w:pPr>
      <w:r>
        <w:rPr>
          <w:rFonts w:ascii="Tahoma" w:hAnsi="Tahoma" w:cs="Tahoma"/>
          <w:b w:val="0"/>
          <w:sz w:val="24"/>
        </w:rPr>
        <w:t>خيارات الدفع والتقسيط حسب سياسة الأكاديمية.</w:t>
      </w:r>
    </w:p>
    <w:p>
      <w:pPr>
        <w:bidi w:val="1"/>
        <w:spacing w:after="160" w:line="324" w:lineRule="auto"/>
        <w:jc w:val="right"/>
      </w:pPr>
      <w:r>
        <w:rPr>
          <w:rFonts w:ascii="Arabic Typesetting" w:hAnsi="Arabic Typesetting" w:cs="Arabic Typesetting"/>
          <w:b/>
          <w:color w:val="037BA8"/>
          <w:sz w:val="34"/>
        </w:rPr>
        <w:t>أثناء التعلّم</w:t>
      </w:r>
    </w:p>
    <w:p>
      <w:pPr>
        <w:pStyle w:val="ListBullet"/>
        <w:bidi w:val="1"/>
        <w:spacing w:after="80"/>
        <w:ind w:right="283"/>
        <w:jc w:val="right"/>
      </w:pPr>
      <w:r>
        <w:rPr>
          <w:rFonts w:ascii="Tahoma" w:hAnsi="Tahoma" w:cs="Tahoma"/>
          <w:b w:val="0"/>
          <w:sz w:val="24"/>
        </w:rPr>
        <w:t>لوحة تحكم تعرض التقدم وعدد الكورسات النشطة.</w:t>
      </w:r>
    </w:p>
    <w:p>
      <w:pPr>
        <w:pStyle w:val="ListBullet"/>
        <w:bidi w:val="1"/>
        <w:spacing w:after="80"/>
        <w:ind w:right="283"/>
        <w:jc w:val="right"/>
      </w:pPr>
      <w:r>
        <w:rPr>
          <w:rFonts w:ascii="Tahoma" w:hAnsi="Tahoma" w:cs="Tahoma"/>
          <w:b w:val="0"/>
          <w:sz w:val="24"/>
        </w:rPr>
        <w:t>مشاهدة المحاضرات والدروس ضمن بيئة تعلّم موحّدة.</w:t>
      </w:r>
    </w:p>
    <w:p>
      <w:pPr>
        <w:pStyle w:val="ListBullet"/>
        <w:bidi w:val="1"/>
        <w:spacing w:after="80"/>
        <w:ind w:right="283"/>
        <w:jc w:val="right"/>
      </w:pPr>
      <w:r>
        <w:rPr>
          <w:rFonts w:ascii="Tahoma" w:hAnsi="Tahoma" w:cs="Tahoma"/>
          <w:b w:val="0"/>
          <w:sz w:val="24"/>
        </w:rPr>
        <w:t>كورسات أونلاين منفصلة عن الأوفلاين مع بوابة مخصصة عند التفعيل.</w:t>
      </w:r>
    </w:p>
    <w:p>
      <w:pPr>
        <w:pStyle w:val="ListBullet"/>
        <w:bidi w:val="1"/>
        <w:spacing w:after="80"/>
        <w:ind w:right="283"/>
        <w:jc w:val="right"/>
      </w:pPr>
      <w:r>
        <w:rPr>
          <w:rFonts w:ascii="Tahoma" w:hAnsi="Tahoma" w:cs="Tahoma"/>
          <w:b w:val="0"/>
          <w:sz w:val="24"/>
        </w:rPr>
        <w:t>مجموعات دراسية ومتابعة الأنشطة الجماعية.</w:t>
      </w:r>
    </w:p>
    <w:p>
      <w:pPr>
        <w:pStyle w:val="ListBullet"/>
        <w:bidi w:val="1"/>
        <w:spacing w:after="80"/>
        <w:ind w:right="283"/>
        <w:jc w:val="right"/>
      </w:pPr>
      <w:r>
        <w:rPr>
          <w:rFonts w:ascii="Tahoma" w:hAnsi="Tahoma" w:cs="Tahoma"/>
          <w:b w:val="0"/>
          <w:sz w:val="24"/>
        </w:rPr>
        <w:t>واجبات وتسليمات ومشاريع عملية.</w:t>
      </w:r>
    </w:p>
    <w:p>
      <w:pPr>
        <w:pStyle w:val="ListBullet"/>
        <w:bidi w:val="1"/>
        <w:spacing w:after="80"/>
        <w:ind w:right="283"/>
        <w:jc w:val="right"/>
      </w:pPr>
      <w:r>
        <w:rPr>
          <w:rFonts w:ascii="Tahoma" w:hAnsi="Tahoma" w:cs="Tahoma"/>
          <w:b w:val="0"/>
          <w:sz w:val="24"/>
        </w:rPr>
        <w:t>امتحانات وتقييمات مع نتائج واضحة.</w:t>
      </w:r>
    </w:p>
    <w:p>
      <w:pPr>
        <w:pStyle w:val="ListBullet"/>
        <w:bidi w:val="1"/>
        <w:spacing w:after="80"/>
        <w:ind w:right="283"/>
        <w:jc w:val="right"/>
      </w:pPr>
      <w:r>
        <w:rPr>
          <w:rFonts w:ascii="Tahoma" w:hAnsi="Tahoma" w:cs="Tahoma"/>
          <w:b w:val="0"/>
          <w:sz w:val="24"/>
        </w:rPr>
        <w:t>تقويم للمحاضرات والامتحانات والمواعيد النهائية.</w:t>
      </w:r>
    </w:p>
    <w:p>
      <w:pPr>
        <w:pStyle w:val="ListBullet"/>
        <w:bidi w:val="1"/>
        <w:spacing w:after="80"/>
        <w:ind w:right="283"/>
        <w:jc w:val="right"/>
      </w:pPr>
      <w:r>
        <w:rPr>
          <w:rFonts w:ascii="Tahoma" w:hAnsi="Tahoma" w:cs="Tahoma"/>
          <w:b w:val="0"/>
          <w:sz w:val="24"/>
        </w:rPr>
        <w:t>إشعارات فورية للأحداث المهمة.</w:t>
      </w:r>
    </w:p>
    <w:p>
      <w:pPr>
        <w:bidi w:val="1"/>
        <w:spacing w:after="160" w:line="324" w:lineRule="auto"/>
        <w:jc w:val="right"/>
      </w:pPr>
      <w:r>
        <w:rPr>
          <w:rFonts w:ascii="Arabic Typesetting" w:hAnsi="Arabic Typesetting" w:cs="Arabic Typesetting"/>
          <w:b/>
          <w:color w:val="037BA8"/>
          <w:sz w:val="34"/>
        </w:rPr>
        <w:t>بعد الإنجاز</w:t>
      </w:r>
    </w:p>
    <w:p>
      <w:pPr>
        <w:pStyle w:val="ListBullet"/>
        <w:bidi w:val="1"/>
        <w:spacing w:after="80"/>
        <w:ind w:right="283"/>
        <w:jc w:val="right"/>
      </w:pPr>
      <w:r>
        <w:rPr>
          <w:rFonts w:ascii="Tahoma" w:hAnsi="Tahoma" w:cs="Tahoma"/>
          <w:b w:val="0"/>
          <w:sz w:val="24"/>
        </w:rPr>
        <w:t>شهادات معتمدة قابلة للتحقق.</w:t>
      </w:r>
    </w:p>
    <w:p>
      <w:pPr>
        <w:pStyle w:val="ListBullet"/>
        <w:bidi w:val="1"/>
        <w:spacing w:after="80"/>
        <w:ind w:right="283"/>
        <w:jc w:val="right"/>
      </w:pPr>
      <w:r>
        <w:rPr>
          <w:rFonts w:ascii="Tahoma" w:hAnsi="Tahoma" w:cs="Tahoma"/>
          <w:b w:val="0"/>
          <w:sz w:val="24"/>
        </w:rPr>
        <w:t>إنجازات وشارات تحفيزية.</w:t>
      </w:r>
    </w:p>
    <w:p>
      <w:pPr>
        <w:pStyle w:val="ListBullet"/>
        <w:bidi w:val="1"/>
        <w:spacing w:after="80"/>
        <w:ind w:right="283"/>
        <w:jc w:val="right"/>
      </w:pPr>
      <w:r>
        <w:rPr>
          <w:rFonts w:ascii="Tahoma" w:hAnsi="Tahoma" w:cs="Tahoma"/>
          <w:b w:val="0"/>
          <w:sz w:val="24"/>
        </w:rPr>
        <w:t>رفع المشاريع إلى معرض الأعمال (البورتفوليو).</w:t>
      </w:r>
    </w:p>
    <w:p>
      <w:pPr>
        <w:pStyle w:val="ListBullet"/>
        <w:bidi w:val="1"/>
        <w:spacing w:after="80"/>
        <w:ind w:right="283"/>
        <w:jc w:val="right"/>
      </w:pPr>
      <w:r>
        <w:rPr>
          <w:rFonts w:ascii="Tahoma" w:hAnsi="Tahoma" w:cs="Tahoma"/>
          <w:b w:val="0"/>
          <w:sz w:val="24"/>
        </w:rPr>
        <w:t>مشاركة الأعمال مع الشركات والزوار.</w:t>
      </w:r>
    </w:p>
    <w:p>
      <w:pPr>
        <w:bidi w:val="1"/>
        <w:spacing w:after="160" w:line="324" w:lineRule="auto"/>
        <w:jc w:val="right"/>
      </w:pPr>
      <w:r>
        <w:rPr>
          <w:rFonts w:ascii="Arabic Typesetting" w:hAnsi="Arabic Typesetting" w:cs="Arabic Typesetting"/>
          <w:b/>
          <w:color w:val="037BA8"/>
          <w:sz w:val="34"/>
        </w:rPr>
        <w:t>مجتمع الذكاء الاصطناعي (للطالب والمساهمين)</w:t>
      </w:r>
    </w:p>
    <w:p>
      <w:pPr>
        <w:pStyle w:val="ListBullet"/>
        <w:bidi w:val="1"/>
        <w:spacing w:after="80"/>
        <w:ind w:right="283"/>
        <w:jc w:val="right"/>
      </w:pPr>
      <w:r>
        <w:rPr>
          <w:rFonts w:ascii="Tahoma" w:hAnsi="Tahoma" w:cs="Tahoma"/>
          <w:b w:val="0"/>
          <w:sz w:val="24"/>
        </w:rPr>
        <w:t>المشاركة في مسابقات علم البيانات والذكاء الاصطناعي.</w:t>
      </w:r>
    </w:p>
    <w:p>
      <w:pPr>
        <w:pStyle w:val="ListBullet"/>
        <w:bidi w:val="1"/>
        <w:spacing w:after="80"/>
        <w:ind w:right="283"/>
        <w:jc w:val="right"/>
      </w:pPr>
      <w:r>
        <w:rPr>
          <w:rFonts w:ascii="Tahoma" w:hAnsi="Tahoma" w:cs="Tahoma"/>
          <w:b w:val="0"/>
          <w:sz w:val="24"/>
        </w:rPr>
        <w:t>استكشاف ومشاركة مجموعات البيانات (Datasets).</w:t>
      </w:r>
    </w:p>
    <w:p>
      <w:pPr>
        <w:pStyle w:val="ListBullet"/>
        <w:bidi w:val="1"/>
        <w:spacing w:after="80"/>
        <w:ind w:right="283"/>
        <w:jc w:val="right"/>
      </w:pPr>
      <w:r>
        <w:rPr>
          <w:rFonts w:ascii="Tahoma" w:hAnsi="Tahoma" w:cs="Tahoma"/>
          <w:b w:val="0"/>
          <w:sz w:val="24"/>
        </w:rPr>
        <w:t>نشر نماذج في Model Zoo ومناقشات تقنية.</w:t>
      </w:r>
    </w:p>
    <w:p>
      <w:pPr>
        <w:pStyle w:val="ListBullet"/>
        <w:bidi w:val="1"/>
        <w:spacing w:after="80"/>
        <w:ind w:right="283"/>
        <w:jc w:val="right"/>
      </w:pPr>
      <w:r>
        <w:rPr>
          <w:rFonts w:ascii="Tahoma" w:hAnsi="Tahoma" w:cs="Tahoma"/>
          <w:b w:val="0"/>
          <w:sz w:val="24"/>
        </w:rPr>
        <w:t>بناء شبكة علاقات مع مجتمع المتخصصين.</w:t>
      </w:r>
    </w:p>
    <w:p>
      <w:pPr>
        <w:bidi w:val="1"/>
        <w:spacing w:after="200" w:line="324" w:lineRule="auto" w:before="120"/>
        <w:jc w:val="right"/>
      </w:pPr>
      <w:r>
        <w:rPr>
          <w:rFonts w:ascii="Traditional Arabic" w:hAnsi="Traditional Arabic" w:cs="Traditional Arabic"/>
          <w:b/>
          <w:color w:val="1E3A8A"/>
          <w:sz w:val="44"/>
        </w:rPr>
        <w:t>٦. تجربة المدرب والمعلّم</w:t>
      </w:r>
    </w:p>
    <w:p>
      <w:pPr>
        <w:bidi w:val="1"/>
        <w:spacing w:after="120" w:line="324" w:lineRule="auto"/>
        <w:jc w:val="right"/>
      </w:pPr>
      <w:r>
        <w:rPr>
          <w:rFonts w:ascii="Tahoma" w:hAnsi="Tahoma" w:cs="Tahoma"/>
          <w:b w:val="0"/>
          <w:sz w:val="24"/>
        </w:rPr>
        <w:t>يحصل المدرب على لوحة تحكم تركز على التدريس دون إرهاق إداري، مع ربط مالي عبر اتفاقيات ورواتب.</w:t>
      </w:r>
    </w:p>
    <w:p>
      <w:pPr>
        <w:pStyle w:val="ListBullet"/>
        <w:bidi w:val="1"/>
        <w:spacing w:after="80"/>
        <w:ind w:right="283"/>
        <w:jc w:val="right"/>
      </w:pPr>
      <w:r>
        <w:rPr>
          <w:rFonts w:ascii="Tahoma" w:hAnsi="Tahoma" w:cs="Tahoma"/>
          <w:b w:val="0"/>
          <w:sz w:val="24"/>
        </w:rPr>
        <w:t>إدارة الكورسات المسجّلة والمحتوى التعليمي.</w:t>
      </w:r>
    </w:p>
    <w:p>
      <w:pPr>
        <w:pStyle w:val="ListBullet"/>
        <w:bidi w:val="1"/>
        <w:spacing w:after="80"/>
        <w:ind w:right="283"/>
        <w:jc w:val="right"/>
      </w:pPr>
      <w:r>
        <w:rPr>
          <w:rFonts w:ascii="Tahoma" w:hAnsi="Tahoma" w:cs="Tahoma"/>
          <w:b w:val="0"/>
          <w:sz w:val="24"/>
        </w:rPr>
        <w:t>بناء المنهج: محاضرات، موارد، وفيديوهات.</w:t>
      </w:r>
    </w:p>
    <w:p>
      <w:pPr>
        <w:pStyle w:val="ListBullet"/>
        <w:bidi w:val="1"/>
        <w:spacing w:after="80"/>
        <w:ind w:right="283"/>
        <w:jc w:val="right"/>
      </w:pPr>
      <w:r>
        <w:rPr>
          <w:rFonts w:ascii="Tahoma" w:hAnsi="Tahoma" w:cs="Tahoma"/>
          <w:b w:val="0"/>
          <w:sz w:val="24"/>
        </w:rPr>
        <w:t>كورسات أوفلاين: حضور، تقارير طلاب، موارد، وتسجيلات المحاضرات.</w:t>
      </w:r>
    </w:p>
    <w:p>
      <w:pPr>
        <w:pStyle w:val="ListBullet"/>
        <w:bidi w:val="1"/>
        <w:spacing w:after="80"/>
        <w:ind w:right="283"/>
        <w:jc w:val="right"/>
      </w:pPr>
      <w:r>
        <w:rPr>
          <w:rFonts w:ascii="Tahoma" w:hAnsi="Tahoma" w:cs="Tahoma"/>
          <w:b w:val="0"/>
          <w:sz w:val="24"/>
        </w:rPr>
        <w:t>كورسات أونلاين جماعية ومتابعة الطلاب النشطين.</w:t>
      </w:r>
    </w:p>
    <w:p>
      <w:pPr>
        <w:pStyle w:val="ListBullet"/>
        <w:bidi w:val="1"/>
        <w:spacing w:after="80"/>
        <w:ind w:right="283"/>
        <w:jc w:val="right"/>
      </w:pPr>
      <w:r>
        <w:rPr>
          <w:rFonts w:ascii="Tahoma" w:hAnsi="Tahoma" w:cs="Tahoma"/>
          <w:b w:val="0"/>
          <w:sz w:val="24"/>
        </w:rPr>
        <w:t>إدارة المجموعات الدراسية.</w:t>
      </w:r>
    </w:p>
    <w:p>
      <w:pPr>
        <w:pStyle w:val="ListBullet"/>
        <w:bidi w:val="1"/>
        <w:spacing w:after="80"/>
        <w:ind w:right="283"/>
        <w:jc w:val="right"/>
      </w:pPr>
      <w:r>
        <w:rPr>
          <w:rFonts w:ascii="Tahoma" w:hAnsi="Tahoma" w:cs="Tahoma"/>
          <w:b w:val="0"/>
          <w:sz w:val="24"/>
        </w:rPr>
        <w:t>إنشاء واجبات وتصحيحها.</w:t>
      </w:r>
    </w:p>
    <w:p>
      <w:pPr>
        <w:pStyle w:val="ListBullet"/>
        <w:bidi w:val="1"/>
        <w:spacing w:after="80"/>
        <w:ind w:right="283"/>
        <w:jc w:val="right"/>
      </w:pPr>
      <w:r>
        <w:rPr>
          <w:rFonts w:ascii="Tahoma" w:hAnsi="Tahoma" w:cs="Tahoma"/>
          <w:b w:val="0"/>
          <w:sz w:val="24"/>
        </w:rPr>
        <w:t>بنوك أسئلة وامتحانات.</w:t>
      </w:r>
    </w:p>
    <w:p>
      <w:pPr>
        <w:pStyle w:val="ListBullet"/>
        <w:bidi w:val="1"/>
        <w:spacing w:after="80"/>
        <w:ind w:right="283"/>
        <w:jc w:val="right"/>
      </w:pPr>
      <w:r>
        <w:rPr>
          <w:rFonts w:ascii="Tahoma" w:hAnsi="Tahoma" w:cs="Tahoma"/>
          <w:b w:val="0"/>
          <w:sz w:val="24"/>
        </w:rPr>
        <w:t>تسجيل الحضور وجدولة الجلسات عبر التقويم.</w:t>
      </w:r>
    </w:p>
    <w:p>
      <w:pPr>
        <w:pStyle w:val="ListBullet"/>
        <w:bidi w:val="1"/>
        <w:spacing w:after="80"/>
        <w:ind w:right="283"/>
        <w:jc w:val="right"/>
      </w:pPr>
      <w:r>
        <w:rPr>
          <w:rFonts w:ascii="Tahoma" w:hAnsi="Tahoma" w:cs="Tahoma"/>
          <w:b w:val="0"/>
          <w:sz w:val="24"/>
        </w:rPr>
        <w:t>مهام من الإدارة ومتابعة التسليمات.</w:t>
      </w:r>
    </w:p>
    <w:p>
      <w:pPr>
        <w:pStyle w:val="ListBullet"/>
        <w:bidi w:val="1"/>
        <w:spacing w:after="80"/>
        <w:ind w:right="283"/>
        <w:jc w:val="right"/>
      </w:pPr>
      <w:r>
        <w:rPr>
          <w:rFonts w:ascii="Tahoma" w:hAnsi="Tahoma" w:cs="Tahoma"/>
          <w:b w:val="0"/>
          <w:sz w:val="24"/>
        </w:rPr>
        <w:t>طلبات وتواصل مع الإدارة (انضمام، دعم، تعديلات).</w:t>
      </w:r>
    </w:p>
    <w:p>
      <w:pPr>
        <w:bidi w:val="1"/>
        <w:spacing w:after="200" w:line="324" w:lineRule="auto" w:before="120"/>
        <w:jc w:val="right"/>
      </w:pPr>
      <w:r>
        <w:rPr>
          <w:rFonts w:ascii="Traditional Arabic" w:hAnsi="Traditional Arabic" w:cs="Traditional Arabic"/>
          <w:b/>
          <w:color w:val="1E3A8A"/>
          <w:sz w:val="44"/>
        </w:rPr>
        <w:t>٧. لوحة الإدارة — التشغيل والحوكمة</w:t>
      </w:r>
    </w:p>
    <w:p>
      <w:pPr>
        <w:bidi w:val="1"/>
        <w:spacing w:after="160" w:line="324" w:lineRule="auto"/>
        <w:jc w:val="right"/>
      </w:pPr>
      <w:r>
        <w:rPr>
          <w:rFonts w:ascii="Arabic Typesetting" w:hAnsi="Arabic Typesetting" w:cs="Arabic Typesetting"/>
          <w:b/>
          <w:color w:val="037BA8"/>
          <w:sz w:val="34"/>
        </w:rPr>
        <w:t>إدارة النظام والمستخدمين</w:t>
      </w:r>
    </w:p>
    <w:p>
      <w:pPr>
        <w:pStyle w:val="ListBullet"/>
        <w:bidi w:val="1"/>
        <w:spacing w:after="80"/>
        <w:ind w:right="283"/>
        <w:jc w:val="right"/>
      </w:pPr>
      <w:r>
        <w:rPr>
          <w:rFonts w:ascii="Tahoma" w:hAnsi="Tahoma" w:cs="Tahoma"/>
          <w:b w:val="0"/>
          <w:sz w:val="24"/>
        </w:rPr>
        <w:t>لوحة مؤشرات عامة للأداء.</w:t>
      </w:r>
    </w:p>
    <w:p>
      <w:pPr>
        <w:pStyle w:val="ListBullet"/>
        <w:bidi w:val="1"/>
        <w:spacing w:after="80"/>
        <w:ind w:right="283"/>
        <w:jc w:val="right"/>
      </w:pPr>
      <w:r>
        <w:rPr>
          <w:rFonts w:ascii="Tahoma" w:hAnsi="Tahoma" w:cs="Tahoma"/>
          <w:b w:val="0"/>
          <w:sz w:val="24"/>
        </w:rPr>
        <w:t>إدارة المستخدمين (طلاب، مدربين، موظفين).</w:t>
      </w:r>
    </w:p>
    <w:p>
      <w:pPr>
        <w:pStyle w:val="ListBullet"/>
        <w:bidi w:val="1"/>
        <w:spacing w:after="80"/>
        <w:ind w:right="283"/>
        <w:jc w:val="right"/>
      </w:pPr>
      <w:r>
        <w:rPr>
          <w:rFonts w:ascii="Tahoma" w:hAnsi="Tahoma" w:cs="Tahoma"/>
          <w:b w:val="0"/>
          <w:sz w:val="24"/>
        </w:rPr>
        <w:t>الطلبات والإشعارات (طلاب وموظفين).</w:t>
      </w:r>
    </w:p>
    <w:p>
      <w:pPr>
        <w:pStyle w:val="ListBullet"/>
        <w:bidi w:val="1"/>
        <w:spacing w:after="80"/>
        <w:ind w:right="283"/>
        <w:jc w:val="right"/>
      </w:pPr>
      <w:r>
        <w:rPr>
          <w:rFonts w:ascii="Tahoma" w:hAnsi="Tahoma" w:cs="Tahoma"/>
          <w:b w:val="0"/>
          <w:sz w:val="24"/>
        </w:rPr>
        <w:t>سجل النشاطات والأمان (مثل سجلات التحقق بخطوتين).</w:t>
      </w:r>
    </w:p>
    <w:p>
      <w:pPr>
        <w:pStyle w:val="ListBullet"/>
        <w:bidi w:val="1"/>
        <w:spacing w:after="80"/>
        <w:ind w:right="283"/>
        <w:jc w:val="right"/>
      </w:pPr>
      <w:r>
        <w:rPr>
          <w:rFonts w:ascii="Tahoma" w:hAnsi="Tahoma" w:cs="Tahoma"/>
          <w:b w:val="0"/>
          <w:sz w:val="24"/>
        </w:rPr>
        <w:t>إحصائيات وأداء المنصة.</w:t>
      </w:r>
    </w:p>
    <w:p>
      <w:pPr>
        <w:pStyle w:val="ListBullet"/>
        <w:bidi w:val="1"/>
        <w:spacing w:after="80"/>
        <w:ind w:right="283"/>
        <w:jc w:val="right"/>
      </w:pPr>
      <w:r>
        <w:rPr>
          <w:rFonts w:ascii="Tahoma" w:hAnsi="Tahoma" w:cs="Tahoma"/>
          <w:b w:val="0"/>
          <w:sz w:val="24"/>
        </w:rPr>
        <w:t>إعدادات النظام والهوية البصرية.</w:t>
      </w:r>
    </w:p>
    <w:p>
      <w:pPr>
        <w:bidi w:val="1"/>
        <w:spacing w:after="160" w:line="324" w:lineRule="auto"/>
        <w:jc w:val="right"/>
      </w:pPr>
      <w:r>
        <w:rPr>
          <w:rFonts w:ascii="Arabic Typesetting" w:hAnsi="Arabic Typesetting" w:cs="Arabic Typesetting"/>
          <w:b/>
          <w:color w:val="037BA8"/>
          <w:sz w:val="34"/>
        </w:rPr>
        <w:t>الكتالوج التعليمي والمحتوى</w:t>
      </w:r>
    </w:p>
    <w:p>
      <w:pPr>
        <w:pStyle w:val="ListBullet"/>
        <w:bidi w:val="1"/>
        <w:spacing w:after="80"/>
        <w:ind w:right="283"/>
        <w:jc w:val="right"/>
      </w:pPr>
      <w:r>
        <w:rPr>
          <w:rFonts w:ascii="Tahoma" w:hAnsi="Tahoma" w:cs="Tahoma"/>
          <w:b w:val="0"/>
          <w:sz w:val="24"/>
        </w:rPr>
        <w:t>المسارات التعليمية وتسجيل الكورسات عليها.</w:t>
      </w:r>
    </w:p>
    <w:p>
      <w:pPr>
        <w:pStyle w:val="ListBullet"/>
        <w:bidi w:val="1"/>
        <w:spacing w:after="80"/>
        <w:ind w:right="283"/>
        <w:jc w:val="right"/>
      </w:pPr>
      <w:r>
        <w:rPr>
          <w:rFonts w:ascii="Tahoma" w:hAnsi="Tahoma" w:cs="Tahoma"/>
          <w:b w:val="0"/>
          <w:sz w:val="24"/>
        </w:rPr>
        <w:t>تعيين المدربين للمسارات.</w:t>
      </w:r>
    </w:p>
    <w:p>
      <w:pPr>
        <w:pStyle w:val="ListBullet"/>
        <w:bidi w:val="1"/>
        <w:spacing w:after="80"/>
        <w:ind w:right="283"/>
        <w:jc w:val="right"/>
      </w:pPr>
      <w:r>
        <w:rPr>
          <w:rFonts w:ascii="Tahoma" w:hAnsi="Tahoma" w:cs="Tahoma"/>
          <w:b w:val="0"/>
          <w:sz w:val="24"/>
        </w:rPr>
        <w:t>مجموعات المهارات والمواد.</w:t>
      </w:r>
    </w:p>
    <w:p>
      <w:pPr>
        <w:pStyle w:val="ListBullet"/>
        <w:bidi w:val="1"/>
        <w:spacing w:after="80"/>
        <w:ind w:right="283"/>
        <w:jc w:val="right"/>
      </w:pPr>
      <w:r>
        <w:rPr>
          <w:rFonts w:ascii="Tahoma" w:hAnsi="Tahoma" w:cs="Tahoma"/>
          <w:b w:val="0"/>
          <w:sz w:val="24"/>
        </w:rPr>
        <w:t>إدارة الكورسات المتقدمة والمحاضرات.</w:t>
      </w:r>
    </w:p>
    <w:p>
      <w:pPr>
        <w:pStyle w:val="ListBullet"/>
        <w:bidi w:val="1"/>
        <w:spacing w:after="80"/>
        <w:ind w:right="283"/>
        <w:jc w:val="right"/>
      </w:pPr>
      <w:r>
        <w:rPr>
          <w:rFonts w:ascii="Tahoma" w:hAnsi="Tahoma" w:cs="Tahoma"/>
          <w:b w:val="0"/>
          <w:sz w:val="24"/>
        </w:rPr>
        <w:t>المجموعات الدراسية والواجبات والمشاريع.</w:t>
      </w:r>
    </w:p>
    <w:p>
      <w:pPr>
        <w:pStyle w:val="ListBullet"/>
        <w:bidi w:val="1"/>
        <w:spacing w:after="80"/>
        <w:ind w:right="283"/>
        <w:jc w:val="right"/>
      </w:pPr>
      <w:r>
        <w:rPr>
          <w:rFonts w:ascii="Tahoma" w:hAnsi="Tahoma" w:cs="Tahoma"/>
          <w:b w:val="0"/>
          <w:sz w:val="24"/>
        </w:rPr>
        <w:t>الامتحانات وبنوك الأسئلة.</w:t>
      </w:r>
    </w:p>
    <w:p>
      <w:pPr>
        <w:pStyle w:val="ListBullet"/>
        <w:bidi w:val="1"/>
        <w:spacing w:after="80"/>
        <w:ind w:right="283"/>
        <w:jc w:val="right"/>
      </w:pPr>
      <w:r>
        <w:rPr>
          <w:rFonts w:ascii="Tahoma" w:hAnsi="Tahoma" w:cs="Tahoma"/>
          <w:b w:val="0"/>
          <w:sz w:val="24"/>
        </w:rPr>
        <w:t>مصادر الفيديو وإدارة مزودي المحتوى.</w:t>
      </w:r>
    </w:p>
    <w:p>
      <w:pPr>
        <w:bidi w:val="1"/>
        <w:spacing w:after="160" w:line="324" w:lineRule="auto"/>
        <w:jc w:val="right"/>
      </w:pPr>
      <w:r>
        <w:rPr>
          <w:rFonts w:ascii="Arabic Typesetting" w:hAnsi="Arabic Typesetting" w:cs="Arabic Typesetting"/>
          <w:b/>
          <w:color w:val="037BA8"/>
          <w:sz w:val="34"/>
        </w:rPr>
        <w:t>التسجيلات: أونلاين، أوفلاين، ومسارات</w:t>
      </w:r>
    </w:p>
    <w:p>
      <w:pPr>
        <w:pStyle w:val="ListBullet"/>
        <w:bidi w:val="1"/>
        <w:spacing w:after="80"/>
        <w:ind w:right="283"/>
        <w:jc w:val="right"/>
      </w:pPr>
      <w:r>
        <w:rPr>
          <w:rFonts w:ascii="Tahoma" w:hAnsi="Tahoma" w:cs="Tahoma"/>
          <w:b w:val="0"/>
          <w:sz w:val="24"/>
        </w:rPr>
        <w:t>تسجيلات الكورسات الأونلاين.</w:t>
      </w:r>
    </w:p>
    <w:p>
      <w:pPr>
        <w:pStyle w:val="ListBullet"/>
        <w:bidi w:val="1"/>
        <w:spacing w:after="80"/>
        <w:ind w:right="283"/>
        <w:jc w:val="right"/>
      </w:pPr>
      <w:r>
        <w:rPr>
          <w:rFonts w:ascii="Tahoma" w:hAnsi="Tahoma" w:cs="Tahoma"/>
          <w:b w:val="0"/>
          <w:sz w:val="24"/>
        </w:rPr>
        <w:t>طلبات الالتحاق بالمسارات التعليمية.</w:t>
      </w:r>
    </w:p>
    <w:p>
      <w:pPr>
        <w:pStyle w:val="ListBullet"/>
        <w:bidi w:val="1"/>
        <w:spacing w:after="80"/>
        <w:ind w:right="283"/>
        <w:jc w:val="right"/>
      </w:pPr>
      <w:r>
        <w:rPr>
          <w:rFonts w:ascii="Tahoma" w:hAnsi="Tahoma" w:cs="Tahoma"/>
          <w:b w:val="0"/>
          <w:sz w:val="24"/>
        </w:rPr>
        <w:t>كورسات أوفلاين: مواقع، مجموعات، تسجيلات، وحجوزات.</w:t>
      </w:r>
    </w:p>
    <w:p>
      <w:pPr>
        <w:pStyle w:val="ListBullet"/>
        <w:bidi w:val="1"/>
        <w:spacing w:after="80"/>
        <w:ind w:right="283"/>
        <w:jc w:val="right"/>
      </w:pPr>
      <w:r>
        <w:rPr>
          <w:rFonts w:ascii="Tahoma" w:hAnsi="Tahoma" w:cs="Tahoma"/>
          <w:b w:val="0"/>
          <w:sz w:val="24"/>
        </w:rPr>
        <w:t>كورسات أونلاين جماعية: إنشاء، تسجيل طلاب، وحجوزات.</w:t>
      </w:r>
    </w:p>
    <w:p>
      <w:pPr>
        <w:pStyle w:val="ListBullet"/>
        <w:bidi w:val="1"/>
        <w:spacing w:after="80"/>
        <w:ind w:right="283"/>
        <w:jc w:val="right"/>
      </w:pPr>
      <w:r>
        <w:rPr>
          <w:rFonts w:ascii="Tahoma" w:hAnsi="Tahoma" w:cs="Tahoma"/>
          <w:b w:val="0"/>
          <w:sz w:val="24"/>
        </w:rPr>
        <w:t>اتفاقيات المدربين للبرامج الحضورية.</w:t>
      </w:r>
    </w:p>
    <w:p>
      <w:pPr>
        <w:bidi w:val="1"/>
        <w:spacing w:after="160" w:line="324" w:lineRule="auto"/>
        <w:jc w:val="right"/>
      </w:pPr>
      <w:r>
        <w:rPr>
          <w:rFonts w:ascii="Arabic Typesetting" w:hAnsi="Arabic Typesetting" w:cs="Arabic Typesetting"/>
          <w:b/>
          <w:color w:val="037BA8"/>
          <w:sz w:val="34"/>
        </w:rPr>
        <w:t>المحاسبة والمالية</w:t>
      </w:r>
    </w:p>
    <w:p>
      <w:pPr>
        <w:pStyle w:val="ListBullet"/>
        <w:bidi w:val="1"/>
        <w:spacing w:after="80"/>
        <w:ind w:right="283"/>
        <w:jc w:val="right"/>
      </w:pPr>
      <w:r>
        <w:rPr>
          <w:rFonts w:ascii="Tahoma" w:hAnsi="Tahoma" w:cs="Tahoma"/>
          <w:b w:val="0"/>
          <w:sz w:val="24"/>
        </w:rPr>
        <w:t>مركز محاسبة موحّد ومؤشرات مالية لحظية.</w:t>
      </w:r>
    </w:p>
    <w:p>
      <w:pPr>
        <w:pStyle w:val="ListBullet"/>
        <w:bidi w:val="1"/>
        <w:spacing w:after="80"/>
        <w:ind w:right="283"/>
        <w:jc w:val="right"/>
      </w:pPr>
      <w:r>
        <w:rPr>
          <w:rFonts w:ascii="Tahoma" w:hAnsi="Tahoma" w:cs="Tahoma"/>
          <w:b w:val="0"/>
          <w:sz w:val="24"/>
        </w:rPr>
        <w:t>شجرة حسابات، فواتير، مدفوعات، ومعاملات.</w:t>
      </w:r>
    </w:p>
    <w:p>
      <w:pPr>
        <w:pStyle w:val="ListBullet"/>
        <w:bidi w:val="1"/>
        <w:spacing w:after="80"/>
        <w:ind w:right="283"/>
        <w:jc w:val="right"/>
      </w:pPr>
      <w:r>
        <w:rPr>
          <w:rFonts w:ascii="Tahoma" w:hAnsi="Tahoma" w:cs="Tahoma"/>
          <w:b w:val="0"/>
          <w:sz w:val="24"/>
        </w:rPr>
        <w:t>محافظ المنصة والطلاب.</w:t>
      </w:r>
    </w:p>
    <w:p>
      <w:pPr>
        <w:pStyle w:val="ListBullet"/>
        <w:bidi w:val="1"/>
        <w:spacing w:after="80"/>
        <w:ind w:right="283"/>
        <w:jc w:val="right"/>
      </w:pPr>
      <w:r>
        <w:rPr>
          <w:rFonts w:ascii="Tahoma" w:hAnsi="Tahoma" w:cs="Tahoma"/>
          <w:b w:val="0"/>
          <w:sz w:val="24"/>
        </w:rPr>
        <w:t>مصروفات، اشتراكات، وتقسيط (خطط وأتفاقيات سداد).</w:t>
      </w:r>
    </w:p>
    <w:p>
      <w:pPr>
        <w:pStyle w:val="ListBullet"/>
        <w:bidi w:val="1"/>
        <w:spacing w:after="80"/>
        <w:ind w:right="283"/>
        <w:jc w:val="right"/>
      </w:pPr>
      <w:r>
        <w:rPr>
          <w:rFonts w:ascii="Tahoma" w:hAnsi="Tahoma" w:cs="Tahoma"/>
          <w:b w:val="0"/>
          <w:sz w:val="24"/>
        </w:rPr>
        <w:t>رواتب المدربين وحساباتهم.</w:t>
      </w:r>
    </w:p>
    <w:p>
      <w:pPr>
        <w:pStyle w:val="ListBullet"/>
        <w:bidi w:val="1"/>
        <w:spacing w:after="80"/>
        <w:ind w:right="283"/>
        <w:jc w:val="right"/>
      </w:pPr>
      <w:r>
        <w:rPr>
          <w:rFonts w:ascii="Tahoma" w:hAnsi="Tahoma" w:cs="Tahoma"/>
          <w:b w:val="0"/>
          <w:sz w:val="24"/>
        </w:rPr>
        <w:t>اتفاقيات ورواتب الموظفين.</w:t>
      </w:r>
    </w:p>
    <w:p>
      <w:pPr>
        <w:pStyle w:val="ListBullet"/>
        <w:bidi w:val="1"/>
        <w:spacing w:after="80"/>
        <w:ind w:right="283"/>
        <w:jc w:val="right"/>
      </w:pPr>
      <w:r>
        <w:rPr>
          <w:rFonts w:ascii="Tahoma" w:hAnsi="Tahoma" w:cs="Tahoma"/>
          <w:b w:val="0"/>
          <w:sz w:val="24"/>
        </w:rPr>
        <w:t>بوابات الدفع وتقارير محاسبية.</w:t>
      </w:r>
    </w:p>
    <w:p>
      <w:pPr>
        <w:bidi w:val="1"/>
        <w:spacing w:after="160" w:line="324" w:lineRule="auto"/>
        <w:jc w:val="right"/>
      </w:pPr>
      <w:r>
        <w:rPr>
          <w:rFonts w:ascii="Arabic Typesetting" w:hAnsi="Arabic Typesetting" w:cs="Arabic Typesetting"/>
          <w:b/>
          <w:color w:val="037BA8"/>
          <w:sz w:val="34"/>
        </w:rPr>
        <w:t>المبيعات</w:t>
      </w:r>
    </w:p>
    <w:p>
      <w:pPr>
        <w:pStyle w:val="ListBullet"/>
        <w:bidi w:val="1"/>
        <w:spacing w:after="80"/>
        <w:ind w:right="283"/>
        <w:jc w:val="right"/>
      </w:pPr>
      <w:r>
        <w:rPr>
          <w:rFonts w:ascii="Tahoma" w:hAnsi="Tahoma" w:cs="Tahoma"/>
          <w:b w:val="0"/>
          <w:sz w:val="24"/>
        </w:rPr>
        <w:t>تقارير المبيعات وتصديرها.</w:t>
      </w:r>
    </w:p>
    <w:p>
      <w:pPr>
        <w:pStyle w:val="ListBullet"/>
        <w:bidi w:val="1"/>
        <w:spacing w:after="80"/>
        <w:ind w:right="283"/>
        <w:jc w:val="right"/>
      </w:pPr>
      <w:r>
        <w:rPr>
          <w:rFonts w:ascii="Tahoma" w:hAnsi="Tahoma" w:cs="Tahoma"/>
          <w:b w:val="0"/>
          <w:sz w:val="24"/>
        </w:rPr>
        <w:t>إدارة العملاء المحتملين (Leads).</w:t>
      </w:r>
    </w:p>
    <w:p>
      <w:pPr>
        <w:pStyle w:val="ListBullet"/>
        <w:bidi w:val="1"/>
        <w:spacing w:after="80"/>
        <w:ind w:right="283"/>
        <w:jc w:val="right"/>
      </w:pPr>
      <w:r>
        <w:rPr>
          <w:rFonts w:ascii="Tahoma" w:hAnsi="Tahoma" w:cs="Tahoma"/>
          <w:b w:val="0"/>
          <w:sz w:val="24"/>
        </w:rPr>
        <w:t>سجل أنشطة المبيعات.</w:t>
      </w:r>
    </w:p>
    <w:p>
      <w:pPr>
        <w:pStyle w:val="ListBullet"/>
        <w:bidi w:val="1"/>
        <w:spacing w:after="80"/>
        <w:ind w:right="283"/>
        <w:jc w:val="right"/>
      </w:pPr>
      <w:r>
        <w:rPr>
          <w:rFonts w:ascii="Tahoma" w:hAnsi="Tahoma" w:cs="Tahoma"/>
          <w:b w:val="0"/>
          <w:sz w:val="24"/>
        </w:rPr>
        <w:t>مراقبة KPIs وأهداف الفريق.</w:t>
      </w:r>
    </w:p>
    <w:p>
      <w:pPr>
        <w:pStyle w:val="ListBullet"/>
        <w:bidi w:val="1"/>
        <w:spacing w:after="80"/>
        <w:ind w:right="283"/>
        <w:jc w:val="right"/>
      </w:pPr>
      <w:r>
        <w:rPr>
          <w:rFonts w:ascii="Tahoma" w:hAnsi="Tahoma" w:cs="Tahoma"/>
          <w:b w:val="0"/>
          <w:sz w:val="24"/>
        </w:rPr>
        <w:t>رؤى أداء الموظفين (Insights).</w:t>
      </w:r>
    </w:p>
    <w:p>
      <w:pPr>
        <w:pStyle w:val="ListBullet"/>
        <w:bidi w:val="1"/>
        <w:spacing w:after="80"/>
        <w:ind w:right="283"/>
        <w:jc w:val="right"/>
      </w:pPr>
      <w:r>
        <w:rPr>
          <w:rFonts w:ascii="Tahoma" w:hAnsi="Tahoma" w:cs="Tahoma"/>
          <w:b w:val="0"/>
          <w:sz w:val="24"/>
        </w:rPr>
        <w:t>عمولات المبيعات.</w:t>
      </w:r>
    </w:p>
    <w:p>
      <w:pPr>
        <w:bidi w:val="1"/>
        <w:spacing w:after="160" w:line="324" w:lineRule="auto"/>
        <w:jc w:val="right"/>
      </w:pPr>
      <w:r>
        <w:rPr>
          <w:rFonts w:ascii="Arabic Typesetting" w:hAnsi="Arabic Typesetting" w:cs="Arabic Typesetting"/>
          <w:b/>
          <w:color w:val="037BA8"/>
          <w:sz w:val="34"/>
        </w:rPr>
        <w:t>التسويق والولاء</w:t>
      </w:r>
    </w:p>
    <w:p>
      <w:pPr>
        <w:pStyle w:val="ListBullet"/>
        <w:bidi w:val="1"/>
        <w:spacing w:after="80"/>
        <w:ind w:right="283"/>
        <w:jc w:val="right"/>
      </w:pPr>
      <w:r>
        <w:rPr>
          <w:rFonts w:ascii="Tahoma" w:hAnsi="Tahoma" w:cs="Tahoma"/>
          <w:b w:val="0"/>
          <w:sz w:val="24"/>
        </w:rPr>
        <w:t>إعلانات منبثقة (Pop-up).</w:t>
      </w:r>
    </w:p>
    <w:p>
      <w:pPr>
        <w:pStyle w:val="ListBullet"/>
        <w:bidi w:val="1"/>
        <w:spacing w:after="80"/>
        <w:ind w:right="283"/>
        <w:jc w:val="right"/>
      </w:pPr>
      <w:r>
        <w:rPr>
          <w:rFonts w:ascii="Tahoma" w:hAnsi="Tahoma" w:cs="Tahoma"/>
          <w:b w:val="0"/>
          <w:sz w:val="24"/>
        </w:rPr>
        <w:t>العلامة الشخصية للمدربين.</w:t>
      </w:r>
    </w:p>
    <w:p>
      <w:pPr>
        <w:pStyle w:val="ListBullet"/>
        <w:bidi w:val="1"/>
        <w:spacing w:after="80"/>
        <w:ind w:right="283"/>
        <w:jc w:val="right"/>
      </w:pPr>
      <w:r>
        <w:rPr>
          <w:rFonts w:ascii="Tahoma" w:hAnsi="Tahoma" w:cs="Tahoma"/>
          <w:b w:val="0"/>
          <w:sz w:val="24"/>
        </w:rPr>
        <w:t>كوبونات وخصومات.</w:t>
      </w:r>
    </w:p>
    <w:p>
      <w:pPr>
        <w:pStyle w:val="ListBullet"/>
        <w:bidi w:val="1"/>
        <w:spacing w:after="80"/>
        <w:ind w:right="283"/>
        <w:jc w:val="right"/>
      </w:pPr>
      <w:r>
        <w:rPr>
          <w:rFonts w:ascii="Tahoma" w:hAnsi="Tahoma" w:cs="Tahoma"/>
          <w:b w:val="0"/>
          <w:sz w:val="24"/>
        </w:rPr>
        <w:t>برامج الإحالة والإحالات الفعلية.</w:t>
      </w:r>
    </w:p>
    <w:p>
      <w:pPr>
        <w:pStyle w:val="ListBullet"/>
        <w:bidi w:val="1"/>
        <w:spacing w:after="80"/>
        <w:ind w:right="283"/>
        <w:jc w:val="right"/>
      </w:pPr>
      <w:r>
        <w:rPr>
          <w:rFonts w:ascii="Tahoma" w:hAnsi="Tahoma" w:cs="Tahoma"/>
          <w:b w:val="0"/>
          <w:sz w:val="24"/>
        </w:rPr>
        <w:t>برامج الولاء.</w:t>
      </w:r>
    </w:p>
    <w:p>
      <w:pPr>
        <w:bidi w:val="1"/>
        <w:spacing w:after="160" w:line="324" w:lineRule="auto"/>
        <w:jc w:val="right"/>
      </w:pPr>
      <w:r>
        <w:rPr>
          <w:rFonts w:ascii="Arabic Typesetting" w:hAnsi="Arabic Typesetting" w:cs="Arabic Typesetting"/>
          <w:b/>
          <w:color w:val="037BA8"/>
          <w:sz w:val="34"/>
        </w:rPr>
        <w:t>الموارد البشرية والعمليات الداخلية</w:t>
      </w:r>
    </w:p>
    <w:p>
      <w:pPr>
        <w:pStyle w:val="ListBullet"/>
        <w:bidi w:val="1"/>
        <w:spacing w:after="80"/>
        <w:ind w:right="283"/>
        <w:jc w:val="right"/>
      </w:pPr>
      <w:r>
        <w:rPr>
          <w:rFonts w:ascii="Tahoma" w:hAnsi="Tahoma" w:cs="Tahoma"/>
          <w:b w:val="0"/>
          <w:sz w:val="24"/>
        </w:rPr>
        <w:t>سجل الموظفين والوظائف.</w:t>
      </w:r>
    </w:p>
    <w:p>
      <w:pPr>
        <w:pStyle w:val="ListBullet"/>
        <w:bidi w:val="1"/>
        <w:spacing w:after="80"/>
        <w:ind w:right="283"/>
        <w:jc w:val="right"/>
      </w:pPr>
      <w:r>
        <w:rPr>
          <w:rFonts w:ascii="Tahoma" w:hAnsi="Tahoma" w:cs="Tahoma"/>
          <w:b w:val="0"/>
          <w:sz w:val="24"/>
        </w:rPr>
        <w:t>مهام الموظفين وتسليم المخرجات.</w:t>
      </w:r>
    </w:p>
    <w:p>
      <w:pPr>
        <w:pStyle w:val="ListBullet"/>
        <w:bidi w:val="1"/>
        <w:spacing w:after="80"/>
        <w:ind w:right="283"/>
        <w:jc w:val="right"/>
      </w:pPr>
      <w:r>
        <w:rPr>
          <w:rFonts w:ascii="Tahoma" w:hAnsi="Tahoma" w:cs="Tahoma"/>
          <w:b w:val="0"/>
          <w:sz w:val="24"/>
        </w:rPr>
        <w:t>دورات التصميم (مشرف/مصمم) وتقارير الأداء.</w:t>
      </w:r>
    </w:p>
    <w:p>
      <w:pPr>
        <w:pStyle w:val="ListBullet"/>
        <w:bidi w:val="1"/>
        <w:spacing w:after="80"/>
        <w:ind w:right="283"/>
        <w:jc w:val="right"/>
      </w:pPr>
      <w:r>
        <w:rPr>
          <w:rFonts w:ascii="Tahoma" w:hAnsi="Tahoma" w:cs="Tahoma"/>
          <w:b w:val="0"/>
          <w:sz w:val="24"/>
        </w:rPr>
        <w:t>خطط تسويق المشرفين عبر منصات التواصل.</w:t>
      </w:r>
    </w:p>
    <w:p>
      <w:pPr>
        <w:pStyle w:val="ListBullet"/>
        <w:bidi w:val="1"/>
        <w:spacing w:after="80"/>
        <w:ind w:right="283"/>
        <w:jc w:val="right"/>
      </w:pPr>
      <w:r>
        <w:rPr>
          <w:rFonts w:ascii="Tahoma" w:hAnsi="Tahoma" w:cs="Tahoma"/>
          <w:b w:val="0"/>
          <w:sz w:val="24"/>
        </w:rPr>
        <w:t>خصومات الرواتب وطلبات الإجازة.</w:t>
      </w:r>
    </w:p>
    <w:p>
      <w:pPr>
        <w:pStyle w:val="ListBullet"/>
        <w:bidi w:val="1"/>
        <w:spacing w:after="80"/>
        <w:ind w:right="283"/>
        <w:jc w:val="right"/>
      </w:pPr>
      <w:r>
        <w:rPr>
          <w:rFonts w:ascii="Tahoma" w:hAnsi="Tahoma" w:cs="Tahoma"/>
          <w:b w:val="0"/>
          <w:sz w:val="24"/>
        </w:rPr>
        <w:t>مهام المدربين وطلبات الانضمام كمدرب.</w:t>
      </w:r>
    </w:p>
    <w:p>
      <w:pPr>
        <w:bidi w:val="1"/>
        <w:spacing w:after="160" w:line="324" w:lineRule="auto"/>
        <w:jc w:val="right"/>
      </w:pPr>
      <w:r>
        <w:rPr>
          <w:rFonts w:ascii="Arabic Typesetting" w:hAnsi="Arabic Typesetting" w:cs="Arabic Typesetting"/>
          <w:b/>
          <w:color w:val="037BA8"/>
          <w:sz w:val="34"/>
        </w:rPr>
        <w:t>الجودة والرقابة</w:t>
      </w:r>
    </w:p>
    <w:p>
      <w:pPr>
        <w:pStyle w:val="ListBullet"/>
        <w:bidi w:val="1"/>
        <w:spacing w:after="80"/>
        <w:ind w:right="283"/>
        <w:jc w:val="right"/>
      </w:pPr>
      <w:r>
        <w:rPr>
          <w:rFonts w:ascii="Tahoma" w:hAnsi="Tahoma" w:cs="Tahoma"/>
          <w:b w:val="0"/>
          <w:sz w:val="24"/>
        </w:rPr>
        <w:t>متابعة أداء الطلاب والمدربين والموظفين.</w:t>
      </w:r>
    </w:p>
    <w:p>
      <w:pPr>
        <w:pStyle w:val="ListBullet"/>
        <w:bidi w:val="1"/>
        <w:spacing w:after="80"/>
        <w:ind w:right="283"/>
        <w:jc w:val="right"/>
      </w:pPr>
      <w:r>
        <w:rPr>
          <w:rFonts w:ascii="Tahoma" w:hAnsi="Tahoma" w:cs="Tahoma"/>
          <w:b w:val="0"/>
          <w:sz w:val="24"/>
        </w:rPr>
        <w:t>رقابة العمليات اليومية.</w:t>
      </w:r>
    </w:p>
    <w:p>
      <w:pPr>
        <w:pStyle w:val="ListBullet"/>
        <w:bidi w:val="1"/>
        <w:spacing w:after="80"/>
        <w:ind w:right="283"/>
        <w:jc w:val="right"/>
      </w:pPr>
      <w:r>
        <w:rPr>
          <w:rFonts w:ascii="Tahoma" w:hAnsi="Tahoma" w:cs="Tahoma"/>
          <w:b w:val="0"/>
          <w:sz w:val="24"/>
        </w:rPr>
        <w:t>ضمان معايير الجودة التعليمية والتشغيلية.</w:t>
      </w:r>
    </w:p>
    <w:p>
      <w:pPr>
        <w:bidi w:val="1"/>
        <w:spacing w:after="160" w:line="324" w:lineRule="auto"/>
        <w:jc w:val="right"/>
      </w:pPr>
      <w:r>
        <w:rPr>
          <w:rFonts w:ascii="Arabic Typesetting" w:hAnsi="Arabic Typesetting" w:cs="Arabic Typesetting"/>
          <w:b/>
          <w:color w:val="037BA8"/>
          <w:sz w:val="34"/>
        </w:rPr>
        <w:t>الشهادات والتحفيز</w:t>
      </w:r>
    </w:p>
    <w:p>
      <w:pPr>
        <w:pStyle w:val="ListBullet"/>
        <w:bidi w:val="1"/>
        <w:spacing w:after="80"/>
        <w:ind w:right="283"/>
        <w:jc w:val="right"/>
      </w:pPr>
      <w:r>
        <w:rPr>
          <w:rFonts w:ascii="Tahoma" w:hAnsi="Tahoma" w:cs="Tahoma"/>
          <w:b w:val="0"/>
          <w:sz w:val="24"/>
        </w:rPr>
        <w:t>إصدار ومراجعة الشهادات.</w:t>
      </w:r>
    </w:p>
    <w:p>
      <w:pPr>
        <w:pStyle w:val="ListBullet"/>
        <w:bidi w:val="1"/>
        <w:spacing w:after="80"/>
        <w:ind w:right="283"/>
        <w:jc w:val="right"/>
      </w:pPr>
      <w:r>
        <w:rPr>
          <w:rFonts w:ascii="Tahoma" w:hAnsi="Tahoma" w:cs="Tahoma"/>
          <w:b w:val="0"/>
          <w:sz w:val="24"/>
        </w:rPr>
        <w:t>الإنجازات والشارات.</w:t>
      </w:r>
    </w:p>
    <w:p>
      <w:pPr>
        <w:pStyle w:val="ListBullet"/>
        <w:bidi w:val="1"/>
        <w:spacing w:after="80"/>
        <w:ind w:right="283"/>
        <w:jc w:val="right"/>
      </w:pPr>
      <w:r>
        <w:rPr>
          <w:rFonts w:ascii="Tahoma" w:hAnsi="Tahoma" w:cs="Tahoma"/>
          <w:b w:val="0"/>
          <w:sz w:val="24"/>
        </w:rPr>
        <w:t>مراجعات الكورسات والمسارات.</w:t>
      </w:r>
    </w:p>
    <w:p>
      <w:pPr>
        <w:bidi w:val="1"/>
        <w:spacing w:after="160" w:line="324" w:lineRule="auto"/>
        <w:jc w:val="right"/>
      </w:pPr>
      <w:r>
        <w:rPr>
          <w:rFonts w:ascii="Arabic Typesetting" w:hAnsi="Arabic Typesetting" w:cs="Arabic Typesetting"/>
          <w:b/>
          <w:color w:val="037BA8"/>
          <w:sz w:val="34"/>
        </w:rPr>
        <w:t>مجتمع البيانات والذكاء الاصطناعي (إدارة)</w:t>
      </w:r>
    </w:p>
    <w:p>
      <w:pPr>
        <w:pStyle w:val="ListBullet"/>
        <w:bidi w:val="1"/>
        <w:spacing w:after="80"/>
        <w:ind w:right="283"/>
        <w:jc w:val="right"/>
      </w:pPr>
      <w:r>
        <w:rPr>
          <w:rFonts w:ascii="Tahoma" w:hAnsi="Tahoma" w:cs="Tahoma"/>
          <w:b w:val="0"/>
          <w:sz w:val="24"/>
        </w:rPr>
        <w:t>لوحة مراقبة المجتمع.</w:t>
      </w:r>
    </w:p>
    <w:p>
      <w:pPr>
        <w:pStyle w:val="ListBullet"/>
        <w:bidi w:val="1"/>
        <w:spacing w:after="80"/>
        <w:ind w:right="283"/>
        <w:jc w:val="right"/>
      </w:pPr>
      <w:r>
        <w:rPr>
          <w:rFonts w:ascii="Tahoma" w:hAnsi="Tahoma" w:cs="Tahoma"/>
          <w:b w:val="0"/>
          <w:sz w:val="24"/>
        </w:rPr>
        <w:t>مسابقات، مجموعات بيانات، ومناقشات.</w:t>
      </w:r>
    </w:p>
    <w:p>
      <w:pPr>
        <w:pStyle w:val="ListBullet"/>
        <w:bidi w:val="1"/>
        <w:spacing w:after="80"/>
        <w:ind w:right="283"/>
        <w:jc w:val="right"/>
      </w:pPr>
      <w:r>
        <w:rPr>
          <w:rFonts w:ascii="Tahoma" w:hAnsi="Tahoma" w:cs="Tahoma"/>
          <w:b w:val="0"/>
          <w:sz w:val="24"/>
        </w:rPr>
        <w:t>مراجعة التقديمات (بيانات ونماذج).</w:t>
      </w:r>
    </w:p>
    <w:p>
      <w:pPr>
        <w:pStyle w:val="ListBullet"/>
        <w:bidi w:val="1"/>
        <w:spacing w:after="80"/>
        <w:ind w:right="283"/>
        <w:jc w:val="right"/>
      </w:pPr>
      <w:r>
        <w:rPr>
          <w:rFonts w:ascii="Tahoma" w:hAnsi="Tahoma" w:cs="Tahoma"/>
          <w:b w:val="0"/>
          <w:sz w:val="24"/>
        </w:rPr>
        <w:t>إدارة المساهمين وإشعارات المجتمع.</w:t>
      </w:r>
    </w:p>
    <w:p>
      <w:pPr>
        <w:bidi w:val="1"/>
        <w:spacing w:after="160" w:line="324" w:lineRule="auto"/>
        <w:jc w:val="right"/>
      </w:pPr>
      <w:r>
        <w:rPr>
          <w:rFonts w:ascii="Arabic Typesetting" w:hAnsi="Arabic Typesetting" w:cs="Arabic Typesetting"/>
          <w:b/>
          <w:color w:val="037BA8"/>
          <w:sz w:val="34"/>
        </w:rPr>
        <w:t>الاتفاقيات والسحوبات</w:t>
      </w:r>
    </w:p>
    <w:p>
      <w:pPr>
        <w:pStyle w:val="ListBullet"/>
        <w:bidi w:val="1"/>
        <w:spacing w:after="80"/>
        <w:ind w:right="283"/>
        <w:jc w:val="right"/>
      </w:pPr>
      <w:r>
        <w:rPr>
          <w:rFonts w:ascii="Tahoma" w:hAnsi="Tahoma" w:cs="Tahoma"/>
          <w:b w:val="0"/>
          <w:sz w:val="24"/>
        </w:rPr>
        <w:t>اتفاقيات المدربين والموظفين.</w:t>
      </w:r>
    </w:p>
    <w:p>
      <w:pPr>
        <w:pStyle w:val="ListBullet"/>
        <w:bidi w:val="1"/>
        <w:spacing w:after="80"/>
        <w:ind w:right="283"/>
        <w:jc w:val="right"/>
      </w:pPr>
      <w:r>
        <w:rPr>
          <w:rFonts w:ascii="Tahoma" w:hAnsi="Tahoma" w:cs="Tahoma"/>
          <w:b w:val="0"/>
          <w:sz w:val="24"/>
        </w:rPr>
        <w:t>طلبات سحب الأرصدة للمدربين.</w:t>
      </w:r>
    </w:p>
    <w:p>
      <w:pPr>
        <w:bidi w:val="1"/>
        <w:spacing w:after="160" w:line="324" w:lineRule="auto"/>
        <w:jc w:val="right"/>
      </w:pPr>
      <w:r>
        <w:rPr>
          <w:rFonts w:ascii="Arabic Typesetting" w:hAnsi="Arabic Typesetting" w:cs="Arabic Typesetting"/>
          <w:b/>
          <w:color w:val="037BA8"/>
          <w:sz w:val="34"/>
        </w:rPr>
        <w:t>الورش والاجتماعات</w:t>
      </w:r>
    </w:p>
    <w:p>
      <w:pPr>
        <w:pStyle w:val="ListBullet"/>
        <w:bidi w:val="1"/>
        <w:spacing w:after="80"/>
        <w:ind w:right="283"/>
        <w:jc w:val="right"/>
      </w:pPr>
      <w:r>
        <w:rPr>
          <w:rFonts w:ascii="Tahoma" w:hAnsi="Tahoma" w:cs="Tahoma"/>
          <w:b w:val="0"/>
          <w:sz w:val="24"/>
        </w:rPr>
        <w:t>تنظيم ورش عمل وفعاليات تكميلية للتعلّم.</w:t>
      </w:r>
    </w:p>
    <w:p>
      <w:pPr>
        <w:bidi w:val="1"/>
        <w:spacing w:after="200" w:line="324" w:lineRule="auto" w:before="120"/>
        <w:jc w:val="right"/>
      </w:pPr>
      <w:r>
        <w:rPr>
          <w:rFonts w:ascii="Traditional Arabic" w:hAnsi="Traditional Arabic" w:cs="Traditional Arabic"/>
          <w:b/>
          <w:color w:val="1E3A8A"/>
          <w:sz w:val="44"/>
        </w:rPr>
        <w:t>٨. تجربة الموظفين الداخليين</w:t>
      </w:r>
    </w:p>
    <w:p>
      <w:pPr>
        <w:bidi w:val="1"/>
        <w:spacing w:after="160" w:line="324" w:lineRule="auto"/>
        <w:jc w:val="right"/>
      </w:pPr>
      <w:r>
        <w:rPr>
          <w:rFonts w:ascii="Arabic Typesetting" w:hAnsi="Arabic Typesetting" w:cs="Arabic Typesetting"/>
          <w:b/>
          <w:color w:val="037BA8"/>
          <w:sz w:val="34"/>
        </w:rPr>
        <w:t>موظف المبيعات</w:t>
      </w:r>
    </w:p>
    <w:p>
      <w:pPr>
        <w:pStyle w:val="ListBullet"/>
        <w:bidi w:val="1"/>
        <w:spacing w:after="80"/>
        <w:ind w:right="283"/>
        <w:jc w:val="right"/>
      </w:pPr>
      <w:r>
        <w:rPr>
          <w:rFonts w:ascii="Tahoma" w:hAnsi="Tahoma" w:cs="Tahoma"/>
          <w:b w:val="0"/>
          <w:sz w:val="24"/>
        </w:rPr>
        <w:t>لوحة مبيعات شخصية.</w:t>
      </w:r>
    </w:p>
    <w:p>
      <w:pPr>
        <w:pStyle w:val="ListBullet"/>
        <w:bidi w:val="1"/>
        <w:spacing w:after="80"/>
        <w:ind w:right="283"/>
        <w:jc w:val="right"/>
      </w:pPr>
      <w:r>
        <w:rPr>
          <w:rFonts w:ascii="Tahoma" w:hAnsi="Tahoma" w:cs="Tahoma"/>
          <w:b w:val="0"/>
          <w:sz w:val="24"/>
        </w:rPr>
        <w:t>إدارة العملاء المحتملين وتسجيل الأنشطة.</w:t>
      </w:r>
    </w:p>
    <w:p>
      <w:pPr>
        <w:pStyle w:val="ListBullet"/>
        <w:bidi w:val="1"/>
        <w:spacing w:after="80"/>
        <w:ind w:right="283"/>
        <w:jc w:val="right"/>
      </w:pPr>
      <w:r>
        <w:rPr>
          <w:rFonts w:ascii="Tahoma" w:hAnsi="Tahoma" w:cs="Tahoma"/>
          <w:b w:val="0"/>
          <w:sz w:val="24"/>
        </w:rPr>
        <w:t>قياس رضا العملاء (CSAT).</w:t>
      </w:r>
    </w:p>
    <w:p>
      <w:pPr>
        <w:pStyle w:val="ListBullet"/>
        <w:bidi w:val="1"/>
        <w:spacing w:after="80"/>
        <w:ind w:right="283"/>
        <w:jc w:val="right"/>
      </w:pPr>
      <w:r>
        <w:rPr>
          <w:rFonts w:ascii="Tahoma" w:hAnsi="Tahoma" w:cs="Tahoma"/>
          <w:b w:val="0"/>
          <w:sz w:val="24"/>
        </w:rPr>
        <w:t>مؤشرات أداء (KPI) وتصدير البيانات.</w:t>
      </w:r>
    </w:p>
    <w:p>
      <w:pPr>
        <w:bidi w:val="1"/>
        <w:spacing w:after="160" w:line="324" w:lineRule="auto"/>
        <w:jc w:val="right"/>
      </w:pPr>
      <w:r>
        <w:rPr>
          <w:rFonts w:ascii="Arabic Typesetting" w:hAnsi="Arabic Typesetting" w:cs="Arabic Typesetting"/>
          <w:b/>
          <w:color w:val="037BA8"/>
          <w:sz w:val="34"/>
        </w:rPr>
        <w:t>موظف التسويق / المشرف</w:t>
      </w:r>
    </w:p>
    <w:p>
      <w:pPr>
        <w:pStyle w:val="ListBullet"/>
        <w:bidi w:val="1"/>
        <w:spacing w:after="80"/>
        <w:ind w:right="283"/>
        <w:jc w:val="right"/>
      </w:pPr>
      <w:r>
        <w:rPr>
          <w:rFonts w:ascii="Tahoma" w:hAnsi="Tahoma" w:cs="Tahoma"/>
          <w:b w:val="0"/>
          <w:sz w:val="24"/>
        </w:rPr>
        <w:t>خطط تسويق مرتبطة بمنصات التواصل (فيسبوك، إنستغرام، لينكدإن، وغيرها).</w:t>
      </w:r>
    </w:p>
    <w:p>
      <w:pPr>
        <w:pStyle w:val="ListBullet"/>
        <w:bidi w:val="1"/>
        <w:spacing w:after="80"/>
        <w:ind w:right="283"/>
        <w:jc w:val="right"/>
      </w:pPr>
      <w:r>
        <w:rPr>
          <w:rFonts w:ascii="Tahoma" w:hAnsi="Tahoma" w:cs="Tahoma"/>
          <w:b w:val="0"/>
          <w:sz w:val="24"/>
        </w:rPr>
        <w:t>تقويم أحداث لكل منصة واستراتيجية محتوى.</w:t>
      </w:r>
    </w:p>
    <w:p>
      <w:pPr>
        <w:pStyle w:val="ListBullet"/>
        <w:bidi w:val="1"/>
        <w:spacing w:after="80"/>
        <w:ind w:right="283"/>
        <w:jc w:val="right"/>
      </w:pPr>
      <w:r>
        <w:rPr>
          <w:rFonts w:ascii="Tahoma" w:hAnsi="Tahoma" w:cs="Tahoma"/>
          <w:b w:val="0"/>
          <w:sz w:val="24"/>
        </w:rPr>
        <w:t>دورات تصميم: تخطيط، تسليم، ومتابعة المخرجات.</w:t>
      </w:r>
    </w:p>
    <w:p>
      <w:pPr>
        <w:bidi w:val="1"/>
        <w:spacing w:after="160" w:line="324" w:lineRule="auto"/>
        <w:jc w:val="right"/>
      </w:pPr>
      <w:r>
        <w:rPr>
          <w:rFonts w:ascii="Arabic Typesetting" w:hAnsi="Arabic Typesetting" w:cs="Arabic Typesetting"/>
          <w:b/>
          <w:color w:val="037BA8"/>
          <w:sz w:val="34"/>
        </w:rPr>
        <w:t>الموظف العام</w:t>
      </w:r>
    </w:p>
    <w:p>
      <w:pPr>
        <w:pStyle w:val="ListBullet"/>
        <w:bidi w:val="1"/>
        <w:spacing w:after="80"/>
        <w:ind w:right="283"/>
        <w:jc w:val="right"/>
      </w:pPr>
      <w:r>
        <w:rPr>
          <w:rFonts w:ascii="Tahoma" w:hAnsi="Tahoma" w:cs="Tahoma"/>
          <w:b w:val="0"/>
          <w:sz w:val="24"/>
        </w:rPr>
        <w:t>مهام موكلة مع تسليم ملفات ومخرجات.</w:t>
      </w:r>
    </w:p>
    <w:p>
      <w:pPr>
        <w:pStyle w:val="ListBullet"/>
        <w:bidi w:val="1"/>
        <w:spacing w:after="80"/>
        <w:ind w:right="283"/>
        <w:jc w:val="right"/>
      </w:pPr>
      <w:r>
        <w:rPr>
          <w:rFonts w:ascii="Tahoma" w:hAnsi="Tahoma" w:cs="Tahoma"/>
          <w:b w:val="0"/>
          <w:sz w:val="24"/>
        </w:rPr>
        <w:t>طلبات إجازة.</w:t>
      </w:r>
    </w:p>
    <w:p>
      <w:pPr>
        <w:pStyle w:val="ListBullet"/>
        <w:bidi w:val="1"/>
        <w:spacing w:after="80"/>
        <w:ind w:right="283"/>
        <w:jc w:val="right"/>
      </w:pPr>
      <w:r>
        <w:rPr>
          <w:rFonts w:ascii="Tahoma" w:hAnsi="Tahoma" w:cs="Tahoma"/>
          <w:b w:val="0"/>
          <w:sz w:val="24"/>
        </w:rPr>
        <w:t>عرض الراتب والمحاسبة الشخصية وتحديث الحساب البنكي.</w:t>
      </w:r>
    </w:p>
    <w:p>
      <w:pPr>
        <w:pStyle w:val="ListBullet"/>
        <w:bidi w:val="1"/>
        <w:spacing w:after="80"/>
        <w:ind w:right="283"/>
        <w:jc w:val="right"/>
      </w:pPr>
      <w:r>
        <w:rPr>
          <w:rFonts w:ascii="Tahoma" w:hAnsi="Tahoma" w:cs="Tahoma"/>
          <w:b w:val="0"/>
          <w:sz w:val="24"/>
        </w:rPr>
        <w:t>اتفاقيات العمل.</w:t>
      </w:r>
    </w:p>
    <w:p>
      <w:pPr>
        <w:pStyle w:val="ListBullet"/>
        <w:bidi w:val="1"/>
        <w:spacing w:after="80"/>
        <w:ind w:right="283"/>
        <w:jc w:val="right"/>
      </w:pPr>
      <w:r>
        <w:rPr>
          <w:rFonts w:ascii="Tahoma" w:hAnsi="Tahoma" w:cs="Tahoma"/>
          <w:b w:val="0"/>
          <w:sz w:val="24"/>
        </w:rPr>
        <w:t>تقويم موحّد وإشعارات.</w:t>
      </w:r>
    </w:p>
    <w:p>
      <w:pPr>
        <w:pStyle w:val="ListBullet"/>
        <w:bidi w:val="1"/>
        <w:spacing w:after="80"/>
        <w:ind w:right="283"/>
        <w:jc w:val="right"/>
      </w:pPr>
      <w:r>
        <w:rPr>
          <w:rFonts w:ascii="Tahoma" w:hAnsi="Tahoma" w:cs="Tahoma"/>
          <w:b w:val="0"/>
          <w:sz w:val="24"/>
        </w:rPr>
        <w:t>تقارير وإحصائيات شخصية.</w:t>
      </w:r>
    </w:p>
    <w:p>
      <w:pPr>
        <w:bidi w:val="1"/>
        <w:spacing w:after="200" w:line="324" w:lineRule="auto" w:before="120"/>
        <w:jc w:val="right"/>
      </w:pPr>
      <w:r>
        <w:rPr>
          <w:rFonts w:ascii="Traditional Arabic" w:hAnsi="Traditional Arabic" w:cs="Traditional Arabic"/>
          <w:b/>
          <w:color w:val="1E3A8A"/>
          <w:sz w:val="44"/>
        </w:rPr>
        <w:t>٩. الموقع العام والتسويق</w:t>
      </w:r>
    </w:p>
    <w:p>
      <w:pPr>
        <w:pStyle w:val="ListBullet"/>
        <w:bidi w:val="1"/>
        <w:spacing w:after="80"/>
        <w:ind w:right="283"/>
        <w:jc w:val="right"/>
      </w:pPr>
      <w:r>
        <w:rPr>
          <w:rFonts w:ascii="Tahoma" w:hAnsi="Tahoma" w:cs="Tahoma"/>
          <w:b w:val="0"/>
          <w:sz w:val="24"/>
        </w:rPr>
        <w:t>صفحة رئيسية تعرض رسالة الأكاديمية وإحصائيات (متعلمون، شهادات، كورسات).</w:t>
      </w:r>
    </w:p>
    <w:p>
      <w:pPr>
        <w:pStyle w:val="ListBullet"/>
        <w:bidi w:val="1"/>
        <w:spacing w:after="80"/>
        <w:ind w:right="283"/>
        <w:jc w:val="right"/>
      </w:pPr>
      <w:r>
        <w:rPr>
          <w:rFonts w:ascii="Tahoma" w:hAnsi="Tahoma" w:cs="Tahoma"/>
          <w:b w:val="0"/>
          <w:sz w:val="24"/>
        </w:rPr>
        <w:t>عرض الكورسات المميزة والمسارات التعليمية.</w:t>
      </w:r>
    </w:p>
    <w:p>
      <w:pPr>
        <w:pStyle w:val="ListBullet"/>
        <w:bidi w:val="1"/>
        <w:spacing w:after="80"/>
        <w:ind w:right="283"/>
        <w:jc w:val="right"/>
      </w:pPr>
      <w:r>
        <w:rPr>
          <w:rFonts w:ascii="Tahoma" w:hAnsi="Tahoma" w:cs="Tahoma"/>
          <w:b w:val="0"/>
          <w:sz w:val="24"/>
        </w:rPr>
        <w:t>معرض أعمال الطلاب للشركات والزوار.</w:t>
      </w:r>
    </w:p>
    <w:p>
      <w:pPr>
        <w:pStyle w:val="ListBullet"/>
        <w:bidi w:val="1"/>
        <w:spacing w:after="80"/>
        <w:ind w:right="283"/>
        <w:jc w:val="right"/>
      </w:pPr>
      <w:r>
        <w:rPr>
          <w:rFonts w:ascii="Tahoma" w:hAnsi="Tahoma" w:cs="Tahoma"/>
          <w:b w:val="0"/>
          <w:sz w:val="24"/>
        </w:rPr>
        <w:t>صفحة المدربين والتسجيل وإنشاء الحساب.</w:t>
      </w:r>
    </w:p>
    <w:p>
      <w:pPr>
        <w:pStyle w:val="ListBullet"/>
        <w:bidi w:val="1"/>
        <w:spacing w:after="80"/>
        <w:ind w:right="283"/>
        <w:jc w:val="right"/>
      </w:pPr>
      <w:r>
        <w:rPr>
          <w:rFonts w:ascii="Tahoma" w:hAnsi="Tahoma" w:cs="Tahoma"/>
          <w:b w:val="0"/>
          <w:sz w:val="24"/>
        </w:rPr>
        <w:t>دعم العربية والإنجليزية في الواجهة العامة.</w:t>
      </w:r>
    </w:p>
    <w:p>
      <w:pPr>
        <w:pStyle w:val="ListBullet"/>
        <w:bidi w:val="1"/>
        <w:spacing w:after="80"/>
        <w:ind w:right="283"/>
        <w:jc w:val="right"/>
      </w:pPr>
      <w:r>
        <w:rPr>
          <w:rFonts w:ascii="Tahoma" w:hAnsi="Tahoma" w:cs="Tahoma"/>
          <w:b w:val="0"/>
          <w:sz w:val="24"/>
        </w:rPr>
        <w:t>عملية شراء واضحة: سلة، دفع، وتأكيد الطلب.</w:t>
      </w:r>
    </w:p>
    <w:p>
      <w:pPr>
        <w:bidi w:val="1"/>
        <w:spacing w:after="200" w:line="324" w:lineRule="auto" w:before="120"/>
        <w:jc w:val="right"/>
      </w:pPr>
      <w:r>
        <w:rPr>
          <w:rFonts w:ascii="Traditional Arabic" w:hAnsi="Traditional Arabic" w:cs="Traditional Arabic"/>
          <w:b/>
          <w:color w:val="1E3A8A"/>
          <w:sz w:val="44"/>
        </w:rPr>
        <w:t>١٠. معرض الأعمال (البورتفوليو) — جسر التوظيف</w:t>
      </w:r>
    </w:p>
    <w:p>
      <w:pPr>
        <w:bidi w:val="1"/>
        <w:spacing w:after="80"/>
        <w:jc w:val="right"/>
      </w:pPr>
      <w:r>
        <w:rPr>
          <w:rFonts w:ascii="Tahoma" w:hAnsi="Tahoma" w:cs="Tahoma"/>
          <w:b w:val="0"/>
          <w:sz w:val="24"/>
        </w:rPr>
        <w:t>1. الطالب يرفع مشاريعه الحقيقية بعد إتمام الكورسات.</w:t>
      </w:r>
    </w:p>
    <w:p>
      <w:pPr>
        <w:bidi w:val="1"/>
        <w:spacing w:after="80"/>
        <w:jc w:val="right"/>
      </w:pPr>
      <w:r>
        <w:rPr>
          <w:rFonts w:ascii="Tahoma" w:hAnsi="Tahoma" w:cs="Tahoma"/>
          <w:b w:val="0"/>
          <w:sz w:val="24"/>
        </w:rPr>
        <w:t>2. معرض موحّد يعرض المهارات والمشاريع حسب التخصص.</w:t>
      </w:r>
    </w:p>
    <w:p>
      <w:pPr>
        <w:bidi w:val="1"/>
        <w:spacing w:after="80"/>
        <w:jc w:val="right"/>
      </w:pPr>
      <w:r>
        <w:rPr>
          <w:rFonts w:ascii="Tahoma" w:hAnsi="Tahoma" w:cs="Tahoma"/>
          <w:b w:val="0"/>
          <w:sz w:val="24"/>
        </w:rPr>
        <w:t>3. الشركات تتصفح المواهب وتتواصل عبر المنصة.</w:t>
      </w:r>
    </w:p>
    <w:p>
      <w:pPr>
        <w:bidi w:val="1"/>
        <w:spacing w:after="80"/>
        <w:jc w:val="right"/>
      </w:pPr>
      <w:r>
        <w:rPr>
          <w:rFonts w:ascii="Tahoma" w:hAnsi="Tahoma" w:cs="Tahoma"/>
          <w:b w:val="0"/>
          <w:sz w:val="24"/>
        </w:rPr>
        <w:t>4. مسار واضح: تعلّم → مشروع → شهادة → فرصة عمل.</w:t>
      </w:r>
    </w:p>
    <w:p>
      <w:pPr>
        <w:bidi w:val="1"/>
        <w:spacing w:after="200" w:line="324" w:lineRule="auto" w:before="120"/>
        <w:jc w:val="right"/>
      </w:pPr>
      <w:r>
        <w:rPr>
          <w:rFonts w:ascii="Traditional Arabic" w:hAnsi="Traditional Arabic" w:cs="Traditional Arabic"/>
          <w:b/>
          <w:color w:val="1E3A8A"/>
          <w:sz w:val="44"/>
        </w:rPr>
        <w:t>١١. نموذج الأعمال والإيرادات</w:t>
      </w:r>
    </w:p>
    <w:p>
      <w:pPr>
        <w:pStyle w:val="ListBullet"/>
        <w:bidi w:val="1"/>
        <w:spacing w:after="80"/>
        <w:ind w:right="283"/>
        <w:jc w:val="right"/>
      </w:pPr>
      <w:r>
        <w:rPr>
          <w:rFonts w:ascii="Tahoma" w:hAnsi="Tahoma" w:cs="Tahoma"/>
          <w:b w:val="0"/>
          <w:sz w:val="24"/>
        </w:rPr>
        <w:t>بيع الكورسات والمسارات (أونلاين وحضوري).</w:t>
      </w:r>
    </w:p>
    <w:p>
      <w:pPr>
        <w:pStyle w:val="ListBullet"/>
        <w:bidi w:val="1"/>
        <w:spacing w:after="80"/>
        <w:ind w:right="283"/>
        <w:jc w:val="right"/>
      </w:pPr>
      <w:r>
        <w:rPr>
          <w:rFonts w:ascii="Tahoma" w:hAnsi="Tahoma" w:cs="Tahoma"/>
          <w:b w:val="0"/>
          <w:sz w:val="24"/>
        </w:rPr>
        <w:t>اشتراكات وتقسيط يزيدان إمكانية الوصول.</w:t>
      </w:r>
    </w:p>
    <w:p>
      <w:pPr>
        <w:pStyle w:val="ListBullet"/>
        <w:bidi w:val="1"/>
        <w:spacing w:after="80"/>
        <w:ind w:right="283"/>
        <w:jc w:val="right"/>
      </w:pPr>
      <w:r>
        <w:rPr>
          <w:rFonts w:ascii="Tahoma" w:hAnsi="Tahoma" w:cs="Tahoma"/>
          <w:b w:val="0"/>
          <w:sz w:val="24"/>
        </w:rPr>
        <w:t>برامج إحالة وولاء تعزز الاحتفاظ بالعملاء.</w:t>
      </w:r>
    </w:p>
    <w:p>
      <w:pPr>
        <w:pStyle w:val="ListBullet"/>
        <w:bidi w:val="1"/>
        <w:spacing w:after="80"/>
        <w:ind w:right="283"/>
        <w:jc w:val="right"/>
      </w:pPr>
      <w:r>
        <w:rPr>
          <w:rFonts w:ascii="Tahoma" w:hAnsi="Tahoma" w:cs="Tahoma"/>
          <w:b w:val="0"/>
          <w:sz w:val="24"/>
        </w:rPr>
        <w:t>كوبونات وحملات تسويقية موسمية.</w:t>
      </w:r>
    </w:p>
    <w:p>
      <w:pPr>
        <w:pStyle w:val="ListBullet"/>
        <w:bidi w:val="1"/>
        <w:spacing w:after="80"/>
        <w:ind w:right="283"/>
        <w:jc w:val="right"/>
      </w:pPr>
      <w:r>
        <w:rPr>
          <w:rFonts w:ascii="Tahoma" w:hAnsi="Tahoma" w:cs="Tahoma"/>
          <w:b w:val="0"/>
          <w:sz w:val="24"/>
        </w:rPr>
        <w:t>قيمة B2B عبر معرض الأعمال وربط الشركات بالمواهب.</w:t>
      </w:r>
    </w:p>
    <w:p>
      <w:pPr>
        <w:pStyle w:val="ListBullet"/>
        <w:bidi w:val="1"/>
        <w:spacing w:after="80"/>
        <w:ind w:right="283"/>
        <w:jc w:val="right"/>
      </w:pPr>
      <w:r>
        <w:rPr>
          <w:rFonts w:ascii="Tahoma" w:hAnsi="Tahoma" w:cs="Tahoma"/>
          <w:b w:val="0"/>
          <w:sz w:val="24"/>
        </w:rPr>
        <w:t>مجتمع متخصص يعزز الولاء والعلامة التجارية.</w:t>
      </w:r>
    </w:p>
    <w:p>
      <w:pPr>
        <w:bidi w:val="1"/>
        <w:spacing w:after="200" w:line="324" w:lineRule="auto" w:before="120"/>
        <w:jc w:val="right"/>
      </w:pPr>
      <w:r>
        <w:rPr>
          <w:rFonts w:ascii="Traditional Arabic" w:hAnsi="Traditional Arabic" w:cs="Traditional Arabic"/>
          <w:b/>
          <w:color w:val="1E3A8A"/>
          <w:sz w:val="44"/>
        </w:rPr>
        <w:t>١٢. المزايا التنافسية</w:t>
      </w:r>
    </w:p>
    <w:p>
      <w:pPr>
        <w:pStyle w:val="ListBullet"/>
        <w:bidi w:val="1"/>
        <w:spacing w:after="80"/>
        <w:ind w:right="283"/>
        <w:jc w:val="right"/>
      </w:pPr>
      <w:r>
        <w:rPr>
          <w:rFonts w:ascii="Tahoma" w:hAnsi="Tahoma" w:cs="Tahoma"/>
          <w:b w:val="0"/>
          <w:sz w:val="24"/>
        </w:rPr>
        <w:t>منصة واحدة بدل أدوات متفرقة (تعليم + مجتمع + توظيف + إدارة).</w:t>
      </w:r>
    </w:p>
    <w:p>
      <w:pPr>
        <w:pStyle w:val="ListBullet"/>
        <w:bidi w:val="1"/>
        <w:spacing w:after="80"/>
        <w:ind w:right="283"/>
        <w:jc w:val="right"/>
      </w:pPr>
      <w:r>
        <w:rPr>
          <w:rFonts w:ascii="Tahoma" w:hAnsi="Tahoma" w:cs="Tahoma"/>
          <w:b w:val="0"/>
          <w:sz w:val="24"/>
        </w:rPr>
        <w:t>محتوى عربي متخصص في البرمجة والذكاء الاصطناعي.</w:t>
      </w:r>
    </w:p>
    <w:p>
      <w:pPr>
        <w:pStyle w:val="ListBullet"/>
        <w:bidi w:val="1"/>
        <w:spacing w:after="80"/>
        <w:ind w:right="283"/>
        <w:jc w:val="right"/>
      </w:pPr>
      <w:r>
        <w:rPr>
          <w:rFonts w:ascii="Tahoma" w:hAnsi="Tahoma" w:cs="Tahoma"/>
          <w:b w:val="0"/>
          <w:sz w:val="24"/>
        </w:rPr>
        <w:t>مرونة التعلّم الحضوري والرقمي في نفس النظام.</w:t>
      </w:r>
    </w:p>
    <w:p>
      <w:pPr>
        <w:pStyle w:val="ListBullet"/>
        <w:bidi w:val="1"/>
        <w:spacing w:after="80"/>
        <w:ind w:right="283"/>
        <w:jc w:val="right"/>
      </w:pPr>
      <w:r>
        <w:rPr>
          <w:rFonts w:ascii="Tahoma" w:hAnsi="Tahoma" w:cs="Tahoma"/>
          <w:b w:val="0"/>
          <w:sz w:val="24"/>
        </w:rPr>
        <w:t>حوكمة مالية وتشغيلية جاهزة للنمو.</w:t>
      </w:r>
    </w:p>
    <w:p>
      <w:pPr>
        <w:pStyle w:val="ListBullet"/>
        <w:bidi w:val="1"/>
        <w:spacing w:after="80"/>
        <w:ind w:right="283"/>
        <w:jc w:val="right"/>
      </w:pPr>
      <w:r>
        <w:rPr>
          <w:rFonts w:ascii="Tahoma" w:hAnsi="Tahoma" w:cs="Tahoma"/>
          <w:b w:val="0"/>
          <w:sz w:val="24"/>
        </w:rPr>
        <w:t>مسار وظيفي ملموس للطالب عبر البورتفوليو.</w:t>
      </w:r>
    </w:p>
    <w:p>
      <w:pPr>
        <w:bidi w:val="1"/>
        <w:spacing w:after="200" w:line="324" w:lineRule="auto" w:before="120"/>
        <w:jc w:val="right"/>
      </w:pPr>
      <w:r>
        <w:rPr>
          <w:rFonts w:ascii="Traditional Arabic" w:hAnsi="Traditional Arabic" w:cs="Traditional Arabic"/>
          <w:b/>
          <w:color w:val="1E3A8A"/>
          <w:sz w:val="44"/>
        </w:rPr>
        <w:t>١٣. الخلاصة</w:t>
      </w:r>
    </w:p>
    <w:p>
      <w:pPr>
        <w:bidi w:val="1"/>
        <w:spacing w:after="120" w:line="324" w:lineRule="auto"/>
        <w:jc w:val="right"/>
      </w:pPr>
      <w:r>
        <w:rPr>
          <w:rFonts w:ascii="Tahoma" w:hAnsi="Tahoma" w:cs="Tahoma"/>
          <w:b w:val="0"/>
          <w:sz w:val="24"/>
        </w:rPr>
        <w:t>Mindlytics ليست منصة فيديوهات فقط، بل نظام بيئي تعليمي وتجاري متكامل: تعلّم عالي الجودة، مجتمع تقني، إثبات مهارة، ربط بسوق العمل، وإدارة مؤسسية تدعم نمو الأكاديمية بثقة وشفافية. هذه الوثيقة تلخّص القدرات من منظور أعمال؛ للتفاصيل التشغيلية اليومية يُراجع فريق كل قسم لوحته المخصصة داخل المنصة.</w:t>
      </w:r>
    </w:p>
    <w:p>
      <w:pPr>
        <w:bidi w:val="1"/>
        <w:spacing w:after="0" w:line="324" w:lineRule="auto"/>
        <w:jc w:val="right"/>
      </w:pPr>
      <w:r>
        <w:rPr>
          <w:rFonts w:ascii="Tahoma" w:hAnsi="Tahoma" w:cs="Tahoma"/>
          <w:b w:val="0"/>
          <w:color w:val="64748B"/>
          <w:sz w:val="22"/>
        </w:rPr>
        <w:t>— نهاية الوثيقة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