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3A01" w:rsidRDefault="00B158BD">
      <w:pPr>
        <w:pStyle w:val="Title"/>
      </w:pPr>
      <w:r>
        <w:t>NextBot Screen Reference</w:t>
      </w:r>
    </w:p>
    <w:sdt>
      <w:sdtPr>
        <w:rPr>
          <w:rFonts w:asciiTheme="minorHAnsi" w:eastAsiaTheme="minorHAnsi" w:hAnsiTheme="minorHAnsi" w:cstheme="minorBidi"/>
          <w:color w:val="auto"/>
          <w:sz w:val="24"/>
          <w:szCs w:val="24"/>
        </w:rPr>
        <w:id w:val="-641271437"/>
        <w:docPartObj>
          <w:docPartGallery w:val="Table of Contents"/>
          <w:docPartUnique/>
        </w:docPartObj>
      </w:sdtPr>
      <w:sdtEndPr/>
      <w:sdtContent>
        <w:p w:rsidR="00BA3A01" w:rsidRDefault="00B158BD">
          <w:pPr>
            <w:pStyle w:val="TOCHeading"/>
          </w:pPr>
          <w:r>
            <w:t>Table of Contents</w:t>
          </w:r>
        </w:p>
        <w:p w:rsidR="00B158BD" w:rsidRDefault="00B158BD">
          <w:pPr>
            <w:pStyle w:val="TOC1"/>
            <w:tabs>
              <w:tab w:val="right" w:leader="dot" w:pos="8630"/>
            </w:tabs>
            <w:rPr>
              <w:noProof/>
            </w:rPr>
          </w:pPr>
          <w:r>
            <w:fldChar w:fldCharType="begin"/>
          </w:r>
          <w:r>
            <w:instrText>TOC \o "1-2" \h \z \u</w:instrText>
          </w:r>
          <w:r>
            <w:fldChar w:fldCharType="separate"/>
          </w:r>
          <w:hyperlink w:anchor="_Toc238845140" w:history="1">
            <w:r w:rsidRPr="00BD2A17">
              <w:rPr>
                <w:rStyle w:val="Hyperlink"/>
                <w:noProof/>
              </w:rPr>
              <w:t>NextBot — Screen Reference</w:t>
            </w:r>
            <w:r>
              <w:rPr>
                <w:noProof/>
                <w:webHidden/>
              </w:rPr>
              <w:tab/>
            </w:r>
            <w:r>
              <w:rPr>
                <w:noProof/>
                <w:webHidden/>
              </w:rPr>
              <w:fldChar w:fldCharType="begin"/>
            </w:r>
            <w:r>
              <w:rPr>
                <w:noProof/>
                <w:webHidden/>
              </w:rPr>
              <w:instrText xml:space="preserve"> PAGEREF _Toc238845140 \h </w:instrText>
            </w:r>
            <w:r>
              <w:rPr>
                <w:noProof/>
                <w:webHidden/>
              </w:rPr>
            </w:r>
            <w:r>
              <w:rPr>
                <w:noProof/>
                <w:webHidden/>
              </w:rPr>
              <w:fldChar w:fldCharType="separate"/>
            </w:r>
            <w:r>
              <w:rPr>
                <w:noProof/>
                <w:webHidden/>
              </w:rPr>
              <w:t>1</w:t>
            </w:r>
            <w:r>
              <w:rPr>
                <w:noProof/>
                <w:webHidden/>
              </w:rPr>
              <w:fldChar w:fldCharType="end"/>
            </w:r>
          </w:hyperlink>
        </w:p>
        <w:p w:rsidR="00B158BD" w:rsidRDefault="00B158BD">
          <w:pPr>
            <w:pStyle w:val="TOC2"/>
            <w:tabs>
              <w:tab w:val="right" w:leader="dot" w:pos="8630"/>
            </w:tabs>
            <w:rPr>
              <w:noProof/>
            </w:rPr>
          </w:pPr>
          <w:hyperlink w:anchor="_Toc238845141" w:history="1">
            <w:r w:rsidRPr="00BD2A17">
              <w:rPr>
                <w:rStyle w:val="Hyperlink"/>
                <w:noProof/>
              </w:rPr>
              <w:t>1. Authentication</w:t>
            </w:r>
            <w:r>
              <w:rPr>
                <w:noProof/>
                <w:webHidden/>
              </w:rPr>
              <w:tab/>
            </w:r>
            <w:r>
              <w:rPr>
                <w:noProof/>
                <w:webHidden/>
              </w:rPr>
              <w:fldChar w:fldCharType="begin"/>
            </w:r>
            <w:r>
              <w:rPr>
                <w:noProof/>
                <w:webHidden/>
              </w:rPr>
              <w:instrText xml:space="preserve"> PAGEREF _Toc238845141 \h </w:instrText>
            </w:r>
            <w:r>
              <w:rPr>
                <w:noProof/>
                <w:webHidden/>
              </w:rPr>
            </w:r>
            <w:r>
              <w:rPr>
                <w:noProof/>
                <w:webHidden/>
              </w:rPr>
              <w:fldChar w:fldCharType="separate"/>
            </w:r>
            <w:r>
              <w:rPr>
                <w:noProof/>
                <w:webHidden/>
              </w:rPr>
              <w:t>1</w:t>
            </w:r>
            <w:r>
              <w:rPr>
                <w:noProof/>
                <w:webHidden/>
              </w:rPr>
              <w:fldChar w:fldCharType="end"/>
            </w:r>
          </w:hyperlink>
        </w:p>
        <w:p w:rsidR="00B158BD" w:rsidRDefault="00B158BD">
          <w:pPr>
            <w:pStyle w:val="TOC2"/>
            <w:tabs>
              <w:tab w:val="right" w:leader="dot" w:pos="8630"/>
            </w:tabs>
            <w:rPr>
              <w:noProof/>
            </w:rPr>
          </w:pPr>
          <w:hyperlink w:anchor="_Toc238845142" w:history="1">
            <w:r w:rsidRPr="00BD2A17">
              <w:rPr>
                <w:rStyle w:val="Hyperlink"/>
                <w:noProof/>
              </w:rPr>
              <w:t>2. Day-to-day operations (Admin Console)</w:t>
            </w:r>
            <w:r>
              <w:rPr>
                <w:noProof/>
                <w:webHidden/>
              </w:rPr>
              <w:tab/>
            </w:r>
            <w:r>
              <w:rPr>
                <w:noProof/>
                <w:webHidden/>
              </w:rPr>
              <w:fldChar w:fldCharType="begin"/>
            </w:r>
            <w:r>
              <w:rPr>
                <w:noProof/>
                <w:webHidden/>
              </w:rPr>
              <w:instrText xml:space="preserve"> PAGEREF _Toc238845142 \h </w:instrText>
            </w:r>
            <w:r>
              <w:rPr>
                <w:noProof/>
                <w:webHidden/>
              </w:rPr>
            </w:r>
            <w:r>
              <w:rPr>
                <w:noProof/>
                <w:webHidden/>
              </w:rPr>
              <w:fldChar w:fldCharType="separate"/>
            </w:r>
            <w:r>
              <w:rPr>
                <w:noProof/>
                <w:webHidden/>
              </w:rPr>
              <w:t>4</w:t>
            </w:r>
            <w:r>
              <w:rPr>
                <w:noProof/>
                <w:webHidden/>
              </w:rPr>
              <w:fldChar w:fldCharType="end"/>
            </w:r>
          </w:hyperlink>
        </w:p>
        <w:p w:rsidR="00B158BD" w:rsidRDefault="00B158BD">
          <w:pPr>
            <w:pStyle w:val="TOC2"/>
            <w:tabs>
              <w:tab w:val="right" w:leader="dot" w:pos="8630"/>
            </w:tabs>
            <w:rPr>
              <w:noProof/>
            </w:rPr>
          </w:pPr>
          <w:hyperlink w:anchor="_Toc238845143" w:history="1">
            <w:r w:rsidRPr="00BD2A17">
              <w:rPr>
                <w:rStyle w:val="Hyperlink"/>
                <w:noProof/>
              </w:rPr>
              <w:t>3. Agent Platform — building and running agents</w:t>
            </w:r>
            <w:r>
              <w:rPr>
                <w:noProof/>
                <w:webHidden/>
              </w:rPr>
              <w:tab/>
            </w:r>
            <w:r>
              <w:rPr>
                <w:noProof/>
                <w:webHidden/>
              </w:rPr>
              <w:fldChar w:fldCharType="begin"/>
            </w:r>
            <w:r>
              <w:rPr>
                <w:noProof/>
                <w:webHidden/>
              </w:rPr>
              <w:instrText xml:space="preserve"> PAGEREF _Toc238845143 \h </w:instrText>
            </w:r>
            <w:r>
              <w:rPr>
                <w:noProof/>
                <w:webHidden/>
              </w:rPr>
            </w:r>
            <w:r>
              <w:rPr>
                <w:noProof/>
                <w:webHidden/>
              </w:rPr>
              <w:fldChar w:fldCharType="separate"/>
            </w:r>
            <w:r>
              <w:rPr>
                <w:noProof/>
                <w:webHidden/>
              </w:rPr>
              <w:t>15</w:t>
            </w:r>
            <w:r>
              <w:rPr>
                <w:noProof/>
                <w:webHidden/>
              </w:rPr>
              <w:fldChar w:fldCharType="end"/>
            </w:r>
          </w:hyperlink>
        </w:p>
        <w:p w:rsidR="00B158BD" w:rsidRDefault="00B158BD">
          <w:pPr>
            <w:pStyle w:val="TOC2"/>
            <w:tabs>
              <w:tab w:val="right" w:leader="dot" w:pos="8630"/>
            </w:tabs>
            <w:rPr>
              <w:noProof/>
            </w:rPr>
          </w:pPr>
          <w:hyperlink w:anchor="_Toc238845144" w:history="1">
            <w:r w:rsidRPr="00BD2A17">
              <w:rPr>
                <w:rStyle w:val="Hyperlink"/>
                <w:noProof/>
              </w:rPr>
              <w:t>4. Settings</w:t>
            </w:r>
            <w:r>
              <w:rPr>
                <w:noProof/>
                <w:webHidden/>
              </w:rPr>
              <w:tab/>
            </w:r>
            <w:r>
              <w:rPr>
                <w:noProof/>
                <w:webHidden/>
              </w:rPr>
              <w:fldChar w:fldCharType="begin"/>
            </w:r>
            <w:r>
              <w:rPr>
                <w:noProof/>
                <w:webHidden/>
              </w:rPr>
              <w:instrText xml:space="preserve"> PAGEREF _Toc238845144 \h </w:instrText>
            </w:r>
            <w:r>
              <w:rPr>
                <w:noProof/>
                <w:webHidden/>
              </w:rPr>
            </w:r>
            <w:r>
              <w:rPr>
                <w:noProof/>
                <w:webHidden/>
              </w:rPr>
              <w:fldChar w:fldCharType="separate"/>
            </w:r>
            <w:r>
              <w:rPr>
                <w:noProof/>
                <w:webHidden/>
              </w:rPr>
              <w:t>23</w:t>
            </w:r>
            <w:r>
              <w:rPr>
                <w:noProof/>
                <w:webHidden/>
              </w:rPr>
              <w:fldChar w:fldCharType="end"/>
            </w:r>
          </w:hyperlink>
        </w:p>
        <w:p w:rsidR="00B158BD" w:rsidRDefault="00B158BD">
          <w:pPr>
            <w:pStyle w:val="TOC2"/>
            <w:tabs>
              <w:tab w:val="right" w:leader="dot" w:pos="8630"/>
            </w:tabs>
            <w:rPr>
              <w:noProof/>
            </w:rPr>
          </w:pPr>
          <w:hyperlink w:anchor="_Toc238845145" w:history="1">
            <w:r w:rsidRPr="00BD2A17">
              <w:rPr>
                <w:rStyle w:val="Hyperlink"/>
                <w:noProof/>
              </w:rPr>
              <w:t>5. Platform Manager console — cross-tenant operator surface</w:t>
            </w:r>
            <w:r>
              <w:rPr>
                <w:noProof/>
                <w:webHidden/>
              </w:rPr>
              <w:tab/>
            </w:r>
            <w:r>
              <w:rPr>
                <w:noProof/>
                <w:webHidden/>
              </w:rPr>
              <w:fldChar w:fldCharType="begin"/>
            </w:r>
            <w:r>
              <w:rPr>
                <w:noProof/>
                <w:webHidden/>
              </w:rPr>
              <w:instrText xml:space="preserve"> PAGEREF _Toc238845145 \h </w:instrText>
            </w:r>
            <w:r>
              <w:rPr>
                <w:noProof/>
                <w:webHidden/>
              </w:rPr>
            </w:r>
            <w:r>
              <w:rPr>
                <w:noProof/>
                <w:webHidden/>
              </w:rPr>
              <w:fldChar w:fldCharType="separate"/>
            </w:r>
            <w:r>
              <w:rPr>
                <w:noProof/>
                <w:webHidden/>
              </w:rPr>
              <w:t>31</w:t>
            </w:r>
            <w:r>
              <w:rPr>
                <w:noProof/>
                <w:webHidden/>
              </w:rPr>
              <w:fldChar w:fldCharType="end"/>
            </w:r>
          </w:hyperlink>
        </w:p>
        <w:p w:rsidR="00B158BD" w:rsidRDefault="00B158BD">
          <w:pPr>
            <w:pStyle w:val="TOC2"/>
            <w:tabs>
              <w:tab w:val="right" w:leader="dot" w:pos="8630"/>
            </w:tabs>
            <w:rPr>
              <w:noProof/>
            </w:rPr>
          </w:pPr>
          <w:hyperlink w:anchor="_Toc238845146" w:history="1">
            <w:r w:rsidRPr="00BD2A17">
              <w:rPr>
                <w:rStyle w:val="Hyperlink"/>
                <w:noProof/>
              </w:rPr>
              <w:t>6. The customer-facing widget</w:t>
            </w:r>
            <w:r>
              <w:rPr>
                <w:noProof/>
                <w:webHidden/>
              </w:rPr>
              <w:tab/>
            </w:r>
            <w:r>
              <w:rPr>
                <w:noProof/>
                <w:webHidden/>
              </w:rPr>
              <w:fldChar w:fldCharType="begin"/>
            </w:r>
            <w:r>
              <w:rPr>
                <w:noProof/>
                <w:webHidden/>
              </w:rPr>
              <w:instrText xml:space="preserve"> PAGEREF _Toc238845146 \h </w:instrText>
            </w:r>
            <w:r>
              <w:rPr>
                <w:noProof/>
                <w:webHidden/>
              </w:rPr>
            </w:r>
            <w:r>
              <w:rPr>
                <w:noProof/>
                <w:webHidden/>
              </w:rPr>
              <w:fldChar w:fldCharType="separate"/>
            </w:r>
            <w:r>
              <w:rPr>
                <w:noProof/>
                <w:webHidden/>
              </w:rPr>
              <w:t>35</w:t>
            </w:r>
            <w:r>
              <w:rPr>
                <w:noProof/>
                <w:webHidden/>
              </w:rPr>
              <w:fldChar w:fldCharType="end"/>
            </w:r>
          </w:hyperlink>
        </w:p>
        <w:p w:rsidR="00BA3A01" w:rsidRDefault="00B158BD">
          <w:r>
            <w:fldChar w:fldCharType="end"/>
          </w:r>
        </w:p>
      </w:sdtContent>
    </w:sdt>
    <w:p w:rsidR="00BA3A01" w:rsidRDefault="00B158BD">
      <w:pPr>
        <w:pStyle w:val="Heading1"/>
      </w:pPr>
      <w:bookmarkStart w:id="0" w:name="nextbot-screen-reference"/>
      <w:bookmarkStart w:id="1" w:name="_Toc238845140"/>
      <w:r>
        <w:t>NextBot — Screen Reference</w:t>
      </w:r>
      <w:bookmarkEnd w:id="1"/>
    </w:p>
    <w:p w:rsidR="00BA3A01" w:rsidRDefault="00B158BD">
      <w:pPr>
        <w:pStyle w:val="FirstParagraph"/>
      </w:pPr>
      <w:r>
        <w:t xml:space="preserve">A screen-by-screen guide to every page in the NextBot platform: the Admin Console </w:t>
      </w:r>
      <w:r>
        <w:t>(tenant-facing), the Platform Manager console (cross-tenant operator surface), the customer-facing widget, and the authentication screens shared by all of them. For each screen: what it’s for, what a user can do on it, and the logic/rules that govern it. S</w:t>
      </w:r>
      <w:r>
        <w:t>creenshots below are from a live, seeded instance of the platform.</w:t>
      </w:r>
    </w:p>
    <w:p w:rsidR="00BA3A01" w:rsidRDefault="00B158BD">
      <w:pPr>
        <w:pStyle w:val="BodyText"/>
      </w:pPr>
      <w:r>
        <w:t>Sidebar/module names in parentheses refer to the permission module that gates the screen (Read/Write/None per role) — every screen fails closed: a role with no access sees a “you don’t have</w:t>
      </w:r>
      <w:r>
        <w:t xml:space="preserve"> access” state on a direct link, not an empty page or a crash.</w:t>
      </w:r>
    </w:p>
    <w:p w:rsidR="00BA3A01" w:rsidRDefault="00B158BD">
      <w:r>
        <w:pict>
          <v:rect id="_x0000_i1025" style="width:0;height:1.5pt" o:hralign="center" o:hrstd="t" o:hr="t"/>
        </w:pict>
      </w:r>
    </w:p>
    <w:p w:rsidR="00BA3A01" w:rsidRDefault="00B158BD">
      <w:pPr>
        <w:pStyle w:val="Heading2"/>
      </w:pPr>
      <w:bookmarkStart w:id="2" w:name="authentication"/>
      <w:bookmarkStart w:id="3" w:name="_Toc238845141"/>
      <w:r>
        <w:t>1. Authentication</w:t>
      </w:r>
      <w:bookmarkEnd w:id="3"/>
    </w:p>
    <w:p w:rsidR="00BA3A01" w:rsidRDefault="00B158BD">
      <w:pPr>
        <w:pStyle w:val="Heading3"/>
      </w:pPr>
      <w:bookmarkStart w:id="4" w:name="login-login"/>
      <w:r>
        <w:t>Login (</w:t>
      </w:r>
      <w:r>
        <w:rPr>
          <w:rStyle w:val="VerbatimChar"/>
        </w:rPr>
        <w:t>/login</w:t>
      </w:r>
      <w:r>
        <w:t>)</w:t>
      </w:r>
    </w:p>
    <w:p w:rsidR="00BA3A01" w:rsidRDefault="00B158BD">
      <w:pPr>
        <w:pStyle w:val="FirstParagraph"/>
      </w:pPr>
      <w:r>
        <w:t xml:space="preserve">Tenant slug + email + password. On success, if the account has TOTP MFA enabled, a second screen asks for the 6-digit code (with a “trust this device” option </w:t>
      </w:r>
      <w:r>
        <w:t>and backup codes as a fallback). Distinct error states for a wrong password, a locked-out account (too many attempts), and an account with zero assigned roles — each says something different so a user isn’t left guessing.</w:t>
      </w:r>
    </w:p>
    <w:p w:rsidR="00BA3A01" w:rsidRDefault="00B158BD">
      <w:pPr>
        <w:pStyle w:val="CaptionedFigure"/>
      </w:pPr>
      <w:r>
        <w:rPr>
          <w:noProof/>
        </w:rPr>
        <w:lastRenderedPageBreak/>
        <w:drawing>
          <wp:inline distT="0" distB="0" distL="0" distR="0">
            <wp:extent cx="5334000" cy="3333750"/>
            <wp:effectExtent l="0" t="0" r="0" b="0"/>
            <wp:docPr id="21" name="Picture" descr="Login"/>
            <wp:cNvGraphicFramePr/>
            <a:graphic xmlns:a="http://schemas.openxmlformats.org/drawingml/2006/main">
              <a:graphicData uri="http://schemas.openxmlformats.org/drawingml/2006/picture">
                <pic:pic xmlns:pic="http://schemas.openxmlformats.org/drawingml/2006/picture">
                  <pic:nvPicPr>
                    <pic:cNvPr id="22" name="Picture" descr="screenshots/01-login.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Login</w:t>
      </w:r>
    </w:p>
    <w:p w:rsidR="00BA3A01" w:rsidRDefault="00B158BD">
      <w:pPr>
        <w:pStyle w:val="Heading3"/>
      </w:pPr>
      <w:bookmarkStart w:id="5" w:name="forgot-password-forgot-password"/>
      <w:bookmarkEnd w:id="4"/>
      <w:r>
        <w:t>Forgot password (</w:t>
      </w:r>
      <w:r>
        <w:rPr>
          <w:rStyle w:val="VerbatimChar"/>
        </w:rPr>
        <w:t>/forgot-p</w:t>
      </w:r>
      <w:r>
        <w:rPr>
          <w:rStyle w:val="VerbatimChar"/>
        </w:rPr>
        <w:t>assword</w:t>
      </w:r>
      <w:r>
        <w:t>)</w:t>
      </w:r>
    </w:p>
    <w:p w:rsidR="00BA3A01" w:rsidRDefault="00B158BD">
      <w:pPr>
        <w:pStyle w:val="FirstParagraph"/>
      </w:pPr>
      <w:r>
        <w:t>Email-only reset request. Deliberately gives the same “if an account exists” response whether or not the address is real, so the form can’t be used to enumerate registered emails.</w:t>
      </w:r>
    </w:p>
    <w:p w:rsidR="00BA3A01" w:rsidRDefault="00B158BD">
      <w:pPr>
        <w:pStyle w:val="CaptionedFigure"/>
      </w:pPr>
      <w:r>
        <w:rPr>
          <w:noProof/>
        </w:rPr>
        <w:lastRenderedPageBreak/>
        <w:drawing>
          <wp:inline distT="0" distB="0" distL="0" distR="0">
            <wp:extent cx="5334000" cy="3333750"/>
            <wp:effectExtent l="0" t="0" r="0" b="0"/>
            <wp:docPr id="25" name="Picture" descr="Forgot password"/>
            <wp:cNvGraphicFramePr/>
            <a:graphic xmlns:a="http://schemas.openxmlformats.org/drawingml/2006/main">
              <a:graphicData uri="http://schemas.openxmlformats.org/drawingml/2006/picture">
                <pic:pic xmlns:pic="http://schemas.openxmlformats.org/drawingml/2006/picture">
                  <pic:nvPicPr>
                    <pic:cNvPr id="26" name="Picture" descr="screenshots/02-forgot-password.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Forgot password</w:t>
      </w:r>
    </w:p>
    <w:p w:rsidR="00BA3A01" w:rsidRDefault="00B158BD">
      <w:pPr>
        <w:pStyle w:val="Heading3"/>
      </w:pPr>
      <w:bookmarkStart w:id="6" w:name="platform-manager-login-internalopslogin"/>
      <w:bookmarkEnd w:id="5"/>
      <w:r>
        <w:t>Platform Manager login (</w:t>
      </w:r>
      <w:r>
        <w:rPr>
          <w:rStyle w:val="VerbatimChar"/>
        </w:rPr>
        <w:t>/internal/ops/login</w:t>
      </w:r>
      <w:r>
        <w:t>)</w:t>
      </w:r>
    </w:p>
    <w:p w:rsidR="00BA3A01" w:rsidRDefault="00B158BD">
      <w:pPr>
        <w:pStyle w:val="FirstParagraph"/>
      </w:pPr>
      <w:r>
        <w:t>A se</w:t>
      </w:r>
      <w:r>
        <w:t>parate, unrelated login for the cross-tenant operator console (see §5) — an operator token, not a tenant account. Gated additionally by an IP allowlist. This page and every page under it is designed to be byte-for-byte indistinguishable from a genuinely mi</w:t>
      </w:r>
      <w:r>
        <w:t>ssing page to anyone who isn’t both on the allowlist and holding a valid token — see §5 for why.</w:t>
      </w:r>
    </w:p>
    <w:p w:rsidR="00BA3A01" w:rsidRDefault="00B158BD">
      <w:pPr>
        <w:pStyle w:val="CaptionedFigure"/>
      </w:pPr>
      <w:bookmarkStart w:id="7" w:name="_GoBack"/>
      <w:r>
        <w:rPr>
          <w:noProof/>
        </w:rPr>
        <w:lastRenderedPageBreak/>
        <w:drawing>
          <wp:inline distT="0" distB="0" distL="0" distR="0">
            <wp:extent cx="5334000" cy="3333750"/>
            <wp:effectExtent l="0" t="0" r="0" b="0"/>
            <wp:docPr id="29" name="Picture" descr="Platform Manager login"/>
            <wp:cNvGraphicFramePr/>
            <a:graphic xmlns:a="http://schemas.openxmlformats.org/drawingml/2006/main">
              <a:graphicData uri="http://schemas.openxmlformats.org/drawingml/2006/picture">
                <pic:pic xmlns:pic="http://schemas.openxmlformats.org/drawingml/2006/picture">
                  <pic:nvPicPr>
                    <pic:cNvPr id="30" name="Picture" descr="screenshots/03-ops-login.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bookmarkEnd w:id="7"/>
    </w:p>
    <w:p w:rsidR="00BA3A01" w:rsidRDefault="00B158BD">
      <w:pPr>
        <w:pStyle w:val="ImageCaption"/>
      </w:pPr>
      <w:r>
        <w:t>Platform Manager login</w:t>
      </w:r>
    </w:p>
    <w:p w:rsidR="00BA3A01" w:rsidRDefault="00B158BD">
      <w:r>
        <w:pict>
          <v:rect id="_x0000_i1026" style="width:0;height:1.5pt" o:hralign="center" o:hrstd="t" o:hr="t"/>
        </w:pict>
      </w:r>
    </w:p>
    <w:p w:rsidR="00BA3A01" w:rsidRDefault="00B158BD">
      <w:pPr>
        <w:pStyle w:val="Heading2"/>
      </w:pPr>
      <w:bookmarkStart w:id="8" w:name="day-to-day-operations-admin-console"/>
      <w:bookmarkStart w:id="9" w:name="_Toc238845142"/>
      <w:bookmarkEnd w:id="2"/>
      <w:bookmarkEnd w:id="6"/>
      <w:r>
        <w:t>2. Day-to-day operations (Admin Console)</w:t>
      </w:r>
      <w:bookmarkEnd w:id="9"/>
    </w:p>
    <w:p w:rsidR="00BA3A01" w:rsidRDefault="00B158BD">
      <w:pPr>
        <w:pStyle w:val="Heading3"/>
      </w:pPr>
      <w:bookmarkStart w:id="10" w:name="dashboard-dashboard-module-reporting"/>
      <w:r>
        <w:t>Dashboard (</w:t>
      </w:r>
      <w:r>
        <w:rPr>
          <w:rStyle w:val="VerbatimChar"/>
        </w:rPr>
        <w:t>/dashboard</w:t>
      </w:r>
      <w:r>
        <w:t xml:space="preserve">) — module: </w:t>
      </w:r>
      <w:r>
        <w:rPr>
          <w:rStyle w:val="VerbatimChar"/>
        </w:rPr>
        <w:t>reporting</w:t>
      </w:r>
    </w:p>
    <w:p w:rsidR="00BA3A01" w:rsidRDefault="00B158BD">
      <w:pPr>
        <w:pStyle w:val="FirstParagraph"/>
      </w:pPr>
      <w:r>
        <w:t>Landing page after login. High-level tenant metr</w:t>
      </w:r>
      <w:r>
        <w:t>ics (conversation volume, escalation rate, tool-call activity) at a glance.</w:t>
      </w:r>
    </w:p>
    <w:p w:rsidR="00BA3A01" w:rsidRDefault="00B158BD">
      <w:pPr>
        <w:pStyle w:val="CaptionedFigure"/>
      </w:pPr>
      <w:r>
        <w:rPr>
          <w:noProof/>
        </w:rPr>
        <w:lastRenderedPageBreak/>
        <w:drawing>
          <wp:inline distT="0" distB="0" distL="0" distR="0">
            <wp:extent cx="5334000" cy="3333750"/>
            <wp:effectExtent l="0" t="0" r="0" b="0"/>
            <wp:docPr id="34" name="Picture" descr="Dashboard"/>
            <wp:cNvGraphicFramePr/>
            <a:graphic xmlns:a="http://schemas.openxmlformats.org/drawingml/2006/main">
              <a:graphicData uri="http://schemas.openxmlformats.org/drawingml/2006/picture">
                <pic:pic xmlns:pic="http://schemas.openxmlformats.org/drawingml/2006/picture">
                  <pic:nvPicPr>
                    <pic:cNvPr id="35" name="Picture" descr="screenshots/04-dashboard.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Dashboard</w:t>
      </w:r>
    </w:p>
    <w:p w:rsidR="00BA3A01" w:rsidRDefault="00B158BD">
      <w:pPr>
        <w:pStyle w:val="Heading3"/>
      </w:pPr>
      <w:bookmarkStart w:id="11" w:name="Xe2f5f5109073991619a6665b8fbc8d4ace3455f"/>
      <w:bookmarkEnd w:id="10"/>
      <w:r>
        <w:t>Conversations (</w:t>
      </w:r>
      <w:r>
        <w:rPr>
          <w:rStyle w:val="VerbatimChar"/>
        </w:rPr>
        <w:t>/conversations</w:t>
      </w:r>
      <w:r>
        <w:t xml:space="preserve">, </w:t>
      </w:r>
      <w:r>
        <w:rPr>
          <w:rStyle w:val="VerbatimChar"/>
        </w:rPr>
        <w:t>/conversations/[id]</w:t>
      </w:r>
      <w:r>
        <w:t xml:space="preserve">) — module: </w:t>
      </w:r>
      <w:r>
        <w:rPr>
          <w:rStyle w:val="VerbatimChar"/>
        </w:rPr>
        <w:t>conversations</w:t>
      </w:r>
    </w:p>
    <w:p w:rsidR="00BA3A01" w:rsidRDefault="00B158BD">
      <w:pPr>
        <w:pStyle w:val="FirstParagraph"/>
      </w:pPr>
      <w:r>
        <w:t xml:space="preserve">The list of every conversation the tenant’s agents have had, filterable by status, </w:t>
      </w:r>
      <w:r>
        <w:t>recognized task/intent, language, and date range. Opening one shows the full transcript, the agent’s reasoning trace (collapsible, so the transcript itself stays readable), and any tool calls it made along the way with their arguments/results.</w:t>
      </w:r>
    </w:p>
    <w:p w:rsidR="00BA3A01" w:rsidRDefault="00B158BD">
      <w:pPr>
        <w:pStyle w:val="CaptionedFigure"/>
      </w:pPr>
      <w:r>
        <w:rPr>
          <w:noProof/>
        </w:rPr>
        <w:lastRenderedPageBreak/>
        <w:drawing>
          <wp:inline distT="0" distB="0" distL="0" distR="0">
            <wp:extent cx="5334000" cy="3333750"/>
            <wp:effectExtent l="0" t="0" r="0" b="0"/>
            <wp:docPr id="38" name="Picture" descr="Conversations list"/>
            <wp:cNvGraphicFramePr/>
            <a:graphic xmlns:a="http://schemas.openxmlformats.org/drawingml/2006/main">
              <a:graphicData uri="http://schemas.openxmlformats.org/drawingml/2006/picture">
                <pic:pic xmlns:pic="http://schemas.openxmlformats.org/drawingml/2006/picture">
                  <pic:nvPicPr>
                    <pic:cNvPr id="39" name="Picture" descr="screenshots/05-conversations.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Conversati</w:t>
      </w:r>
      <w:r>
        <w:t>ons list</w:t>
      </w:r>
    </w:p>
    <w:p w:rsidR="00BA3A01" w:rsidRDefault="00B158BD">
      <w:pPr>
        <w:pStyle w:val="CaptionedFigure"/>
      </w:pPr>
      <w:r>
        <w:rPr>
          <w:noProof/>
        </w:rPr>
        <w:drawing>
          <wp:inline distT="0" distB="0" distL="0" distR="0">
            <wp:extent cx="5334000" cy="3333750"/>
            <wp:effectExtent l="0" t="0" r="0" b="0"/>
            <wp:docPr id="41" name="Picture" descr="Conversation detail"/>
            <wp:cNvGraphicFramePr/>
            <a:graphic xmlns:a="http://schemas.openxmlformats.org/drawingml/2006/main">
              <a:graphicData uri="http://schemas.openxmlformats.org/drawingml/2006/picture">
                <pic:pic xmlns:pic="http://schemas.openxmlformats.org/drawingml/2006/picture">
                  <pic:nvPicPr>
                    <pic:cNvPr id="42" name="Picture" descr="screenshots/06-conversation-detail.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Conversation detail</w:t>
      </w:r>
    </w:p>
    <w:p w:rsidR="00BA3A01" w:rsidRDefault="00B158BD">
      <w:pPr>
        <w:pStyle w:val="Heading3"/>
      </w:pPr>
      <w:bookmarkStart w:id="12" w:name="Xe3d65b6f31222b76f03c99b379daab72853f5bc"/>
      <w:bookmarkEnd w:id="11"/>
      <w:r>
        <w:t>Approval Queue (</w:t>
      </w:r>
      <w:r>
        <w:rPr>
          <w:rStyle w:val="VerbatimChar"/>
        </w:rPr>
        <w:t>/approvals</w:t>
      </w:r>
      <w:r>
        <w:t xml:space="preserve">) — module: </w:t>
      </w:r>
      <w:r>
        <w:rPr>
          <w:rStyle w:val="VerbatimChar"/>
        </w:rPr>
        <w:t>approval_queue</w:t>
      </w:r>
    </w:p>
    <w:p w:rsidR="00BA3A01" w:rsidRDefault="00B158BD">
      <w:pPr>
        <w:pStyle w:val="FirstParagraph"/>
      </w:pPr>
      <w:r>
        <w:t xml:space="preserve">Tool calls an agent wants to make that are classified as high-risk (Tier-3) sit here pending a human decision — approve or deny, with an optional note. This is the human </w:t>
      </w:r>
      <w:r>
        <w:lastRenderedPageBreak/>
        <w:t>checkpoint in the tool-tiering system: Tier-1 calls run automatically, Tier-2 calls are logged, Tier-3 calls stop here until a person signs off.</w:t>
      </w:r>
    </w:p>
    <w:p w:rsidR="00BA3A01" w:rsidRDefault="00B158BD">
      <w:pPr>
        <w:pStyle w:val="CaptionedFigure"/>
      </w:pPr>
      <w:r>
        <w:rPr>
          <w:noProof/>
        </w:rPr>
        <w:drawing>
          <wp:inline distT="0" distB="0" distL="0" distR="0">
            <wp:extent cx="5334000" cy="3333750"/>
            <wp:effectExtent l="0" t="0" r="0" b="0"/>
            <wp:docPr id="45" name="Picture" descr="Approval Queue"/>
            <wp:cNvGraphicFramePr/>
            <a:graphic xmlns:a="http://schemas.openxmlformats.org/drawingml/2006/main">
              <a:graphicData uri="http://schemas.openxmlformats.org/drawingml/2006/picture">
                <pic:pic xmlns:pic="http://schemas.openxmlformats.org/drawingml/2006/picture">
                  <pic:nvPicPr>
                    <pic:cNvPr id="46" name="Picture" descr="screenshots/07-approvals.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Approval Queue</w:t>
      </w:r>
    </w:p>
    <w:p w:rsidR="00BA3A01" w:rsidRDefault="00B158BD">
      <w:pPr>
        <w:pStyle w:val="Heading3"/>
      </w:pPr>
      <w:bookmarkStart w:id="13" w:name="Xb91913db9c962d9c4fcacde3fd0f05b6597c5d3"/>
      <w:bookmarkEnd w:id="12"/>
      <w:r>
        <w:t>Escalation Queue (</w:t>
      </w:r>
      <w:r>
        <w:rPr>
          <w:rStyle w:val="VerbatimChar"/>
        </w:rPr>
        <w:t>/escalations</w:t>
      </w:r>
      <w:r>
        <w:t xml:space="preserve">, </w:t>
      </w:r>
      <w:r>
        <w:rPr>
          <w:rStyle w:val="VerbatimChar"/>
        </w:rPr>
        <w:t>/escalations/[id]</w:t>
      </w:r>
      <w:r>
        <w:t xml:space="preserve">) — module: </w:t>
      </w:r>
      <w:r>
        <w:rPr>
          <w:rStyle w:val="VerbatimChar"/>
        </w:rPr>
        <w:t>escalations</w:t>
      </w:r>
    </w:p>
    <w:p w:rsidR="00BA3A01" w:rsidRDefault="00B158BD">
      <w:pPr>
        <w:pStyle w:val="FirstParagraph"/>
      </w:pPr>
      <w:r>
        <w:t>Conversations an agen</w:t>
      </w:r>
      <w:r>
        <w:t>t handed off to a human (low confidence, an explicit customer request, or a guardrail trip) land here. Opening one is a live takeover panel: send a message directly to the customer, see the same reasoning/tool-call history the agent had, and either resolve</w:t>
      </w:r>
      <w:r>
        <w:t xml:space="preserve"> the escalation or hand it back to the bot.</w:t>
      </w:r>
    </w:p>
    <w:p w:rsidR="00BA3A01" w:rsidRDefault="00B158BD">
      <w:pPr>
        <w:pStyle w:val="CaptionedFigure"/>
      </w:pPr>
      <w:r>
        <w:rPr>
          <w:noProof/>
        </w:rPr>
        <w:lastRenderedPageBreak/>
        <w:drawing>
          <wp:inline distT="0" distB="0" distL="0" distR="0">
            <wp:extent cx="5334000" cy="3333750"/>
            <wp:effectExtent l="0" t="0" r="0" b="0"/>
            <wp:docPr id="49" name="Picture" descr="Escalation Queue"/>
            <wp:cNvGraphicFramePr/>
            <a:graphic xmlns:a="http://schemas.openxmlformats.org/drawingml/2006/main">
              <a:graphicData uri="http://schemas.openxmlformats.org/drawingml/2006/picture">
                <pic:pic xmlns:pic="http://schemas.openxmlformats.org/drawingml/2006/picture">
                  <pic:nvPicPr>
                    <pic:cNvPr id="50" name="Picture" descr="screenshots/08-escalations.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Escalation Queue</w:t>
      </w:r>
    </w:p>
    <w:p w:rsidR="00BA3A01" w:rsidRDefault="00B158BD">
      <w:pPr>
        <w:pStyle w:val="Heading3"/>
      </w:pPr>
      <w:bookmarkStart w:id="14" w:name="Xf4975aeec89611bafe45b999dd76d1e12e98f08"/>
      <w:bookmarkEnd w:id="13"/>
      <w:r>
        <w:t>Channels (</w:t>
      </w:r>
      <w:r>
        <w:rPr>
          <w:rStyle w:val="VerbatimChar"/>
        </w:rPr>
        <w:t>/channels</w:t>
      </w:r>
      <w:r>
        <w:t xml:space="preserve">, </w:t>
      </w:r>
      <w:r>
        <w:rPr>
          <w:rStyle w:val="VerbatimChar"/>
        </w:rPr>
        <w:t>/channels/new</w:t>
      </w:r>
      <w:r>
        <w:t xml:space="preserve">) — module: </w:t>
      </w:r>
      <w:r>
        <w:rPr>
          <w:rStyle w:val="VerbatimChar"/>
        </w:rPr>
        <w:t>channels</w:t>
      </w:r>
    </w:p>
    <w:p w:rsidR="00BA3A01" w:rsidRDefault="00B158BD">
      <w:pPr>
        <w:pStyle w:val="FirstParagraph"/>
      </w:pPr>
      <w:r>
        <w:t>Where a tenant’s customer-facing entry points live — currently a Web Widget channel type and a WhatsApp Business channel type, added via a</w:t>
      </w:r>
      <w:r>
        <w:t xml:space="preserve"> type-picker → type-specific setup flow. Each channel’s detail page (WhatsApp’s, specifically) lets you configure the Meta/WABA connection, webhook, and consent settings, and every mutating control disables itself for a Read-only viewer rather than hiding </w:t>
      </w:r>
      <w:r>
        <w:t>— so a viewer can see the full configuration without being able to change it.</w:t>
      </w:r>
    </w:p>
    <w:p w:rsidR="00BA3A01" w:rsidRDefault="00B158BD">
      <w:pPr>
        <w:pStyle w:val="CaptionedFigure"/>
      </w:pPr>
      <w:r>
        <w:rPr>
          <w:noProof/>
        </w:rPr>
        <w:lastRenderedPageBreak/>
        <w:drawing>
          <wp:inline distT="0" distB="0" distL="0" distR="0">
            <wp:extent cx="5334000" cy="3333750"/>
            <wp:effectExtent l="0" t="0" r="0" b="0"/>
            <wp:docPr id="53" name="Picture" descr="Channels list"/>
            <wp:cNvGraphicFramePr/>
            <a:graphic xmlns:a="http://schemas.openxmlformats.org/drawingml/2006/main">
              <a:graphicData uri="http://schemas.openxmlformats.org/drawingml/2006/picture">
                <pic:pic xmlns:pic="http://schemas.openxmlformats.org/drawingml/2006/picture">
                  <pic:nvPicPr>
                    <pic:cNvPr id="54" name="Picture" descr="screenshots/09-channels.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Channels list</w:t>
      </w:r>
    </w:p>
    <w:p w:rsidR="00BA3A01" w:rsidRDefault="00B158BD">
      <w:pPr>
        <w:pStyle w:val="CaptionedFigure"/>
      </w:pPr>
      <w:r>
        <w:rPr>
          <w:noProof/>
        </w:rPr>
        <w:drawing>
          <wp:inline distT="0" distB="0" distL="0" distR="0">
            <wp:extent cx="5334000" cy="3333750"/>
            <wp:effectExtent l="0" t="0" r="0" b="0"/>
            <wp:docPr id="56" name="Picture" descr="Add channel"/>
            <wp:cNvGraphicFramePr/>
            <a:graphic xmlns:a="http://schemas.openxmlformats.org/drawingml/2006/main">
              <a:graphicData uri="http://schemas.openxmlformats.org/drawingml/2006/picture">
                <pic:pic xmlns:pic="http://schemas.openxmlformats.org/drawingml/2006/picture">
                  <pic:nvPicPr>
                    <pic:cNvPr id="57" name="Picture" descr="screenshots/10-channels-new.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Add channel</w:t>
      </w:r>
    </w:p>
    <w:p w:rsidR="00BA3A01" w:rsidRDefault="00B158BD">
      <w:pPr>
        <w:pStyle w:val="Heading3"/>
      </w:pPr>
      <w:bookmarkStart w:id="15" w:name="channel-test-channelschannelidtest"/>
      <w:bookmarkEnd w:id="14"/>
      <w:r>
        <w:t>Channel test (</w:t>
      </w:r>
      <w:r>
        <w:rPr>
          <w:rStyle w:val="VerbatimChar"/>
        </w:rPr>
        <w:t>/channels/[channelId]/test</w:t>
      </w:r>
      <w:r>
        <w:t>)</w:t>
      </w:r>
    </w:p>
    <w:p w:rsidR="00BA3A01" w:rsidRDefault="00B158BD">
      <w:pPr>
        <w:pStyle w:val="FirstParagraph"/>
      </w:pPr>
      <w:r>
        <w:t>A live, real chat panel embedded right in the console, running the channel’s actual currently-deployed Pro</w:t>
      </w:r>
      <w:r>
        <w:t xml:space="preserve">duction agent version — the same experience a real customer </w:t>
      </w:r>
      <w:r>
        <w:lastRenderedPageBreak/>
        <w:t>would get, useful for confirming a channel actually works without opening a separate browser tab to the public widget URL.</w:t>
      </w:r>
    </w:p>
    <w:p w:rsidR="00BA3A01" w:rsidRDefault="00B158BD">
      <w:pPr>
        <w:pStyle w:val="Heading3"/>
      </w:pPr>
      <w:bookmarkStart w:id="16" w:name="X8ed44cf68d51382110d970f9be45c7e8b830540"/>
      <w:bookmarkEnd w:id="15"/>
      <w:r>
        <w:t>Connectors (</w:t>
      </w:r>
      <w:r>
        <w:rPr>
          <w:rStyle w:val="VerbatimChar"/>
        </w:rPr>
        <w:t>/connectors</w:t>
      </w:r>
      <w:r>
        <w:t xml:space="preserve">, </w:t>
      </w:r>
      <w:r>
        <w:rPr>
          <w:rStyle w:val="VerbatimChar"/>
        </w:rPr>
        <w:t>/connectors/new</w:t>
      </w:r>
      <w:r>
        <w:t xml:space="preserve">, </w:t>
      </w:r>
      <w:r>
        <w:rPr>
          <w:rStyle w:val="VerbatimChar"/>
        </w:rPr>
        <w:t>/connectors/[id]</w:t>
      </w:r>
      <w:r>
        <w:t xml:space="preserve">) — module: </w:t>
      </w:r>
      <w:r>
        <w:rPr>
          <w:rStyle w:val="VerbatimChar"/>
        </w:rPr>
        <w:t>con</w:t>
      </w:r>
      <w:r>
        <w:rPr>
          <w:rStyle w:val="VerbatimChar"/>
        </w:rPr>
        <w:t>nectors</w:t>
      </w:r>
    </w:p>
    <w:p w:rsidR="00BA3A01" w:rsidRDefault="00B158BD">
      <w:pPr>
        <w:pStyle w:val="FirstParagraph"/>
      </w:pPr>
      <w:r>
        <w:t xml:space="preserve">An MCP connector is a backend system (a CRM, a ticketing system, an internal API — or, per the newly-seeded examples, a knowledge-graph Memory server, a web-Fetch server, Azure DevOps, or Microsoft 365) that exposes tools an agent can call. Adding </w:t>
      </w:r>
      <w:r>
        <w:t>one is a form: name, description, backend type, environment, transport (streamable HTTP or a gateway-mediated stdio process), endpoint URL, and an authentication method with the credential itself stored in the encrypted credential vault, never shown back i</w:t>
      </w:r>
      <w:r>
        <w:t>n plaintext once saved. Its detail page shows live health status.</w:t>
      </w:r>
    </w:p>
    <w:p w:rsidR="00BA3A01" w:rsidRDefault="00B158BD">
      <w:pPr>
        <w:pStyle w:val="CaptionedFigure"/>
      </w:pPr>
      <w:r>
        <w:rPr>
          <w:noProof/>
        </w:rPr>
        <w:drawing>
          <wp:inline distT="0" distB="0" distL="0" distR="0">
            <wp:extent cx="5334000" cy="3333750"/>
            <wp:effectExtent l="0" t="0" r="0" b="0"/>
            <wp:docPr id="61" name="Picture" descr="Connectors list"/>
            <wp:cNvGraphicFramePr/>
            <a:graphic xmlns:a="http://schemas.openxmlformats.org/drawingml/2006/main">
              <a:graphicData uri="http://schemas.openxmlformats.org/drawingml/2006/picture">
                <pic:pic xmlns:pic="http://schemas.openxmlformats.org/drawingml/2006/picture">
                  <pic:nvPicPr>
                    <pic:cNvPr id="62" name="Picture" descr="screenshots/11-connectors.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Connectors list</w:t>
      </w:r>
    </w:p>
    <w:p w:rsidR="00BA3A01" w:rsidRDefault="00B158BD">
      <w:pPr>
        <w:pStyle w:val="CaptionedFigure"/>
      </w:pPr>
      <w:r>
        <w:rPr>
          <w:noProof/>
        </w:rPr>
        <w:lastRenderedPageBreak/>
        <w:drawing>
          <wp:inline distT="0" distB="0" distL="0" distR="0">
            <wp:extent cx="5334000" cy="3333750"/>
            <wp:effectExtent l="0" t="0" r="0" b="0"/>
            <wp:docPr id="64" name="Picture" descr="Add connector"/>
            <wp:cNvGraphicFramePr/>
            <a:graphic xmlns:a="http://schemas.openxmlformats.org/drawingml/2006/main">
              <a:graphicData uri="http://schemas.openxmlformats.org/drawingml/2006/picture">
                <pic:pic xmlns:pic="http://schemas.openxmlformats.org/drawingml/2006/picture">
                  <pic:nvPicPr>
                    <pic:cNvPr id="65" name="Picture" descr="screenshots/12-connectors-new.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Add connector</w:t>
      </w:r>
    </w:p>
    <w:p w:rsidR="00BA3A01" w:rsidRDefault="00B158BD">
      <w:pPr>
        <w:pStyle w:val="CaptionedFigure"/>
      </w:pPr>
      <w:r>
        <w:rPr>
          <w:noProof/>
        </w:rPr>
        <w:drawing>
          <wp:inline distT="0" distB="0" distL="0" distR="0">
            <wp:extent cx="5334000" cy="3333750"/>
            <wp:effectExtent l="0" t="0" r="0" b="0"/>
            <wp:docPr id="67" name="Picture" descr="Connector detail"/>
            <wp:cNvGraphicFramePr/>
            <a:graphic xmlns:a="http://schemas.openxmlformats.org/drawingml/2006/main">
              <a:graphicData uri="http://schemas.openxmlformats.org/drawingml/2006/picture">
                <pic:pic xmlns:pic="http://schemas.openxmlformats.org/drawingml/2006/picture">
                  <pic:nvPicPr>
                    <pic:cNvPr id="68" name="Picture" descr="screenshots/13-connector-detail.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Connector detail</w:t>
      </w:r>
    </w:p>
    <w:p w:rsidR="00BA3A01" w:rsidRDefault="00B158BD">
      <w:pPr>
        <w:pStyle w:val="Heading3"/>
      </w:pPr>
      <w:bookmarkStart w:id="17" w:name="X57fe83f580f656d212ea02e4d58b110746f195b"/>
      <w:bookmarkEnd w:id="16"/>
      <w:r>
        <w:t>Tool Catalog (</w:t>
      </w:r>
      <w:r>
        <w:rPr>
          <w:rStyle w:val="VerbatimChar"/>
        </w:rPr>
        <w:t>/tools</w:t>
      </w:r>
      <w:r>
        <w:t xml:space="preserve">, </w:t>
      </w:r>
      <w:r>
        <w:rPr>
          <w:rStyle w:val="VerbatimChar"/>
        </w:rPr>
        <w:t>/tools/[id]/permissions</w:t>
      </w:r>
      <w:r>
        <w:t xml:space="preserve">) — module: </w:t>
      </w:r>
      <w:r>
        <w:rPr>
          <w:rStyle w:val="VerbatimChar"/>
        </w:rPr>
        <w:t>tool_permissions</w:t>
      </w:r>
    </w:p>
    <w:p w:rsidR="00BA3A01" w:rsidRDefault="00B158BD">
      <w:pPr>
        <w:pStyle w:val="FirstParagraph"/>
      </w:pPr>
      <w:r>
        <w:t xml:space="preserve">Every tool discovered across every connector, in one searchable list, tagged with its read/write classification and its approval tier (auto/logged/human-approval-required). </w:t>
      </w:r>
      <w:r>
        <w:lastRenderedPageBreak/>
        <w:t xml:space="preserve">Two controls sit behind a </w:t>
      </w:r>
      <w:r>
        <w:rPr>
          <w:i/>
          <w:iCs/>
        </w:rPr>
        <w:t>different</w:t>
      </w:r>
      <w:r>
        <w:t xml:space="preserve"> permission module (</w:t>
      </w:r>
      <w:r>
        <w:rPr>
          <w:rStyle w:val="VerbatimChar"/>
        </w:rPr>
        <w:t>agent_tool_config</w:t>
      </w:r>
      <w:r>
        <w:t xml:space="preserve">) than the </w:t>
      </w:r>
      <w:r>
        <w:t>list itself: whether a tool is visible to agents at all, and its priority weight when several tools could serve the same request — so a viewer with Read on the catalog but not on tool configuration can see everything and change nothing. Each tool’s own per</w:t>
      </w:r>
      <w:r>
        <w:t>missions page lets you write explicit allow/deny rules scoped by tool, connector, or backend type, with a “simulate” preview of what a given rule set would actually decide.</w:t>
      </w:r>
    </w:p>
    <w:p w:rsidR="00BA3A01" w:rsidRDefault="00B158BD">
      <w:pPr>
        <w:pStyle w:val="CaptionedFigure"/>
      </w:pPr>
      <w:r>
        <w:rPr>
          <w:noProof/>
        </w:rPr>
        <w:drawing>
          <wp:inline distT="0" distB="0" distL="0" distR="0">
            <wp:extent cx="5334000" cy="5344001"/>
            <wp:effectExtent l="0" t="0" r="0" b="0"/>
            <wp:docPr id="71" name="Picture" descr="Tool Catalog"/>
            <wp:cNvGraphicFramePr/>
            <a:graphic xmlns:a="http://schemas.openxmlformats.org/drawingml/2006/main">
              <a:graphicData uri="http://schemas.openxmlformats.org/drawingml/2006/picture">
                <pic:pic xmlns:pic="http://schemas.openxmlformats.org/drawingml/2006/picture">
                  <pic:nvPicPr>
                    <pic:cNvPr id="72" name="Picture" descr="screenshots/14-tools.png"/>
                    <pic:cNvPicPr>
                      <a:picLocks noChangeAspect="1" noChangeArrowheads="1"/>
                    </pic:cNvPicPr>
                  </pic:nvPicPr>
                  <pic:blipFill>
                    <a:blip r:embed="rId18"/>
                    <a:stretch>
                      <a:fillRect/>
                    </a:stretch>
                  </pic:blipFill>
                  <pic:spPr bwMode="auto">
                    <a:xfrm>
                      <a:off x="0" y="0"/>
                      <a:ext cx="5334000" cy="5344001"/>
                    </a:xfrm>
                    <a:prstGeom prst="rect">
                      <a:avLst/>
                    </a:prstGeom>
                    <a:noFill/>
                    <a:ln w="9525">
                      <a:noFill/>
                      <a:headEnd/>
                      <a:tailEnd/>
                    </a:ln>
                  </pic:spPr>
                </pic:pic>
              </a:graphicData>
            </a:graphic>
          </wp:inline>
        </w:drawing>
      </w:r>
    </w:p>
    <w:p w:rsidR="00BA3A01" w:rsidRDefault="00B158BD">
      <w:pPr>
        <w:pStyle w:val="ImageCaption"/>
      </w:pPr>
      <w:r>
        <w:t>Tool Catalog</w:t>
      </w:r>
    </w:p>
    <w:p w:rsidR="00BA3A01" w:rsidRDefault="00B158BD">
      <w:pPr>
        <w:pStyle w:val="CaptionedFigure"/>
      </w:pPr>
      <w:r>
        <w:rPr>
          <w:noProof/>
        </w:rPr>
        <w:lastRenderedPageBreak/>
        <w:drawing>
          <wp:inline distT="0" distB="0" distL="0" distR="0">
            <wp:extent cx="5334000" cy="3333750"/>
            <wp:effectExtent l="0" t="0" r="0" b="0"/>
            <wp:docPr id="74" name="Picture" descr="Tool permission rules"/>
            <wp:cNvGraphicFramePr/>
            <a:graphic xmlns:a="http://schemas.openxmlformats.org/drawingml/2006/main">
              <a:graphicData uri="http://schemas.openxmlformats.org/drawingml/2006/picture">
                <pic:pic xmlns:pic="http://schemas.openxmlformats.org/drawingml/2006/picture">
                  <pic:nvPicPr>
                    <pic:cNvPr id="75" name="Picture" descr="screenshots/15-tool-permissions.pn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Tool permission rules</w:t>
      </w:r>
    </w:p>
    <w:p w:rsidR="00BA3A01" w:rsidRDefault="00B158BD">
      <w:pPr>
        <w:pStyle w:val="Heading3"/>
      </w:pPr>
      <w:bookmarkStart w:id="18" w:name="mcp-health-mcp-health-module-connectors"/>
      <w:bookmarkEnd w:id="17"/>
      <w:r>
        <w:t>MCP Health (</w:t>
      </w:r>
      <w:r>
        <w:rPr>
          <w:rStyle w:val="VerbatimChar"/>
        </w:rPr>
        <w:t>/mcp-health</w:t>
      </w:r>
      <w:r>
        <w:t xml:space="preserve">) — module: </w:t>
      </w:r>
      <w:r>
        <w:rPr>
          <w:rStyle w:val="VerbatimChar"/>
        </w:rPr>
        <w:t>connectors</w:t>
      </w:r>
    </w:p>
    <w:p w:rsidR="00BA3A01" w:rsidRDefault="00B158BD">
      <w:pPr>
        <w:pStyle w:val="FirstParagraph"/>
      </w:pPr>
      <w:r>
        <w:t xml:space="preserve">Two tabs. </w:t>
      </w:r>
      <w:r>
        <w:rPr>
          <w:b/>
          <w:bCs/>
        </w:rPr>
        <w:t>Health</w:t>
      </w:r>
      <w:r>
        <w:t xml:space="preserve">: live status per connector/tool, latency, and recent error history — the operational view for “is anything broken right now.” </w:t>
      </w:r>
      <w:r>
        <w:rPr>
          <w:b/>
          <w:bCs/>
        </w:rPr>
        <w:t>Alert Configuration</w:t>
      </w:r>
      <w:r>
        <w:t>: per-connector/tool alert rules (a threshold, a destination, and for email destina</w:t>
      </w:r>
      <w:r>
        <w:t>tions a target address) — this used to be its own separate page (</w:t>
      </w:r>
      <w:r>
        <w:rPr>
          <w:rStyle w:val="VerbatimChar"/>
        </w:rPr>
        <w:t>/settings/connector-alerts</w:t>
      </w:r>
      <w:r>
        <w:t>) but was folded in here as a tab, since alert configuration is really part of health monitoring, not a tenant-wide setting; the old URL still works, it just redirec</w:t>
      </w:r>
      <w:r>
        <w:t>ts here.</w:t>
      </w:r>
    </w:p>
    <w:p w:rsidR="00BA3A01" w:rsidRDefault="00B158BD">
      <w:pPr>
        <w:pStyle w:val="CaptionedFigure"/>
      </w:pPr>
      <w:r>
        <w:rPr>
          <w:noProof/>
        </w:rPr>
        <w:lastRenderedPageBreak/>
        <w:drawing>
          <wp:inline distT="0" distB="0" distL="0" distR="0">
            <wp:extent cx="5334000" cy="3333750"/>
            <wp:effectExtent l="0" t="0" r="0" b="0"/>
            <wp:docPr id="78" name="Picture" descr="MCP Health — Health tab"/>
            <wp:cNvGraphicFramePr/>
            <a:graphic xmlns:a="http://schemas.openxmlformats.org/drawingml/2006/main">
              <a:graphicData uri="http://schemas.openxmlformats.org/drawingml/2006/picture">
                <pic:pic xmlns:pic="http://schemas.openxmlformats.org/drawingml/2006/picture">
                  <pic:nvPicPr>
                    <pic:cNvPr id="79" name="Picture" descr="screenshots/16-mcp-health.pn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MCP Health — Health tab</w:t>
      </w:r>
    </w:p>
    <w:p w:rsidR="00BA3A01" w:rsidRDefault="00B158BD">
      <w:pPr>
        <w:pStyle w:val="CaptionedFigure"/>
      </w:pPr>
      <w:r>
        <w:rPr>
          <w:noProof/>
        </w:rPr>
        <w:drawing>
          <wp:inline distT="0" distB="0" distL="0" distR="0">
            <wp:extent cx="5334000" cy="3333750"/>
            <wp:effectExtent l="0" t="0" r="0" b="0"/>
            <wp:docPr id="81" name="Picture" descr="MCP Health — Alert Configuration tab"/>
            <wp:cNvGraphicFramePr/>
            <a:graphic xmlns:a="http://schemas.openxmlformats.org/drawingml/2006/main">
              <a:graphicData uri="http://schemas.openxmlformats.org/drawingml/2006/picture">
                <pic:pic xmlns:pic="http://schemas.openxmlformats.org/drawingml/2006/picture">
                  <pic:nvPicPr>
                    <pic:cNvPr id="82" name="Picture" descr="screenshots/17-mcp-health-alerts.png"/>
                    <pic:cNvPicPr>
                      <a:picLocks noChangeAspect="1" noChangeArrowheads="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MCP Health — Alert Configuration tab</w:t>
      </w:r>
    </w:p>
    <w:p w:rsidR="00BA3A01" w:rsidRDefault="00B158BD">
      <w:r>
        <w:pict>
          <v:rect id="_x0000_i1027" style="width:0;height:1.5pt" o:hralign="center" o:hrstd="t" o:hr="t"/>
        </w:pict>
      </w:r>
    </w:p>
    <w:p w:rsidR="00BA3A01" w:rsidRDefault="00B158BD">
      <w:pPr>
        <w:pStyle w:val="Heading2"/>
      </w:pPr>
      <w:bookmarkStart w:id="19" w:name="X892fddafccff6cd163ea0bdf4ddd67a388df949"/>
      <w:bookmarkStart w:id="20" w:name="_Toc238845143"/>
      <w:bookmarkEnd w:id="8"/>
      <w:bookmarkEnd w:id="18"/>
      <w:r>
        <w:lastRenderedPageBreak/>
        <w:t>3. Agent Platform — building and running agents</w:t>
      </w:r>
      <w:bookmarkEnd w:id="20"/>
    </w:p>
    <w:p w:rsidR="00BA3A01" w:rsidRDefault="00B158BD">
      <w:pPr>
        <w:pStyle w:val="FirstParagraph"/>
      </w:pPr>
      <w:r>
        <w:t>Everything in this section shares one sidebar group (“Agent Platform”) and one permission module (</w:t>
      </w:r>
      <w:r>
        <w:rPr>
          <w:rStyle w:val="VerbatimChar"/>
        </w:rPr>
        <w:t>agent_platform</w:t>
      </w:r>
      <w:r>
        <w:t>).</w:t>
      </w:r>
    </w:p>
    <w:p w:rsidR="00BA3A01" w:rsidRDefault="00B158BD">
      <w:pPr>
        <w:pStyle w:val="Heading3"/>
      </w:pPr>
      <w:bookmarkStart w:id="21" w:name="X0ab4e0c1171d9fe85c2ab547b14f2d5f4454391"/>
      <w:r>
        <w:t>Definitions (</w:t>
      </w:r>
      <w:r>
        <w:rPr>
          <w:rStyle w:val="VerbatimChar"/>
        </w:rPr>
        <w:t>/age</w:t>
      </w:r>
      <w:r>
        <w:rPr>
          <w:rStyle w:val="VerbatimChar"/>
        </w:rPr>
        <w:t>nt-platform/definitions</w:t>
      </w:r>
      <w:r>
        <w:t xml:space="preserve">, </w:t>
      </w:r>
      <w:r>
        <w:rPr>
          <w:rStyle w:val="VerbatimChar"/>
        </w:rPr>
        <w:t>/agent-platform/definitions/[id]</w:t>
      </w:r>
      <w:r>
        <w:t>)</w:t>
      </w:r>
    </w:p>
    <w:p w:rsidR="00BA3A01" w:rsidRDefault="00B158BD">
      <w:pPr>
        <w:pStyle w:val="FirstParagraph"/>
      </w:pPr>
      <w:r>
        <w:t xml:space="preserve">An </w:t>
      </w:r>
      <w:r>
        <w:rPr>
          <w:b/>
          <w:bCs/>
        </w:rPr>
        <w:t>agent definition</w:t>
      </w:r>
      <w:r>
        <w:t xml:space="preserve"> is the named, versioned “thing” a channel actually talks to — think of it as the agent’s identity, with a history of versions underneath it. The list shows every definition, its</w:t>
      </w:r>
      <w:r>
        <w:t xml:space="preserve"> version count, and which version (if any) is live in Production. A definition’s detail page lists every version with its status (Draft → EvalGated → HumanReview → Approved → Production → Deprecated), whether it has a linked Git commit/PR, and row actions:</w:t>
      </w:r>
      <w:r>
        <w:t xml:space="preserve"> open it, compare two versions, promote one, or </w:t>
      </w:r>
      <w:r>
        <w:rPr>
          <w:b/>
          <w:bCs/>
        </w:rPr>
        <w:t>Restore</w:t>
      </w:r>
      <w:r>
        <w:t xml:space="preserve"> an old version — which creates a brand-new version pre-filled with that old one’s content (versions themselves are immutable and never mutated; restoring is “author a new version from an old one,” not</w:t>
      </w:r>
      <w:r>
        <w:t xml:space="preserve"> a rollback).</w:t>
      </w:r>
    </w:p>
    <w:p w:rsidR="00BA3A01" w:rsidRDefault="00B158BD">
      <w:pPr>
        <w:pStyle w:val="CaptionedFigure"/>
      </w:pPr>
      <w:r>
        <w:rPr>
          <w:noProof/>
        </w:rPr>
        <w:drawing>
          <wp:inline distT="0" distB="0" distL="0" distR="0">
            <wp:extent cx="5334000" cy="3333750"/>
            <wp:effectExtent l="0" t="0" r="0" b="0"/>
            <wp:docPr id="86" name="Picture" descr="Agent Definitions list"/>
            <wp:cNvGraphicFramePr/>
            <a:graphic xmlns:a="http://schemas.openxmlformats.org/drawingml/2006/main">
              <a:graphicData uri="http://schemas.openxmlformats.org/drawingml/2006/picture">
                <pic:pic xmlns:pic="http://schemas.openxmlformats.org/drawingml/2006/picture">
                  <pic:nvPicPr>
                    <pic:cNvPr id="87" name="Picture" descr="screenshots/18-definitions.png"/>
                    <pic:cNvPicPr>
                      <a:picLocks noChangeAspect="1" noChangeArrowheads="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Agent Definitions list</w:t>
      </w:r>
    </w:p>
    <w:p w:rsidR="00BA3A01" w:rsidRDefault="00B158BD">
      <w:pPr>
        <w:pStyle w:val="CaptionedFigure"/>
      </w:pPr>
      <w:r>
        <w:rPr>
          <w:noProof/>
        </w:rPr>
        <w:lastRenderedPageBreak/>
        <w:drawing>
          <wp:inline distT="0" distB="0" distL="0" distR="0">
            <wp:extent cx="5334000" cy="3333750"/>
            <wp:effectExtent l="0" t="0" r="0" b="0"/>
            <wp:docPr id="89" name="Picture" descr="Agent Definition detail"/>
            <wp:cNvGraphicFramePr/>
            <a:graphic xmlns:a="http://schemas.openxmlformats.org/drawingml/2006/main">
              <a:graphicData uri="http://schemas.openxmlformats.org/drawingml/2006/picture">
                <pic:pic xmlns:pic="http://schemas.openxmlformats.org/drawingml/2006/picture">
                  <pic:nvPicPr>
                    <pic:cNvPr id="90" name="Picture" descr="screenshots/19-definition-detail.png"/>
                    <pic:cNvPicPr>
                      <a:picLocks noChangeAspect="1" noChangeArrowheads="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Agent Definition detail</w:t>
      </w:r>
    </w:p>
    <w:p w:rsidR="00BA3A01" w:rsidRDefault="00B158BD">
      <w:pPr>
        <w:pStyle w:val="Heading3"/>
      </w:pPr>
      <w:bookmarkStart w:id="22" w:name="Xa4a7b358bcb0511dec9cb228b54647fe22744ac"/>
      <w:bookmarkEnd w:id="21"/>
      <w:r>
        <w:t>Create/edit a version (</w:t>
      </w:r>
      <w:r>
        <w:rPr>
          <w:rStyle w:val="VerbatimChar"/>
        </w:rPr>
        <w:t>/agent-platform/definitions/[id]/versions/new</w:t>
      </w:r>
      <w:r>
        <w:t>)</w:t>
      </w:r>
    </w:p>
    <w:p w:rsidR="00BA3A01" w:rsidRDefault="00B158BD">
      <w:pPr>
        <w:pStyle w:val="FirstParagraph"/>
      </w:pPr>
      <w:r>
        <w:t xml:space="preserve">This is where an agent’s actual behavior gets authored, in one of two interchangeable modes: - </w:t>
      </w:r>
      <w:r>
        <w:rPr>
          <w:b/>
          <w:bCs/>
        </w:rPr>
        <w:t>Text mode</w:t>
      </w:r>
      <w:r>
        <w:t>: a raw YAML edit</w:t>
      </w:r>
      <w:r>
        <w:t xml:space="preserve">or for the full definition (model route, system instructions, tool policy, guardrails, memory strategy, eval suite, cost/latency budgets). - </w:t>
      </w:r>
      <w:r>
        <w:rPr>
          <w:b/>
          <w:bCs/>
        </w:rPr>
        <w:t>Design mode</w:t>
      </w:r>
      <w:r>
        <w:t>: the identical content as a real structured form — a section per concern, including a real picker for w</w:t>
      </w:r>
      <w:r>
        <w:t>hich Tool Registry capability groups (e.g. “Knowledge &amp; Web,” “DevOps &amp; Code”) this version’s tool calls are scoped to, instead of hand-typing group names.</w:t>
      </w:r>
    </w:p>
    <w:p w:rsidR="00BA3A01" w:rsidRDefault="00B158BD">
      <w:pPr>
        <w:pStyle w:val="BodyText"/>
      </w:pPr>
      <w:r>
        <w:t>Switching tabs re-derives one representation from the other, so either mode can be used to build the</w:t>
      </w:r>
      <w:r>
        <w:t xml:space="preserve"> same version and the YAML underneath is always what actually gets validated and saved — Design mode is a friendlier way to produce it, not a separate system. A version can be created and edited entirely without ever connecting a Git repository (Git sync, </w:t>
      </w:r>
      <w:r>
        <w:t>when connected, is a bonus for diff/PR review — never a requirement to make progress).</w:t>
      </w:r>
    </w:p>
    <w:p w:rsidR="00BA3A01" w:rsidRDefault="00B158BD">
      <w:pPr>
        <w:pStyle w:val="CaptionedFigure"/>
      </w:pPr>
      <w:r>
        <w:rPr>
          <w:noProof/>
        </w:rPr>
        <w:lastRenderedPageBreak/>
        <w:drawing>
          <wp:inline distT="0" distB="0" distL="0" distR="0">
            <wp:extent cx="5334000" cy="3333750"/>
            <wp:effectExtent l="0" t="0" r="0" b="0"/>
            <wp:docPr id="93" name="Picture" descr="Create version — Text mode"/>
            <wp:cNvGraphicFramePr/>
            <a:graphic xmlns:a="http://schemas.openxmlformats.org/drawingml/2006/main">
              <a:graphicData uri="http://schemas.openxmlformats.org/drawingml/2006/picture">
                <pic:pic xmlns:pic="http://schemas.openxmlformats.org/drawingml/2006/picture">
                  <pic:nvPicPr>
                    <pic:cNvPr id="94" name="Picture" descr="screenshots/20-version-new-text.png"/>
                    <pic:cNvPicPr>
                      <a:picLocks noChangeAspect="1" noChangeArrowheads="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Create version — Text mode</w:t>
      </w:r>
    </w:p>
    <w:p w:rsidR="00BA3A01" w:rsidRDefault="00B158BD">
      <w:pPr>
        <w:pStyle w:val="CaptionedFigure"/>
      </w:pPr>
      <w:r>
        <w:rPr>
          <w:noProof/>
        </w:rPr>
        <w:lastRenderedPageBreak/>
        <w:drawing>
          <wp:inline distT="0" distB="0" distL="0" distR="0">
            <wp:extent cx="5334000" cy="6307455"/>
            <wp:effectExtent l="0" t="0" r="0" b="0"/>
            <wp:docPr id="96" name="Picture" descr="Create version — Design mode"/>
            <wp:cNvGraphicFramePr/>
            <a:graphic xmlns:a="http://schemas.openxmlformats.org/drawingml/2006/main">
              <a:graphicData uri="http://schemas.openxmlformats.org/drawingml/2006/picture">
                <pic:pic xmlns:pic="http://schemas.openxmlformats.org/drawingml/2006/picture">
                  <pic:nvPicPr>
                    <pic:cNvPr id="97" name="Picture" descr="screenshots/21-version-new-design.png"/>
                    <pic:cNvPicPr>
                      <a:picLocks noChangeAspect="1" noChangeArrowheads="1"/>
                    </pic:cNvPicPr>
                  </pic:nvPicPr>
                  <pic:blipFill>
                    <a:blip r:embed="rId25"/>
                    <a:stretch>
                      <a:fillRect/>
                    </a:stretch>
                  </pic:blipFill>
                  <pic:spPr bwMode="auto">
                    <a:xfrm>
                      <a:off x="0" y="0"/>
                      <a:ext cx="5334000" cy="6307455"/>
                    </a:xfrm>
                    <a:prstGeom prst="rect">
                      <a:avLst/>
                    </a:prstGeom>
                    <a:noFill/>
                    <a:ln w="9525">
                      <a:noFill/>
                      <a:headEnd/>
                      <a:tailEnd/>
                    </a:ln>
                  </pic:spPr>
                </pic:pic>
              </a:graphicData>
            </a:graphic>
          </wp:inline>
        </w:drawing>
      </w:r>
    </w:p>
    <w:p w:rsidR="00BA3A01" w:rsidRDefault="00B158BD">
      <w:pPr>
        <w:pStyle w:val="ImageCaption"/>
      </w:pPr>
      <w:r>
        <w:t>Create version — Design mode</w:t>
      </w:r>
    </w:p>
    <w:p w:rsidR="00BA3A01" w:rsidRDefault="00B158BD">
      <w:pPr>
        <w:pStyle w:val="Heading3"/>
      </w:pPr>
      <w:bookmarkStart w:id="23" w:name="Xf9bffd67a4757725cd9b62b6bccb090462c6d25"/>
      <w:bookmarkEnd w:id="22"/>
      <w:r>
        <w:t>Promoting a version (Definitions detail page)</w:t>
      </w:r>
    </w:p>
    <w:p w:rsidR="00BA3A01" w:rsidRDefault="00B158BD">
      <w:pPr>
        <w:pStyle w:val="FirstParagraph"/>
      </w:pPr>
      <w:r>
        <w:t xml:space="preserve">Moving a version through Draft → … → Production requires, at the last step: (1) a passing eval-suite run, (2) approval from someone </w:t>
      </w:r>
      <w:r>
        <w:rPr>
          <w:i/>
          <w:iCs/>
        </w:rPr>
        <w:t>other than</w:t>
      </w:r>
      <w:r>
        <w:t xml:space="preserve"> whoever created the version (an in-app reviewer≠author check — this stands in for Git PR review when no Git repo </w:t>
      </w:r>
      <w:r>
        <w:t xml:space="preserve">is connected, and is enforced either way), and (3) at least one completed sandbox test conversation against that exact version (see below) — so nothing reaches real customers without both a second pair of eyes and a real conversation having actually </w:t>
      </w:r>
      <w:r>
        <w:lastRenderedPageBreak/>
        <w:t>been t</w:t>
      </w:r>
      <w:r>
        <w:t>ried against it. Promoting a follow-up version for an agent that’s already live in Production correctly replaces the prior deployment rather than trying to run two at once.</w:t>
      </w:r>
    </w:p>
    <w:p w:rsidR="00BA3A01" w:rsidRDefault="00B158BD">
      <w:pPr>
        <w:pStyle w:val="Heading3"/>
      </w:pPr>
      <w:bookmarkStart w:id="24" w:name="X71c2e74ff95fe7cd5f2507ff28ad74fcf502291"/>
      <w:bookmarkEnd w:id="23"/>
      <w:r>
        <w:t>Version detail (</w:t>
      </w:r>
      <w:r>
        <w:rPr>
          <w:rStyle w:val="VerbatimChar"/>
        </w:rPr>
        <w:t>/agent-platform/versions/[versionId]</w:t>
      </w:r>
      <w:r>
        <w:t>)</w:t>
      </w:r>
    </w:p>
    <w:p w:rsidR="00BA3A01" w:rsidRDefault="00B158BD">
      <w:pPr>
        <w:pStyle w:val="FirstParagraph"/>
      </w:pPr>
      <w:r>
        <w:t xml:space="preserve">Three tabs on one version: </w:t>
      </w:r>
      <w:r>
        <w:rPr>
          <w:b/>
          <w:bCs/>
        </w:rPr>
        <w:t>Ov</w:t>
      </w:r>
      <w:r>
        <w:rPr>
          <w:b/>
          <w:bCs/>
        </w:rPr>
        <w:t>erview</w:t>
      </w:r>
      <w:r>
        <w:t xml:space="preserve"> (the read-only YAML — versions never change after creation, so this is always exactly what was saved), </w:t>
      </w:r>
      <w:r>
        <w:rPr>
          <w:b/>
          <w:bCs/>
        </w:rPr>
        <w:t>Eval</w:t>
      </w:r>
      <w:r>
        <w:t xml:space="preserve"> (bind an eval suite, run it, see per-case pass/fail history), and </w:t>
      </w:r>
      <w:r>
        <w:rPr>
          <w:b/>
          <w:bCs/>
        </w:rPr>
        <w:t>Sandbox</w:t>
      </w:r>
      <w:r>
        <w:t xml:space="preserve"> — a real, live chat panel running this exact version in an isolated</w:t>
      </w:r>
      <w:r>
        <w:t xml:space="preserve"> test conversation, invisible to real customers and never resumable, which is both how a person manually tries a version before promoting it and the mechanism that satisfies the sandbox-test promotion gate above.</w:t>
      </w:r>
    </w:p>
    <w:p w:rsidR="00BA3A01" w:rsidRDefault="00B158BD">
      <w:pPr>
        <w:pStyle w:val="CaptionedFigure"/>
      </w:pPr>
      <w:r>
        <w:rPr>
          <w:noProof/>
        </w:rPr>
        <w:drawing>
          <wp:inline distT="0" distB="0" distL="0" distR="0">
            <wp:extent cx="5334000" cy="3333750"/>
            <wp:effectExtent l="0" t="0" r="0" b="0"/>
            <wp:docPr id="101" name="Picture" descr="Version detail — Overview tab"/>
            <wp:cNvGraphicFramePr/>
            <a:graphic xmlns:a="http://schemas.openxmlformats.org/drawingml/2006/main">
              <a:graphicData uri="http://schemas.openxmlformats.org/drawingml/2006/picture">
                <pic:pic xmlns:pic="http://schemas.openxmlformats.org/drawingml/2006/picture">
                  <pic:nvPicPr>
                    <pic:cNvPr id="102" name="Picture" descr="screenshots/22-version-detail-overview.png"/>
                    <pic:cNvPicPr>
                      <a:picLocks noChangeAspect="1" noChangeArrowheads="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Version detail — Overview tab</w:t>
      </w:r>
    </w:p>
    <w:p w:rsidR="00BA3A01" w:rsidRDefault="00B158BD">
      <w:pPr>
        <w:pStyle w:val="CaptionedFigure"/>
      </w:pPr>
      <w:r>
        <w:rPr>
          <w:noProof/>
        </w:rPr>
        <w:lastRenderedPageBreak/>
        <w:drawing>
          <wp:inline distT="0" distB="0" distL="0" distR="0">
            <wp:extent cx="5334000" cy="3333750"/>
            <wp:effectExtent l="0" t="0" r="0" b="0"/>
            <wp:docPr id="104" name="Picture" descr="Version detail — Eval tab"/>
            <wp:cNvGraphicFramePr/>
            <a:graphic xmlns:a="http://schemas.openxmlformats.org/drawingml/2006/main">
              <a:graphicData uri="http://schemas.openxmlformats.org/drawingml/2006/picture">
                <pic:pic xmlns:pic="http://schemas.openxmlformats.org/drawingml/2006/picture">
                  <pic:nvPicPr>
                    <pic:cNvPr id="105" name="Picture" descr="screenshots/23-version-detail-eval.png"/>
                    <pic:cNvPicPr>
                      <a:picLocks noChangeAspect="1" noChangeArrowheads="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Version detail — Eval tab</w:t>
      </w:r>
    </w:p>
    <w:p w:rsidR="00BA3A01" w:rsidRDefault="00B158BD">
      <w:pPr>
        <w:pStyle w:val="CaptionedFigure"/>
      </w:pPr>
      <w:r>
        <w:rPr>
          <w:noProof/>
        </w:rPr>
        <w:drawing>
          <wp:inline distT="0" distB="0" distL="0" distR="0">
            <wp:extent cx="5334000" cy="3333750"/>
            <wp:effectExtent l="0" t="0" r="0" b="0"/>
            <wp:docPr id="107" name="Picture" descr="Version detail — Sandbox tab"/>
            <wp:cNvGraphicFramePr/>
            <a:graphic xmlns:a="http://schemas.openxmlformats.org/drawingml/2006/main">
              <a:graphicData uri="http://schemas.openxmlformats.org/drawingml/2006/picture">
                <pic:pic xmlns:pic="http://schemas.openxmlformats.org/drawingml/2006/picture">
                  <pic:nvPicPr>
                    <pic:cNvPr id="108" name="Picture" descr="screenshots/24-version-detail-sandbox.png"/>
                    <pic:cNvPicPr>
                      <a:picLocks noChangeAspect="1" noChangeArrowheads="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Version detail — Sandbox tab</w:t>
      </w:r>
    </w:p>
    <w:p w:rsidR="00BA3A01" w:rsidRDefault="00B158BD">
      <w:pPr>
        <w:pStyle w:val="Heading3"/>
      </w:pPr>
      <w:bookmarkStart w:id="25" w:name="Xdc3507ad61653c835670727400171ed6fa62c29"/>
      <w:bookmarkEnd w:id="24"/>
      <w:r>
        <w:t>Evals (</w:t>
      </w:r>
      <w:r>
        <w:rPr>
          <w:rStyle w:val="VerbatimChar"/>
        </w:rPr>
        <w:t>/agent-platform/evals</w:t>
      </w:r>
      <w:r>
        <w:t xml:space="preserve">, </w:t>
      </w:r>
      <w:r>
        <w:rPr>
          <w:rStyle w:val="VerbatimChar"/>
        </w:rPr>
        <w:t>/agent-platform/evals/[id]</w:t>
      </w:r>
      <w:r>
        <w:t>)</w:t>
      </w:r>
    </w:p>
    <w:p w:rsidR="00BA3A01" w:rsidRDefault="00B158BD">
      <w:pPr>
        <w:pStyle w:val="FirstParagraph"/>
      </w:pPr>
      <w:r>
        <w:t>An eval suite is a named set of test cases — each a scripted mini-conversation with an expected-response pattern, a pass threshold, and a cos</w:t>
      </w:r>
      <w:r>
        <w:t xml:space="preserve">t/latency budget — used to </w:t>
      </w:r>
      <w:r>
        <w:lastRenderedPageBreak/>
        <w:t>mechanically check whether a version behaves as intended before a human ever looks at it. The detail page is where individual cases get authored and run.</w:t>
      </w:r>
    </w:p>
    <w:p w:rsidR="00BA3A01" w:rsidRDefault="00B158BD">
      <w:pPr>
        <w:pStyle w:val="CaptionedFigure"/>
      </w:pPr>
      <w:r>
        <w:rPr>
          <w:noProof/>
        </w:rPr>
        <w:drawing>
          <wp:inline distT="0" distB="0" distL="0" distR="0">
            <wp:extent cx="5334000" cy="3333750"/>
            <wp:effectExtent l="0" t="0" r="0" b="0"/>
            <wp:docPr id="111" name="Picture" descr="Eval Suites list"/>
            <wp:cNvGraphicFramePr/>
            <a:graphic xmlns:a="http://schemas.openxmlformats.org/drawingml/2006/main">
              <a:graphicData uri="http://schemas.openxmlformats.org/drawingml/2006/picture">
                <pic:pic xmlns:pic="http://schemas.openxmlformats.org/drawingml/2006/picture">
                  <pic:nvPicPr>
                    <pic:cNvPr id="112" name="Picture" descr="screenshots/25-evals.png"/>
                    <pic:cNvPicPr>
                      <a:picLocks noChangeAspect="1" noChangeArrowheads="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Eval Suites list</w:t>
      </w:r>
    </w:p>
    <w:p w:rsidR="00BA3A01" w:rsidRDefault="00B158BD">
      <w:pPr>
        <w:pStyle w:val="Heading3"/>
      </w:pPr>
      <w:bookmarkStart w:id="26" w:name="X82ff50546f9af56fa1804ff9c21854af937ab76"/>
      <w:bookmarkEnd w:id="25"/>
      <w:r>
        <w:t>Model Gateway (</w:t>
      </w:r>
      <w:r>
        <w:rPr>
          <w:rStyle w:val="VerbatimChar"/>
        </w:rPr>
        <w:t>/agent-platform/model-gateway</w:t>
      </w:r>
      <w:r>
        <w:t>)</w:t>
      </w:r>
    </w:p>
    <w:p w:rsidR="00BA3A01" w:rsidRDefault="00B158BD">
      <w:pPr>
        <w:pStyle w:val="FirstParagraph"/>
      </w:pPr>
      <w:r>
        <w:t xml:space="preserve">Two tabs. </w:t>
      </w:r>
      <w:r>
        <w:rPr>
          <w:b/>
          <w:bCs/>
        </w:rPr>
        <w:t>Routes</w:t>
      </w:r>
      <w:r>
        <w:t xml:space="preserve">: the named model routes an agent’s </w:t>
      </w:r>
      <w:r>
        <w:rPr>
          <w:rStyle w:val="VerbatimChar"/>
        </w:rPr>
        <w:t>modelRoute</w:t>
      </w:r>
      <w:r>
        <w:t xml:space="preserve"> field points at (e.g. </w:t>
      </w:r>
      <w:r>
        <w:rPr>
          <w:rStyle w:val="VerbatimChar"/>
        </w:rPr>
        <w:t>chat.primary</w:t>
      </w:r>
      <w:r>
        <w:t>) — each is a chain of one or more providers, either a platform-registered one or a “bring your own endpoint” with its own credential, plus cache mode and timeout settin</w:t>
      </w:r>
      <w:r>
        <w:t xml:space="preserve">gs; editing a route opens a side panel rather than an always-open form, to keep the list itself readable. </w:t>
      </w:r>
      <w:r>
        <w:rPr>
          <w:b/>
          <w:bCs/>
        </w:rPr>
        <w:t>Provider Registry</w:t>
      </w:r>
      <w:r>
        <w:t>: a read-only list of the platform-level providers available to route to. Model names typed here are lightly validated (no stray whit</w:t>
      </w:r>
      <w:r>
        <w:t>espace/</w:t>
      </w:r>
      <w:r>
        <w:rPr>
          <w:rStyle w:val="VerbatimChar"/>
        </w:rPr>
        <w:t>@</w:t>
      </w:r>
      <w:r>
        <w:t>-shaped strings) to catch the obvious data-entry mistake of pasting the wrong thing into the field.</w:t>
      </w:r>
    </w:p>
    <w:p w:rsidR="00BA3A01" w:rsidRDefault="00B158BD">
      <w:pPr>
        <w:pStyle w:val="CaptionedFigure"/>
      </w:pPr>
      <w:r>
        <w:rPr>
          <w:noProof/>
        </w:rPr>
        <w:lastRenderedPageBreak/>
        <w:drawing>
          <wp:inline distT="0" distB="0" distL="0" distR="0">
            <wp:extent cx="5334000" cy="3333750"/>
            <wp:effectExtent l="0" t="0" r="0" b="0"/>
            <wp:docPr id="115" name="Picture" descr="Model Gateway — Routes tab"/>
            <wp:cNvGraphicFramePr/>
            <a:graphic xmlns:a="http://schemas.openxmlformats.org/drawingml/2006/main">
              <a:graphicData uri="http://schemas.openxmlformats.org/drawingml/2006/picture">
                <pic:pic xmlns:pic="http://schemas.openxmlformats.org/drawingml/2006/picture">
                  <pic:nvPicPr>
                    <pic:cNvPr id="116" name="Picture" descr="screenshots/26-model-gateway-routes.png"/>
                    <pic:cNvPicPr>
                      <a:picLocks noChangeAspect="1" noChangeArrowheads="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Model Gateway — Routes tab</w:t>
      </w:r>
    </w:p>
    <w:p w:rsidR="00BA3A01" w:rsidRDefault="00B158BD">
      <w:pPr>
        <w:pStyle w:val="CaptionedFigure"/>
      </w:pPr>
      <w:r>
        <w:rPr>
          <w:noProof/>
        </w:rPr>
        <w:drawing>
          <wp:inline distT="0" distB="0" distL="0" distR="0">
            <wp:extent cx="5334000" cy="3333750"/>
            <wp:effectExtent l="0" t="0" r="0" b="0"/>
            <wp:docPr id="118" name="Picture" descr="Model Gateway — Provider Registry tab"/>
            <wp:cNvGraphicFramePr/>
            <a:graphic xmlns:a="http://schemas.openxmlformats.org/drawingml/2006/main">
              <a:graphicData uri="http://schemas.openxmlformats.org/drawingml/2006/picture">
                <pic:pic xmlns:pic="http://schemas.openxmlformats.org/drawingml/2006/picture">
                  <pic:nvPicPr>
                    <pic:cNvPr id="119" name="Picture" descr="screenshots/27-model-gateway-registry.png"/>
                    <pic:cNvPicPr>
                      <a:picLocks noChangeAspect="1" noChangeArrowheads="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Model Gateway — Provider Registry tab</w:t>
      </w:r>
    </w:p>
    <w:p w:rsidR="00BA3A01" w:rsidRDefault="00B158BD">
      <w:pPr>
        <w:pStyle w:val="Heading3"/>
      </w:pPr>
      <w:bookmarkStart w:id="27" w:name="runtime-traces-agent-platformtraces"/>
      <w:bookmarkEnd w:id="26"/>
      <w:r>
        <w:lastRenderedPageBreak/>
        <w:t>Runtime Traces (</w:t>
      </w:r>
      <w:r>
        <w:rPr>
          <w:rStyle w:val="VerbatimChar"/>
        </w:rPr>
        <w:t>/agent-platform/traces</w:t>
      </w:r>
      <w:r>
        <w:t>)</w:t>
      </w:r>
    </w:p>
    <w:p w:rsidR="00BA3A01" w:rsidRDefault="00B158BD">
      <w:pPr>
        <w:pStyle w:val="FirstParagraph"/>
      </w:pPr>
      <w:r>
        <w:t>A filterable log of real agent-run exec</w:t>
      </w:r>
      <w:r>
        <w:t>utions — which definition/version handled a given turn, how long it took, and what happened — useful for debugging a specific run after the fact rather than watching health in aggregate.</w:t>
      </w:r>
    </w:p>
    <w:p w:rsidR="00BA3A01" w:rsidRDefault="00B158BD">
      <w:pPr>
        <w:pStyle w:val="CaptionedFigure"/>
      </w:pPr>
      <w:r>
        <w:rPr>
          <w:noProof/>
        </w:rPr>
        <w:drawing>
          <wp:inline distT="0" distB="0" distL="0" distR="0">
            <wp:extent cx="5334000" cy="3333750"/>
            <wp:effectExtent l="0" t="0" r="0" b="0"/>
            <wp:docPr id="122" name="Picture" descr="Runtime Traces"/>
            <wp:cNvGraphicFramePr/>
            <a:graphic xmlns:a="http://schemas.openxmlformats.org/drawingml/2006/main">
              <a:graphicData uri="http://schemas.openxmlformats.org/drawingml/2006/picture">
                <pic:pic xmlns:pic="http://schemas.openxmlformats.org/drawingml/2006/picture">
                  <pic:nvPicPr>
                    <pic:cNvPr id="123" name="Picture" descr="screenshots/28-traces.png"/>
                    <pic:cNvPicPr>
                      <a:picLocks noChangeAspect="1" noChangeArrowheads="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Runtime Traces</w:t>
      </w:r>
    </w:p>
    <w:p w:rsidR="00BA3A01" w:rsidRDefault="00B158BD">
      <w:pPr>
        <w:pStyle w:val="Heading3"/>
      </w:pPr>
      <w:bookmarkStart w:id="28" w:name="diff-agent-platformdiff"/>
      <w:bookmarkEnd w:id="27"/>
      <w:r>
        <w:t>Diff (</w:t>
      </w:r>
      <w:r>
        <w:rPr>
          <w:rStyle w:val="VerbatimChar"/>
        </w:rPr>
        <w:t>/agent-platform/diff</w:t>
      </w:r>
      <w:r>
        <w:t>)</w:t>
      </w:r>
    </w:p>
    <w:p w:rsidR="00BA3A01" w:rsidRDefault="00B158BD">
      <w:pPr>
        <w:pStyle w:val="FirstParagraph"/>
      </w:pPr>
      <w:r>
        <w:t xml:space="preserve">Side-by-side comparison </w:t>
      </w:r>
      <w:r>
        <w:t>of two versions’ YAML — reached from a definition’s “Compare…” action, not from the sidebar directly. Only available when both versions have a real Git commit behind them (this is a genuine Git-provider diff API call, not a local text diff), since a versio</w:t>
      </w:r>
      <w:r>
        <w:t>n without one has nothing on the Git side to compare.</w:t>
      </w:r>
    </w:p>
    <w:p w:rsidR="00BA3A01" w:rsidRDefault="00B158BD">
      <w:r>
        <w:pict>
          <v:rect id="_x0000_i1028" style="width:0;height:1.5pt" o:hralign="center" o:hrstd="t" o:hr="t"/>
        </w:pict>
      </w:r>
    </w:p>
    <w:p w:rsidR="00BA3A01" w:rsidRDefault="00B158BD">
      <w:pPr>
        <w:pStyle w:val="Heading2"/>
      </w:pPr>
      <w:bookmarkStart w:id="29" w:name="settings"/>
      <w:bookmarkStart w:id="30" w:name="_Toc238845144"/>
      <w:bookmarkEnd w:id="19"/>
      <w:bookmarkEnd w:id="28"/>
      <w:r>
        <w:t>4. Settings</w:t>
      </w:r>
      <w:bookmarkEnd w:id="30"/>
    </w:p>
    <w:p w:rsidR="00BA3A01" w:rsidRDefault="00B158BD">
      <w:pPr>
        <w:pStyle w:val="Heading3"/>
      </w:pPr>
      <w:bookmarkStart w:id="31" w:name="settings-hub-settings"/>
      <w:r>
        <w:t>Settings hub (</w:t>
      </w:r>
      <w:r>
        <w:rPr>
          <w:rStyle w:val="VerbatimChar"/>
        </w:rPr>
        <w:t>/settings</w:t>
      </w:r>
      <w:r>
        <w:t>)</w:t>
      </w:r>
    </w:p>
    <w:p w:rsidR="00BA3A01" w:rsidRDefault="00B158BD">
      <w:pPr>
        <w:pStyle w:val="FirstParagraph"/>
      </w:pPr>
      <w:r>
        <w:t xml:space="preserve">A landing page of cards linking to every tenant-configuration screen below, added so </w:t>
      </w:r>
      <w:r>
        <w:t>there’s one obvious place to start rather than a flat list of unrelated sidebar entries. Each card only appears if the signed-in role can actually read that screen — same fail-closed rule as everywhere else, just applied per-card instead of per-nav-item. (</w:t>
      </w:r>
      <w:r>
        <w:t>Model Gateway isn’t listed here — it stays grouped under Agent Platform, since that’s where the underlying spec places it.)</w:t>
      </w:r>
    </w:p>
    <w:p w:rsidR="00BA3A01" w:rsidRDefault="00B158BD">
      <w:pPr>
        <w:pStyle w:val="CaptionedFigure"/>
      </w:pPr>
      <w:r>
        <w:rPr>
          <w:noProof/>
        </w:rPr>
        <w:lastRenderedPageBreak/>
        <w:drawing>
          <wp:inline distT="0" distB="0" distL="0" distR="0">
            <wp:extent cx="5334000" cy="3333750"/>
            <wp:effectExtent l="0" t="0" r="0" b="0"/>
            <wp:docPr id="128" name="Picture" descr="Settings hub"/>
            <wp:cNvGraphicFramePr/>
            <a:graphic xmlns:a="http://schemas.openxmlformats.org/drawingml/2006/main">
              <a:graphicData uri="http://schemas.openxmlformats.org/drawingml/2006/picture">
                <pic:pic xmlns:pic="http://schemas.openxmlformats.org/drawingml/2006/picture">
                  <pic:nvPicPr>
                    <pic:cNvPr id="129" name="Picture" descr="screenshots/29-settings-hub.png"/>
                    <pic:cNvPicPr>
                      <a:picLocks noChangeAspect="1" noChangeArrowheads="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Settings hub</w:t>
      </w:r>
    </w:p>
    <w:p w:rsidR="00BA3A01" w:rsidRDefault="00B158BD">
      <w:pPr>
        <w:pStyle w:val="Heading3"/>
      </w:pPr>
      <w:bookmarkStart w:id="32" w:name="X6bdd03dca000d137ae06724b0c5cf03b7431456"/>
      <w:bookmarkEnd w:id="31"/>
      <w:r>
        <w:t>Branding (</w:t>
      </w:r>
      <w:r>
        <w:rPr>
          <w:rStyle w:val="VerbatimChar"/>
        </w:rPr>
        <w:t>/settings/branding</w:t>
      </w:r>
      <w:r>
        <w:t xml:space="preserve">) — module: </w:t>
      </w:r>
      <w:r>
        <w:rPr>
          <w:rStyle w:val="VerbatimChar"/>
        </w:rPr>
        <w:t>security_settings</w:t>
      </w:r>
    </w:p>
    <w:p w:rsidR="00BA3A01" w:rsidRDefault="00B158BD">
      <w:pPr>
        <w:pStyle w:val="FirstParagraph"/>
      </w:pPr>
      <w:r>
        <w:t>Primary/secondary color, logo, favicon (auto-generated from</w:t>
      </w:r>
      <w:r>
        <w:t xml:space="preserve"> the logo if none is supplied separately), and font. An optional “white-label” toggle extends the tenant’s colors into the Admin Console’s own top bar and sidebar chrome (scoped narrowly to those, not repainted across every button in the app) and onto the </w:t>
      </w:r>
      <w:r>
        <w:t>public login page for that tenant.</w:t>
      </w:r>
    </w:p>
    <w:p w:rsidR="00BA3A01" w:rsidRDefault="00B158BD">
      <w:pPr>
        <w:pStyle w:val="CaptionedFigure"/>
      </w:pPr>
      <w:r>
        <w:rPr>
          <w:noProof/>
        </w:rPr>
        <w:lastRenderedPageBreak/>
        <w:drawing>
          <wp:inline distT="0" distB="0" distL="0" distR="0">
            <wp:extent cx="5334000" cy="3333750"/>
            <wp:effectExtent l="0" t="0" r="0" b="0"/>
            <wp:docPr id="132" name="Picture" descr="Branding settings"/>
            <wp:cNvGraphicFramePr/>
            <a:graphic xmlns:a="http://schemas.openxmlformats.org/drawingml/2006/main">
              <a:graphicData uri="http://schemas.openxmlformats.org/drawingml/2006/picture">
                <pic:pic xmlns:pic="http://schemas.openxmlformats.org/drawingml/2006/picture">
                  <pic:nvPicPr>
                    <pic:cNvPr id="133" name="Picture" descr="screenshots/30-branding.png"/>
                    <pic:cNvPicPr>
                      <a:picLocks noChangeAspect="1" noChangeArrowheads="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Branding settings</w:t>
      </w:r>
    </w:p>
    <w:p w:rsidR="00BA3A01" w:rsidRDefault="00B158BD">
      <w:pPr>
        <w:pStyle w:val="Heading3"/>
      </w:pPr>
      <w:bookmarkStart w:id="33" w:name="X110752e6f3a6a84a1ec1acaf4dfb124cfdd52d4"/>
      <w:bookmarkEnd w:id="32"/>
      <w:r>
        <w:t>Escalation Routing (</w:t>
      </w:r>
      <w:r>
        <w:rPr>
          <w:rStyle w:val="VerbatimChar"/>
        </w:rPr>
        <w:t>/settings/escalation-routing</w:t>
      </w:r>
      <w:r>
        <w:t xml:space="preserve">) — module: </w:t>
      </w:r>
      <w:r>
        <w:rPr>
          <w:rStyle w:val="VerbatimChar"/>
        </w:rPr>
        <w:t>escalations</w:t>
      </w:r>
    </w:p>
    <w:p w:rsidR="00BA3A01" w:rsidRDefault="00B158BD">
      <w:pPr>
        <w:pStyle w:val="FirstParagraph"/>
      </w:pPr>
      <w:r>
        <w:t>Rules mapping a recognized goal/channel combination to a specific queue, plus a fallback rule for anything that doesn’t match — t</w:t>
      </w:r>
      <w:r>
        <w:t>his is what decides which team an escalated conversation lands in front of.</w:t>
      </w:r>
    </w:p>
    <w:p w:rsidR="00BA3A01" w:rsidRDefault="00B158BD">
      <w:pPr>
        <w:pStyle w:val="CaptionedFigure"/>
      </w:pPr>
      <w:r>
        <w:rPr>
          <w:noProof/>
        </w:rPr>
        <w:lastRenderedPageBreak/>
        <w:drawing>
          <wp:inline distT="0" distB="0" distL="0" distR="0">
            <wp:extent cx="5334000" cy="3333750"/>
            <wp:effectExtent l="0" t="0" r="0" b="0"/>
            <wp:docPr id="136" name="Picture" descr="Escalation Routing settings"/>
            <wp:cNvGraphicFramePr/>
            <a:graphic xmlns:a="http://schemas.openxmlformats.org/drawingml/2006/main">
              <a:graphicData uri="http://schemas.openxmlformats.org/drawingml/2006/picture">
                <pic:pic xmlns:pic="http://schemas.openxmlformats.org/drawingml/2006/picture">
                  <pic:nvPicPr>
                    <pic:cNvPr id="137" name="Picture" descr="screenshots/31-escalation-routing.png"/>
                    <pic:cNvPicPr>
                      <a:picLocks noChangeAspect="1" noChangeArrowheads="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Escalation Routing settings</w:t>
      </w:r>
    </w:p>
    <w:p w:rsidR="00BA3A01" w:rsidRDefault="00B158BD">
      <w:pPr>
        <w:pStyle w:val="Heading3"/>
      </w:pPr>
      <w:bookmarkStart w:id="34" w:name="X212d67f71927b6f0ce829efdea91c4ad0166c7d"/>
      <w:bookmarkEnd w:id="33"/>
      <w:r>
        <w:t>Integrations (</w:t>
      </w:r>
      <w:r>
        <w:rPr>
          <w:rStyle w:val="VerbatimChar"/>
        </w:rPr>
        <w:t>/settings/integrations</w:t>
      </w:r>
      <w:r>
        <w:t xml:space="preserve">) — module: </w:t>
      </w:r>
      <w:r>
        <w:rPr>
          <w:rStyle w:val="VerbatimChar"/>
        </w:rPr>
        <w:t>agent_platform</w:t>
      </w:r>
    </w:p>
    <w:p w:rsidR="00BA3A01" w:rsidRDefault="00B158BD">
      <w:pPr>
        <w:pStyle w:val="FirstParagraph"/>
      </w:pPr>
      <w:r>
        <w:t xml:space="preserve">The tenant’s single Git connection (GitHub or GitLab), used for optional version </w:t>
      </w:r>
      <w:r>
        <w:t>sync/PR review in the Agent Platform. One connection per tenant, not per agent. Connecting is a real OAuth handshake; the callback screen (</w:t>
      </w:r>
      <w:r>
        <w:rPr>
          <w:rStyle w:val="VerbatimChar"/>
        </w:rPr>
        <w:t>/settings/integrations/git-callback</w:t>
      </w:r>
      <w:r>
        <w:t>) completes it and shows a mandatory data-residency disclosure before the connecti</w:t>
      </w:r>
      <w:r>
        <w:t>on is finalized.</w:t>
      </w:r>
    </w:p>
    <w:p w:rsidR="00BA3A01" w:rsidRDefault="00B158BD">
      <w:pPr>
        <w:pStyle w:val="CaptionedFigure"/>
      </w:pPr>
      <w:r>
        <w:rPr>
          <w:noProof/>
        </w:rPr>
        <w:lastRenderedPageBreak/>
        <w:drawing>
          <wp:inline distT="0" distB="0" distL="0" distR="0">
            <wp:extent cx="5334000" cy="3333750"/>
            <wp:effectExtent l="0" t="0" r="0" b="0"/>
            <wp:docPr id="140" name="Picture" descr="Integrations settings"/>
            <wp:cNvGraphicFramePr/>
            <a:graphic xmlns:a="http://schemas.openxmlformats.org/drawingml/2006/main">
              <a:graphicData uri="http://schemas.openxmlformats.org/drawingml/2006/picture">
                <pic:pic xmlns:pic="http://schemas.openxmlformats.org/drawingml/2006/picture">
                  <pic:nvPicPr>
                    <pic:cNvPr id="141" name="Picture" descr="screenshots/32-integrations.png"/>
                    <pic:cNvPicPr>
                      <a:picLocks noChangeAspect="1" noChangeArrowheads="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Integrations settings</w:t>
      </w:r>
    </w:p>
    <w:p w:rsidR="00BA3A01" w:rsidRDefault="00B158BD">
      <w:pPr>
        <w:pStyle w:val="Heading3"/>
      </w:pPr>
      <w:bookmarkStart w:id="35" w:name="X1d88cd32d42726147adb4d5dfd4231d62aee768"/>
      <w:bookmarkEnd w:id="34"/>
      <w:r>
        <w:t>PII &amp; Guardrails (</w:t>
      </w:r>
      <w:r>
        <w:rPr>
          <w:rStyle w:val="VerbatimChar"/>
        </w:rPr>
        <w:t>/settings/pii-guardrails</w:t>
      </w:r>
      <w:r>
        <w:t xml:space="preserve">) — module: </w:t>
      </w:r>
      <w:r>
        <w:rPr>
          <w:rStyle w:val="VerbatimChar"/>
        </w:rPr>
        <w:t>security_settings</w:t>
      </w:r>
    </w:p>
    <w:p w:rsidR="00BA3A01" w:rsidRDefault="00B158BD">
      <w:pPr>
        <w:pStyle w:val="FirstParagraph"/>
      </w:pPr>
      <w:r>
        <w:t>Three related configuration surfaces: detection rules (which PII entity types to recognize, including custom regex-based ones), a masking-conte</w:t>
      </w:r>
      <w:r>
        <w:t>xt matrix (how to treat a given entity type in a given context/trust-level combination — unconfigured combinations default to full masking, fail-closed), and pre-tool-call guardrails that can block a specific tool call outright with a stated reason.</w:t>
      </w:r>
    </w:p>
    <w:p w:rsidR="00BA3A01" w:rsidRDefault="00B158BD">
      <w:pPr>
        <w:pStyle w:val="CaptionedFigure"/>
      </w:pPr>
      <w:r>
        <w:rPr>
          <w:noProof/>
        </w:rPr>
        <w:lastRenderedPageBreak/>
        <w:drawing>
          <wp:inline distT="0" distB="0" distL="0" distR="0">
            <wp:extent cx="5334000" cy="3333750"/>
            <wp:effectExtent l="0" t="0" r="0" b="0"/>
            <wp:docPr id="144" name="Picture" descr="PII &amp; Guardrails settings"/>
            <wp:cNvGraphicFramePr/>
            <a:graphic xmlns:a="http://schemas.openxmlformats.org/drawingml/2006/main">
              <a:graphicData uri="http://schemas.openxmlformats.org/drawingml/2006/picture">
                <pic:pic xmlns:pic="http://schemas.openxmlformats.org/drawingml/2006/picture">
                  <pic:nvPicPr>
                    <pic:cNvPr id="145" name="Picture" descr="screenshots/33-pii-guardrails.png"/>
                    <pic:cNvPicPr>
                      <a:picLocks noChangeAspect="1" noChangeArrowheads="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 xml:space="preserve">PII </w:t>
      </w:r>
      <w:r>
        <w:t>&amp; Guardrails settings</w:t>
      </w:r>
    </w:p>
    <w:p w:rsidR="00BA3A01" w:rsidRDefault="00B158BD">
      <w:pPr>
        <w:pStyle w:val="Heading3"/>
      </w:pPr>
      <w:bookmarkStart w:id="36" w:name="X12d2ef88e950b0c32c54134e55c7b2a986d195c"/>
      <w:bookmarkEnd w:id="35"/>
      <w:r>
        <w:t>Retention &amp; Residency (</w:t>
      </w:r>
      <w:r>
        <w:rPr>
          <w:rStyle w:val="VerbatimChar"/>
        </w:rPr>
        <w:t>/settings/data-policy</w:t>
      </w:r>
      <w:r>
        <w:t xml:space="preserve">) — module: </w:t>
      </w:r>
      <w:r>
        <w:rPr>
          <w:rStyle w:val="VerbatimChar"/>
        </w:rPr>
        <w:t>security_settings</w:t>
      </w:r>
    </w:p>
    <w:p w:rsidR="00BA3A01" w:rsidRDefault="00B158BD">
      <w:pPr>
        <w:pStyle w:val="FirstParagraph"/>
      </w:pPr>
      <w:r>
        <w:t>How long conversation data is kept before automatic purge, and which storage region the tenant’s data lives in (plus whether out-of-region inference is permitte</w:t>
      </w:r>
      <w:r>
        <w:t>d for the AI subsystem).</w:t>
      </w:r>
    </w:p>
    <w:p w:rsidR="00BA3A01" w:rsidRDefault="00B158BD">
      <w:pPr>
        <w:pStyle w:val="CaptionedFigure"/>
      </w:pPr>
      <w:r>
        <w:rPr>
          <w:noProof/>
        </w:rPr>
        <w:lastRenderedPageBreak/>
        <w:drawing>
          <wp:inline distT="0" distB="0" distL="0" distR="0">
            <wp:extent cx="5334000" cy="3333750"/>
            <wp:effectExtent l="0" t="0" r="0" b="0"/>
            <wp:docPr id="148" name="Picture" descr="Retention &amp; Residency settings"/>
            <wp:cNvGraphicFramePr/>
            <a:graphic xmlns:a="http://schemas.openxmlformats.org/drawingml/2006/main">
              <a:graphicData uri="http://schemas.openxmlformats.org/drawingml/2006/picture">
                <pic:pic xmlns:pic="http://schemas.openxmlformats.org/drawingml/2006/picture">
                  <pic:nvPicPr>
                    <pic:cNvPr id="149" name="Picture" descr="screenshots/34-data-policy.png"/>
                    <pic:cNvPicPr>
                      <a:picLocks noChangeAspect="1" noChangeArrowheads="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Retention &amp; Residency settings</w:t>
      </w:r>
    </w:p>
    <w:p w:rsidR="00BA3A01" w:rsidRDefault="00B158BD">
      <w:pPr>
        <w:pStyle w:val="Heading3"/>
      </w:pPr>
      <w:bookmarkStart w:id="37" w:name="X3c9a422c03ff8503e11e500f1a96279d2b6a026"/>
      <w:bookmarkEnd w:id="36"/>
      <w:r>
        <w:t>Data Subject Requests (</w:t>
      </w:r>
      <w:r>
        <w:rPr>
          <w:rStyle w:val="VerbatimChar"/>
        </w:rPr>
        <w:t>/settings/dsr</w:t>
      </w:r>
      <w:r>
        <w:t xml:space="preserve">) — module: </w:t>
      </w:r>
      <w:r>
        <w:rPr>
          <w:rStyle w:val="VerbatimChar"/>
        </w:rPr>
        <w:t>security_settings</w:t>
      </w:r>
    </w:p>
    <w:p w:rsidR="00BA3A01" w:rsidRDefault="00B158BD">
      <w:pPr>
        <w:pStyle w:val="FirstParagraph"/>
      </w:pPr>
      <w:r>
        <w:t>The GDPR tool: look up everything stored about a given customer identifier and export or delete it.</w:t>
      </w:r>
    </w:p>
    <w:p w:rsidR="00BA3A01" w:rsidRDefault="00B158BD">
      <w:pPr>
        <w:pStyle w:val="CaptionedFigure"/>
      </w:pPr>
      <w:r>
        <w:rPr>
          <w:noProof/>
        </w:rPr>
        <w:drawing>
          <wp:inline distT="0" distB="0" distL="0" distR="0">
            <wp:extent cx="5334000" cy="3333750"/>
            <wp:effectExtent l="0" t="0" r="0" b="0"/>
            <wp:docPr id="152" name="Picture" descr="Data Subject Requests"/>
            <wp:cNvGraphicFramePr/>
            <a:graphic xmlns:a="http://schemas.openxmlformats.org/drawingml/2006/main">
              <a:graphicData uri="http://schemas.openxmlformats.org/drawingml/2006/picture">
                <pic:pic xmlns:pic="http://schemas.openxmlformats.org/drawingml/2006/picture">
                  <pic:nvPicPr>
                    <pic:cNvPr id="153" name="Picture" descr="screenshots/35-dsr.png"/>
                    <pic:cNvPicPr>
                      <a:picLocks noChangeAspect="1" noChangeArrowheads="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Data Subject Requests</w:t>
      </w:r>
    </w:p>
    <w:p w:rsidR="00BA3A01" w:rsidRDefault="00B158BD">
      <w:pPr>
        <w:pStyle w:val="Heading3"/>
      </w:pPr>
      <w:bookmarkStart w:id="38" w:name="users-roles-roles-module-users_roles"/>
      <w:bookmarkEnd w:id="37"/>
      <w:r>
        <w:lastRenderedPageBreak/>
        <w:t>Users &amp; Roles (</w:t>
      </w:r>
      <w:r>
        <w:rPr>
          <w:rStyle w:val="VerbatimChar"/>
        </w:rPr>
        <w:t>/roles</w:t>
      </w:r>
      <w:r>
        <w:t xml:space="preserve">) — module: </w:t>
      </w:r>
      <w:r>
        <w:rPr>
          <w:rStyle w:val="VerbatimChar"/>
        </w:rPr>
        <w:t>users_roles</w:t>
      </w:r>
    </w:p>
    <w:p w:rsidR="00BA3A01" w:rsidRDefault="00B158BD">
      <w:pPr>
        <w:pStyle w:val="FirstParagraph"/>
      </w:pPr>
      <w:r>
        <w:t>Every user in the tenant plus the role/permission-matrix editor. A Read-only viewer sees the full picture but every mutating control (invite a user, create/edit a role, change someone’s roles, reset MFA) is disa</w:t>
      </w:r>
      <w:r>
        <w:t>bled rather than hidden, so it’s clear what exists without implying it can be changed.</w:t>
      </w:r>
    </w:p>
    <w:p w:rsidR="00BA3A01" w:rsidRDefault="00B158BD">
      <w:pPr>
        <w:pStyle w:val="CaptionedFigure"/>
      </w:pPr>
      <w:r>
        <w:rPr>
          <w:noProof/>
        </w:rPr>
        <w:drawing>
          <wp:inline distT="0" distB="0" distL="0" distR="0">
            <wp:extent cx="5334000" cy="3333750"/>
            <wp:effectExtent l="0" t="0" r="0" b="0"/>
            <wp:docPr id="156" name="Picture" descr="Users &amp; Roles"/>
            <wp:cNvGraphicFramePr/>
            <a:graphic xmlns:a="http://schemas.openxmlformats.org/drawingml/2006/main">
              <a:graphicData uri="http://schemas.openxmlformats.org/drawingml/2006/picture">
                <pic:pic xmlns:pic="http://schemas.openxmlformats.org/drawingml/2006/picture">
                  <pic:nvPicPr>
                    <pic:cNvPr id="157" name="Picture" descr="screenshots/36-roles.png"/>
                    <pic:cNvPicPr>
                      <a:picLocks noChangeAspect="1" noChangeArrowheads="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Users &amp; Roles</w:t>
      </w:r>
    </w:p>
    <w:p w:rsidR="00BA3A01" w:rsidRDefault="00B158BD">
      <w:pPr>
        <w:pStyle w:val="Heading3"/>
      </w:pPr>
      <w:bookmarkStart w:id="39" w:name="audit-log-audit-log-module-audit_log"/>
      <w:bookmarkEnd w:id="38"/>
      <w:r>
        <w:t>Audit Log (</w:t>
      </w:r>
      <w:r>
        <w:rPr>
          <w:rStyle w:val="VerbatimChar"/>
        </w:rPr>
        <w:t>/audit-log</w:t>
      </w:r>
      <w:r>
        <w:t xml:space="preserve">) — module: </w:t>
      </w:r>
      <w:r>
        <w:rPr>
          <w:rStyle w:val="VerbatimChar"/>
        </w:rPr>
        <w:t>audit_log</w:t>
      </w:r>
    </w:p>
    <w:p w:rsidR="00BA3A01" w:rsidRDefault="00B158BD">
      <w:pPr>
        <w:pStyle w:val="FirstParagraph"/>
      </w:pPr>
      <w:r>
        <w:t>A searchable record of administrative actions (logins, connector changes, permission edits, Tier-3 approval de</w:t>
      </w:r>
      <w:r>
        <w:t>cisions, escalation claims, and more) with real actor attribution, filterable by actor/action type/target type/date/outcome.</w:t>
      </w:r>
    </w:p>
    <w:p w:rsidR="00BA3A01" w:rsidRDefault="00B158BD">
      <w:pPr>
        <w:pStyle w:val="CaptionedFigure"/>
      </w:pPr>
      <w:r>
        <w:rPr>
          <w:noProof/>
        </w:rPr>
        <w:lastRenderedPageBreak/>
        <w:drawing>
          <wp:inline distT="0" distB="0" distL="0" distR="0">
            <wp:extent cx="5334000" cy="6680835"/>
            <wp:effectExtent l="0" t="0" r="0" b="0"/>
            <wp:docPr id="160" name="Picture" descr="Audit Log"/>
            <wp:cNvGraphicFramePr/>
            <a:graphic xmlns:a="http://schemas.openxmlformats.org/drawingml/2006/main">
              <a:graphicData uri="http://schemas.openxmlformats.org/drawingml/2006/picture">
                <pic:pic xmlns:pic="http://schemas.openxmlformats.org/drawingml/2006/picture">
                  <pic:nvPicPr>
                    <pic:cNvPr id="161" name="Picture" descr="screenshots/37-audit-log.png"/>
                    <pic:cNvPicPr>
                      <a:picLocks noChangeAspect="1" noChangeArrowheads="1"/>
                    </pic:cNvPicPr>
                  </pic:nvPicPr>
                  <pic:blipFill>
                    <a:blip r:embed="rId41"/>
                    <a:stretch>
                      <a:fillRect/>
                    </a:stretch>
                  </pic:blipFill>
                  <pic:spPr bwMode="auto">
                    <a:xfrm>
                      <a:off x="0" y="0"/>
                      <a:ext cx="5334000" cy="6680835"/>
                    </a:xfrm>
                    <a:prstGeom prst="rect">
                      <a:avLst/>
                    </a:prstGeom>
                    <a:noFill/>
                    <a:ln w="9525">
                      <a:noFill/>
                      <a:headEnd/>
                      <a:tailEnd/>
                    </a:ln>
                  </pic:spPr>
                </pic:pic>
              </a:graphicData>
            </a:graphic>
          </wp:inline>
        </w:drawing>
      </w:r>
    </w:p>
    <w:p w:rsidR="00BA3A01" w:rsidRDefault="00B158BD">
      <w:pPr>
        <w:pStyle w:val="ImageCaption"/>
      </w:pPr>
      <w:r>
        <w:t>Audit Log</w:t>
      </w:r>
    </w:p>
    <w:p w:rsidR="00BA3A01" w:rsidRDefault="00B158BD">
      <w:r>
        <w:pict>
          <v:rect id="_x0000_i1029" style="width:0;height:1.5pt" o:hralign="center" o:hrstd="t" o:hr="t"/>
        </w:pict>
      </w:r>
    </w:p>
    <w:p w:rsidR="00BA3A01" w:rsidRDefault="00B158BD">
      <w:pPr>
        <w:pStyle w:val="Heading2"/>
      </w:pPr>
      <w:bookmarkStart w:id="40" w:name="Xed647aad30627197cb708831a745d0885e28021"/>
      <w:bookmarkStart w:id="41" w:name="_Toc238845145"/>
      <w:bookmarkEnd w:id="29"/>
      <w:bookmarkEnd w:id="39"/>
      <w:r>
        <w:t>5. Platform Manager console — cross-tenant operator surface</w:t>
      </w:r>
      <w:bookmarkEnd w:id="41"/>
    </w:p>
    <w:p w:rsidR="00BA3A01" w:rsidRDefault="00B158BD">
      <w:pPr>
        <w:pStyle w:val="FirstParagraph"/>
      </w:pPr>
      <w:r>
        <w:t>A completely separate, internal-only console (public path</w:t>
      </w:r>
      <w:r>
        <w:t xml:space="preserve"> </w:t>
      </w:r>
      <w:r>
        <w:rPr>
          <w:rStyle w:val="VerbatimChar"/>
        </w:rPr>
        <w:t>/internal/ops/**</w:t>
      </w:r>
      <w:r>
        <w:t xml:space="preserve">, gated by an operator token + IP allowlist, not a tenant login) for whoever runs the NextBot </w:t>
      </w:r>
      <w:r>
        <w:lastRenderedPageBreak/>
        <w:t>platform itself, not any one tenant. Every page here is deliberately built so that a denied request — wrong token, disallowed IP, or the whole fe</w:t>
      </w:r>
      <w:r>
        <w:t>ature turned off — is byte-for-byte indistinguishable from that page genuinely not existing, so an outside observer can’t even confirm this console is there, let alone reachable.</w:t>
      </w:r>
    </w:p>
    <w:p w:rsidR="00BA3A01" w:rsidRDefault="00B158BD">
      <w:pPr>
        <w:pStyle w:val="Heading3"/>
      </w:pPr>
      <w:bookmarkStart w:id="42" w:name="login-internalopslogin"/>
      <w:r>
        <w:t>Login (</w:t>
      </w:r>
      <w:r>
        <w:rPr>
          <w:rStyle w:val="VerbatimChar"/>
        </w:rPr>
        <w:t>/internal/ops/login</w:t>
      </w:r>
      <w:r>
        <w:t>)</w:t>
      </w:r>
    </w:p>
    <w:p w:rsidR="00BA3A01" w:rsidRDefault="00B158BD">
      <w:pPr>
        <w:pStyle w:val="FirstParagraph"/>
      </w:pPr>
      <w:r>
        <w:t>Operator token entry, rate-limited. (Screenshot i</w:t>
      </w:r>
      <w:r>
        <w:t>n §1.)</w:t>
      </w:r>
    </w:p>
    <w:p w:rsidR="00BA3A01" w:rsidRDefault="00B158BD">
      <w:pPr>
        <w:pStyle w:val="Heading3"/>
      </w:pPr>
      <w:bookmarkStart w:id="43" w:name="Xc349a0c5099d9c7d1d77060ce4ffe89a6a883b4"/>
      <w:bookmarkEnd w:id="42"/>
      <w:r>
        <w:t>Tenant List / Detail / Provisioning (</w:t>
      </w:r>
      <w:r>
        <w:rPr>
          <w:rStyle w:val="VerbatimChar"/>
        </w:rPr>
        <w:t>.../tenants</w:t>
      </w:r>
      <w:r>
        <w:t xml:space="preserve">, </w:t>
      </w:r>
      <w:r>
        <w:rPr>
          <w:rStyle w:val="VerbatimChar"/>
        </w:rPr>
        <w:t>.../tenants/[id]</w:t>
      </w:r>
      <w:r>
        <w:t xml:space="preserve">, </w:t>
      </w:r>
      <w:r>
        <w:rPr>
          <w:rStyle w:val="VerbatimChar"/>
        </w:rPr>
        <w:t>.../tenants/new</w:t>
      </w:r>
      <w:r>
        <w:t>)</w:t>
      </w:r>
    </w:p>
    <w:p w:rsidR="00BA3A01" w:rsidRDefault="00B158BD">
      <w:pPr>
        <w:pStyle w:val="FirstParagraph"/>
      </w:pPr>
      <w:r>
        <w:t xml:space="preserve">Every tenant on the platform, its status, plan tier, and live quota usage at a glance. </w:t>
      </w:r>
      <w:r>
        <w:t>The detail page lets an operator change a tenant’s status, relabel its plan tier (without ever silently touching its quota), or explicitly re-seed its quota back to the tier’s current defaults — a separate, deliberate action, never a side effect of relabel</w:t>
      </w:r>
      <w:r>
        <w:t>ing. Provisioning creates a brand-new tenant.</w:t>
      </w:r>
    </w:p>
    <w:p w:rsidR="00BA3A01" w:rsidRDefault="00B158BD">
      <w:pPr>
        <w:pStyle w:val="CaptionedFigure"/>
      </w:pPr>
      <w:r>
        <w:rPr>
          <w:noProof/>
        </w:rPr>
        <w:drawing>
          <wp:inline distT="0" distB="0" distL="0" distR="0">
            <wp:extent cx="5334000" cy="3333750"/>
            <wp:effectExtent l="0" t="0" r="0" b="0"/>
            <wp:docPr id="166" name="Picture" descr="Platform Manager — Tenant List"/>
            <wp:cNvGraphicFramePr/>
            <a:graphic xmlns:a="http://schemas.openxmlformats.org/drawingml/2006/main">
              <a:graphicData uri="http://schemas.openxmlformats.org/drawingml/2006/picture">
                <pic:pic xmlns:pic="http://schemas.openxmlformats.org/drawingml/2006/picture">
                  <pic:nvPicPr>
                    <pic:cNvPr id="167" name="Picture" descr="screenshots/38-ops-tenants.png"/>
                    <pic:cNvPicPr>
                      <a:picLocks noChangeAspect="1" noChangeArrowheads="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Platform Manager — Tenant List</w:t>
      </w:r>
    </w:p>
    <w:p w:rsidR="00BA3A01" w:rsidRDefault="00B158BD">
      <w:pPr>
        <w:pStyle w:val="CaptionedFigure"/>
      </w:pPr>
      <w:r>
        <w:rPr>
          <w:noProof/>
        </w:rPr>
        <w:lastRenderedPageBreak/>
        <w:drawing>
          <wp:inline distT="0" distB="0" distL="0" distR="0">
            <wp:extent cx="5334000" cy="3873817"/>
            <wp:effectExtent l="0" t="0" r="0" b="0"/>
            <wp:docPr id="169" name="Picture" descr="Platform Manager — Tenant Detail"/>
            <wp:cNvGraphicFramePr/>
            <a:graphic xmlns:a="http://schemas.openxmlformats.org/drawingml/2006/main">
              <a:graphicData uri="http://schemas.openxmlformats.org/drawingml/2006/picture">
                <pic:pic xmlns:pic="http://schemas.openxmlformats.org/drawingml/2006/picture">
                  <pic:nvPicPr>
                    <pic:cNvPr id="170" name="Picture" descr="screenshots/39-ops-tenant-detail.png"/>
                    <pic:cNvPicPr>
                      <a:picLocks noChangeAspect="1" noChangeArrowheads="1"/>
                    </pic:cNvPicPr>
                  </pic:nvPicPr>
                  <pic:blipFill>
                    <a:blip r:embed="rId43"/>
                    <a:stretch>
                      <a:fillRect/>
                    </a:stretch>
                  </pic:blipFill>
                  <pic:spPr bwMode="auto">
                    <a:xfrm>
                      <a:off x="0" y="0"/>
                      <a:ext cx="5334000" cy="3873817"/>
                    </a:xfrm>
                    <a:prstGeom prst="rect">
                      <a:avLst/>
                    </a:prstGeom>
                    <a:noFill/>
                    <a:ln w="9525">
                      <a:noFill/>
                      <a:headEnd/>
                      <a:tailEnd/>
                    </a:ln>
                  </pic:spPr>
                </pic:pic>
              </a:graphicData>
            </a:graphic>
          </wp:inline>
        </w:drawing>
      </w:r>
    </w:p>
    <w:p w:rsidR="00BA3A01" w:rsidRDefault="00B158BD">
      <w:pPr>
        <w:pStyle w:val="ImageCaption"/>
      </w:pPr>
      <w:r>
        <w:t>Platform Manager — Tenant Detail</w:t>
      </w:r>
    </w:p>
    <w:p w:rsidR="00BA3A01" w:rsidRDefault="00B158BD">
      <w:pPr>
        <w:pStyle w:val="Heading3"/>
      </w:pPr>
      <w:bookmarkStart w:id="44" w:name="plan-tiers-...plan-tiers"/>
      <w:bookmarkEnd w:id="43"/>
      <w:r>
        <w:t>Plan Tiers (</w:t>
      </w:r>
      <w:r>
        <w:rPr>
          <w:rStyle w:val="VerbatimChar"/>
        </w:rPr>
        <w:t>.../plan-tiers</w:t>
      </w:r>
      <w:r>
        <w:t>)</w:t>
      </w:r>
    </w:p>
    <w:p w:rsidR="00BA3A01" w:rsidRDefault="00B158BD">
      <w:pPr>
        <w:pStyle w:val="FirstParagraph"/>
      </w:pPr>
      <w:r>
        <w:t>Edit the quota defaults and descriptive feature notes for the Starter/Growth/ Enterprise tiers — these apply to ne</w:t>
      </w:r>
      <w:r>
        <w:t>wly-provisioned tenants going forward, never retroactively to an already-running tenant.</w:t>
      </w:r>
    </w:p>
    <w:p w:rsidR="00BA3A01" w:rsidRDefault="00B158BD">
      <w:pPr>
        <w:pStyle w:val="CaptionedFigure"/>
      </w:pPr>
      <w:r>
        <w:rPr>
          <w:noProof/>
        </w:rPr>
        <w:lastRenderedPageBreak/>
        <w:drawing>
          <wp:inline distT="0" distB="0" distL="0" distR="0">
            <wp:extent cx="5334000" cy="3807142"/>
            <wp:effectExtent l="0" t="0" r="0" b="0"/>
            <wp:docPr id="173" name="Picture" descr="Platform Manager — Plan Tiers"/>
            <wp:cNvGraphicFramePr/>
            <a:graphic xmlns:a="http://schemas.openxmlformats.org/drawingml/2006/main">
              <a:graphicData uri="http://schemas.openxmlformats.org/drawingml/2006/picture">
                <pic:pic xmlns:pic="http://schemas.openxmlformats.org/drawingml/2006/picture">
                  <pic:nvPicPr>
                    <pic:cNvPr id="174" name="Picture" descr="screenshots/40-ops-plan-tiers.png"/>
                    <pic:cNvPicPr>
                      <a:picLocks noChangeAspect="1" noChangeArrowheads="1"/>
                    </pic:cNvPicPr>
                  </pic:nvPicPr>
                  <pic:blipFill>
                    <a:blip r:embed="rId44"/>
                    <a:stretch>
                      <a:fillRect/>
                    </a:stretch>
                  </pic:blipFill>
                  <pic:spPr bwMode="auto">
                    <a:xfrm>
                      <a:off x="0" y="0"/>
                      <a:ext cx="5334000" cy="3807142"/>
                    </a:xfrm>
                    <a:prstGeom prst="rect">
                      <a:avLst/>
                    </a:prstGeom>
                    <a:noFill/>
                    <a:ln w="9525">
                      <a:noFill/>
                      <a:headEnd/>
                      <a:tailEnd/>
                    </a:ln>
                  </pic:spPr>
                </pic:pic>
              </a:graphicData>
            </a:graphic>
          </wp:inline>
        </w:drawing>
      </w:r>
    </w:p>
    <w:p w:rsidR="00BA3A01" w:rsidRDefault="00B158BD">
      <w:pPr>
        <w:pStyle w:val="ImageCaption"/>
      </w:pPr>
      <w:r>
        <w:t>Platform Manager — Plan Tiers</w:t>
      </w:r>
    </w:p>
    <w:p w:rsidR="00BA3A01" w:rsidRDefault="00B158BD">
      <w:pPr>
        <w:pStyle w:val="Heading3"/>
      </w:pPr>
      <w:bookmarkStart w:id="45" w:name="health-...health"/>
      <w:bookmarkEnd w:id="44"/>
      <w:r>
        <w:t>Health (</w:t>
      </w:r>
      <w:r>
        <w:rPr>
          <w:rStyle w:val="VerbatimChar"/>
        </w:rPr>
        <w:t>.../health</w:t>
      </w:r>
      <w:r>
        <w:t>)</w:t>
      </w:r>
    </w:p>
    <w:p w:rsidR="00BA3A01" w:rsidRDefault="00B158BD">
      <w:pPr>
        <w:pStyle w:val="FirstParagraph"/>
      </w:pPr>
      <w:r>
        <w:t>A cross-tenant rollup of connector health — which tenants have a degraded or offline connector right now, worst-fir</w:t>
      </w:r>
      <w:r>
        <w:t>st — built specifically to expose only metadata (connector name, status, error class/count) and never any conversation content, per the operator’s need-to-know boundary.</w:t>
      </w:r>
    </w:p>
    <w:p w:rsidR="00BA3A01" w:rsidRDefault="00B158BD">
      <w:pPr>
        <w:pStyle w:val="CaptionedFigure"/>
      </w:pPr>
      <w:r>
        <w:rPr>
          <w:noProof/>
        </w:rPr>
        <w:lastRenderedPageBreak/>
        <w:drawing>
          <wp:inline distT="0" distB="0" distL="0" distR="0">
            <wp:extent cx="5334000" cy="3333750"/>
            <wp:effectExtent l="0" t="0" r="0" b="0"/>
            <wp:docPr id="177" name="Picture" descr="Platform Manager — Health rollup"/>
            <wp:cNvGraphicFramePr/>
            <a:graphic xmlns:a="http://schemas.openxmlformats.org/drawingml/2006/main">
              <a:graphicData uri="http://schemas.openxmlformats.org/drawingml/2006/picture">
                <pic:pic xmlns:pic="http://schemas.openxmlformats.org/drawingml/2006/picture">
                  <pic:nvPicPr>
                    <pic:cNvPr id="178" name="Picture" descr="screenshots/41-ops-health.png"/>
                    <pic:cNvPicPr>
                      <a:picLocks noChangeAspect="1" noChangeArrowheads="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Platform Manager — Health rollup</w:t>
      </w:r>
    </w:p>
    <w:p w:rsidR="00BA3A01" w:rsidRDefault="00B158BD">
      <w:pPr>
        <w:pStyle w:val="BodyText"/>
      </w:pPr>
      <w:r>
        <w:t>Every mutation anywhere in this console writes to its own platform-level audit trail, separate from any tenant’s own audit log.</w:t>
      </w:r>
    </w:p>
    <w:p w:rsidR="00BA3A01" w:rsidRDefault="00B158BD">
      <w:r>
        <w:pict>
          <v:rect id="_x0000_i1030" style="width:0;height:1.5pt" o:hralign="center" o:hrstd="t" o:hr="t"/>
        </w:pict>
      </w:r>
    </w:p>
    <w:p w:rsidR="00BA3A01" w:rsidRDefault="00B158BD">
      <w:pPr>
        <w:pStyle w:val="Heading2"/>
      </w:pPr>
      <w:bookmarkStart w:id="46" w:name="the-customer-facing-widget"/>
      <w:bookmarkStart w:id="47" w:name="_Toc238845146"/>
      <w:bookmarkEnd w:id="40"/>
      <w:bookmarkEnd w:id="45"/>
      <w:r>
        <w:t>6. The customer-facing widget</w:t>
      </w:r>
      <w:bookmarkEnd w:id="47"/>
    </w:p>
    <w:p w:rsidR="00BA3A01" w:rsidRDefault="00B158BD">
      <w:pPr>
        <w:pStyle w:val="FirstParagraph"/>
      </w:pPr>
      <w:r>
        <w:t xml:space="preserve">Not an admin screen at all — the actual chat interface a tenant’s customers see, embedded via a </w:t>
      </w:r>
      <w:r>
        <w:rPr>
          <w:rStyle w:val="VerbatimChar"/>
        </w:rPr>
        <w:t>&lt;script&gt;</w:t>
      </w:r>
      <w:r>
        <w:t xml:space="preserve"> loader on the tenant’s own website. It’s a standalone application (not iframed admin-console code) specifically so its styling can never leak into or out of a customer’s page, and so it faithfully reflects exactly what a real customer would experi</w:t>
      </w:r>
      <w:r>
        <w:t>ence — the same reason it’s the thing reused, rather than a lighter mock-up, for both the “test this channel” and “sandbox preview a version” screens described above.</w:t>
      </w:r>
    </w:p>
    <w:p w:rsidR="00BA3A01" w:rsidRDefault="00B158BD">
      <w:pPr>
        <w:pStyle w:val="CaptionedFigure"/>
      </w:pPr>
      <w:r>
        <w:rPr>
          <w:noProof/>
        </w:rPr>
        <w:lastRenderedPageBreak/>
        <w:drawing>
          <wp:inline distT="0" distB="0" distL="0" distR="0">
            <wp:extent cx="5334000" cy="3333750"/>
            <wp:effectExtent l="0" t="0" r="0" b="0"/>
            <wp:docPr id="182" name="Picture" descr="Widget launcher"/>
            <wp:cNvGraphicFramePr/>
            <a:graphic xmlns:a="http://schemas.openxmlformats.org/drawingml/2006/main">
              <a:graphicData uri="http://schemas.openxmlformats.org/drawingml/2006/picture">
                <pic:pic xmlns:pic="http://schemas.openxmlformats.org/drawingml/2006/picture">
                  <pic:nvPicPr>
                    <pic:cNvPr id="183" name="Picture" descr="screenshots/42-widget.png"/>
                    <pic:cNvPicPr>
                      <a:picLocks noChangeAspect="1" noChangeArrowheads="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rsidR="00BA3A01" w:rsidRDefault="00B158BD">
      <w:pPr>
        <w:pStyle w:val="ImageCaption"/>
      </w:pPr>
      <w:r>
        <w:t>Widget launcher</w:t>
      </w:r>
    </w:p>
    <w:p w:rsidR="00BA3A01" w:rsidRDefault="00B158BD">
      <w:pPr>
        <w:pStyle w:val="BodyText"/>
      </w:pPr>
      <w:r>
        <w:rPr>
          <w:i/>
          <w:iCs/>
        </w:rPr>
        <w:t>(This screenshot shows the widget loaded standalone, outside its normal</w:t>
      </w:r>
      <w:r>
        <w:rPr>
          <w:i/>
          <w:iCs/>
        </w:rPr>
        <w:t xml:space="preserve"> embedding context — the loader script normally supplies a full session handshake that only succeeds when embedded on a real page via </w:t>
      </w:r>
      <w:r>
        <w:rPr>
          <w:rStyle w:val="VerbatimChar"/>
          <w:i/>
          <w:iCs/>
        </w:rPr>
        <w:t>&lt;script&gt;</w:t>
      </w:r>
      <w:r>
        <w:rPr>
          <w:i/>
          <w:iCs/>
        </w:rPr>
        <w:t>, so a bare, direct load like this correctly shows its “temporarily unavailable” state rather than a working chat.</w:t>
      </w:r>
      <w:r>
        <w:rPr>
          <w:i/>
          <w:iCs/>
        </w:rPr>
        <w:t xml:space="preserve"> This is expected behavior for this specific way of viewing it, not a defect.)</w:t>
      </w:r>
      <w:bookmarkEnd w:id="0"/>
      <w:bookmarkEnd w:id="46"/>
    </w:p>
    <w:sectPr w:rsidR="00BA3A0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E3A5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A3A01"/>
    <w:rsid w:val="00B158BD"/>
    <w:rsid w:val="00BA3A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FACF5D-FE7A-412E-A5E1-65E467A7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B158BD"/>
    <w:pPr>
      <w:spacing w:after="100"/>
    </w:pPr>
  </w:style>
  <w:style w:type="paragraph" w:styleId="TOC2">
    <w:name w:val="toc 2"/>
    <w:basedOn w:val="Normal"/>
    <w:next w:val="Normal"/>
    <w:autoRedefine/>
    <w:uiPriority w:val="39"/>
    <w:unhideWhenUsed/>
    <w:rsid w:val="00B158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2761</Words>
  <Characters>15744</Characters>
  <Application>Microsoft Office Word</Application>
  <DocSecurity>0</DocSecurity>
  <Lines>131</Lines>
  <Paragraphs>36</Paragraphs>
  <ScaleCrop>false</ScaleCrop>
  <Company/>
  <LinksUpToDate>false</LinksUpToDate>
  <CharactersWithSpaces>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NextBot Screen Reference</dc:title>
  <dc:creator/>
  <cp:keywords/>
  <cp:lastModifiedBy>Mohammed Hassan</cp:lastModifiedBy>
  <cp:revision>2</cp:revision>
  <dcterms:created xsi:type="dcterms:W3CDTF">2026-08-28T17:27:00Z</dcterms:created>
  <dcterms:modified xsi:type="dcterms:W3CDTF">2026-08-28T17:33:00Z</dcterms:modified>
</cp:coreProperties>
</file>