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6E6E6E"/>
          <w:sz w:val="20"/>
          <w:szCs w:val="20"/>
        </w:rPr>
        <w:t xml:space="preserve">NEXTBOT PLATFORM</w:t>
      </w:r>
    </w:p>
    <w:p>
      <w:pPr>
        <w:spacing w:after="0" w:before="160" w:line="640"/>
      </w:pPr>
      <w:r>
        <w:rPr>
          <w:b/>
          <w:bCs/>
          <w:color w:val="222222"/>
          <w:sz w:val="52"/>
          <w:szCs w:val="52"/>
        </w:rPr>
        <w:t xml:space="preserve">Target Architecture and</w:t>
      </w:r>
    </w:p>
    <w:p>
      <w:pPr>
        <w:spacing w:after="300" w:line="640"/>
      </w:pPr>
      <w:r>
        <w:rPr>
          <w:b/>
          <w:bCs/>
          <w:color w:val="222222"/>
          <w:sz w:val="52"/>
          <w:szCs w:val="52"/>
        </w:rPr>
        <w:t xml:space="preserve">Enhancement Blueprint</w:t>
      </w:r>
    </w:p>
    <w:p>
      <w:pPr>
        <w:pBdr>
          <w:bottom w:val="single" w:color="CFCFCF" w:sz="4"/>
        </w:pBdr>
        <w:spacing w:after="200" w:before="60"/>
      </w:pPr>
    </w:p>
    <w:p>
      <w:pPr>
        <w:spacing w:after="140" w:line="300" w:lineRule="auto"/>
      </w:pPr>
      <w:r>
        <w:rPr>
          <w:color w:val="4A4A4A"/>
          <w:sz w:val="22"/>
          <w:szCs w:val="22"/>
        </w:rPr>
        <w:t xml:space="preserve">A senior-architecture review of the NextBot conversational AI platform, a gap analysis against the current screen inventory, and the detailed design of six new or restructured modules: the MCP Definition Registry, the Knowledge and Graph RAG subsystem, Skills and the Agent Design Studio, the Workflow Designer, Multi-agent Orchestration, and Model Gateway v2.</w:t>
      </w:r>
    </w:p>
    <w:p>
      <w:pPr>
        <w:spacing w:after="500" w:line="300" w:lineRule="auto"/>
      </w:pPr>
      <w:r>
        <w:rPr>
          <w:color w:val="4A4A4A"/>
          <w:sz w:val="22"/>
          <w:szCs w:val="22"/>
        </w:rPr>
        <w:t xml:space="preserve">Includes suggested wireframes for every new screen.</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400"/>
        <w:gridCol w:w="7238"/>
      </w:tblGrid>
      <w:tr>
        <w:trPr>
          <w:tblHeader/>
        </w:trPr>
        <w:tc>
          <w:tcPr>
            <w:tcW w:type="dxa" w:w="2400"/>
            <w:shd w:fill="F3F3F1" w:val="clear"/>
            <w:tcMar>
              <w:top w:type="dxa" w:w="90"/>
              <w:left w:type="dxa" w:w="120"/>
              <w:bottom w:type="dxa" w:w="90"/>
              <w:right w:type="dxa" w:w="120"/>
            </w:tcMar>
          </w:tcPr>
          <w:p>
            <w:pPr>
              <w:spacing w:after="0" w:line="260"/>
            </w:pPr>
            <w:r>
              <w:rPr>
                <w:b/>
                <w:bCs/>
                <w:color w:val="6E6E6E"/>
                <w:sz w:val="17"/>
                <w:szCs w:val="17"/>
              </w:rPr>
              <w:t xml:space="preserve">Field</w:t>
            </w:r>
          </w:p>
        </w:tc>
        <w:tc>
          <w:tcPr>
            <w:tcW w:type="dxa" w:w="7238"/>
            <w:shd w:fill="F3F3F1" w:val="clear"/>
            <w:tcMar>
              <w:top w:type="dxa" w:w="90"/>
              <w:left w:type="dxa" w:w="120"/>
              <w:bottom w:type="dxa" w:w="90"/>
              <w:right w:type="dxa" w:w="120"/>
            </w:tcMar>
          </w:tcPr>
          <w:p>
            <w:pPr>
              <w:spacing w:after="0" w:line="260"/>
            </w:pPr>
            <w:r>
              <w:rPr>
                <w:b/>
                <w:bCs/>
                <w:color w:val="6E6E6E"/>
                <w:sz w:val="17"/>
                <w:szCs w:val="17"/>
              </w:rPr>
              <w:t xml:space="preserve">Value</w:t>
            </w:r>
          </w:p>
        </w:tc>
      </w:tr>
      <w:tr>
        <w:tc>
          <w:tcPr>
            <w:tcW w:type="dxa" w:w="2400"/>
            <w:tcMar>
              <w:top w:type="dxa" w:w="90"/>
              <w:left w:type="dxa" w:w="120"/>
              <w:bottom w:type="dxa" w:w="90"/>
              <w:right w:type="dxa" w:w="120"/>
            </w:tcMar>
          </w:tcPr>
          <w:p>
            <w:pPr>
              <w:spacing w:after="0" w:line="260"/>
            </w:pPr>
            <w:r>
              <w:rPr>
                <w:b/>
                <w:bCs/>
                <w:color w:val="222222"/>
                <w:sz w:val="19"/>
                <w:szCs w:val="19"/>
              </w:rPr>
              <w:t xml:space="preserve">Document</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NextBot — Target Architecture and Enhancement Blueprint</w:t>
            </w:r>
          </w:p>
        </w:tc>
      </w:tr>
      <w:tr>
        <w:tc>
          <w:tcPr>
            <w:tcW w:type="dxa" w:w="2400"/>
            <w:tcMar>
              <w:top w:type="dxa" w:w="90"/>
              <w:left w:type="dxa" w:w="120"/>
              <w:bottom w:type="dxa" w:w="90"/>
              <w:right w:type="dxa" w:w="120"/>
            </w:tcMar>
          </w:tcPr>
          <w:p>
            <w:pPr>
              <w:spacing w:after="0" w:line="260"/>
            </w:pPr>
            <w:r>
              <w:rPr>
                <w:b/>
                <w:bCs/>
                <w:color w:val="222222"/>
                <w:sz w:val="19"/>
                <w:szCs w:val="19"/>
              </w:rPr>
              <w:t xml:space="preserve">Version</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1.0</w:t>
            </w:r>
          </w:p>
        </w:tc>
      </w:tr>
      <w:tr>
        <w:tc>
          <w:tcPr>
            <w:tcW w:type="dxa" w:w="2400"/>
            <w:tcMar>
              <w:top w:type="dxa" w:w="90"/>
              <w:left w:type="dxa" w:w="120"/>
              <w:bottom w:type="dxa" w:w="90"/>
              <w:right w:type="dxa" w:w="120"/>
            </w:tcMar>
          </w:tcPr>
          <w:p>
            <w:pPr>
              <w:spacing w:after="0" w:line="260"/>
            </w:pPr>
            <w:r>
              <w:rPr>
                <w:b/>
                <w:bCs/>
                <w:color w:val="222222"/>
                <w:sz w:val="19"/>
                <w:szCs w:val="19"/>
              </w:rPr>
              <w:t xml:space="preserve">Status</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For architecture review</w:t>
            </w:r>
          </w:p>
        </w:tc>
      </w:tr>
      <w:tr>
        <w:tc>
          <w:tcPr>
            <w:tcW w:type="dxa" w:w="2400"/>
            <w:tcMar>
              <w:top w:type="dxa" w:w="90"/>
              <w:left w:type="dxa" w:w="120"/>
              <w:bottom w:type="dxa" w:w="90"/>
              <w:right w:type="dxa" w:w="120"/>
            </w:tcMar>
          </w:tcPr>
          <w:p>
            <w:pPr>
              <w:spacing w:after="0" w:line="260"/>
            </w:pPr>
            <w:r>
              <w:rPr>
                <w:b/>
                <w:bCs/>
                <w:color w:val="222222"/>
                <w:sz w:val="19"/>
                <w:szCs w:val="19"/>
              </w:rPr>
              <w:t xml:space="preserve">Date</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28 August 2026</w:t>
            </w:r>
          </w:p>
        </w:tc>
      </w:tr>
      <w:tr>
        <w:tc>
          <w:tcPr>
            <w:tcW w:type="dxa" w:w="2400"/>
            <w:tcMar>
              <w:top w:type="dxa" w:w="90"/>
              <w:left w:type="dxa" w:w="120"/>
              <w:bottom w:type="dxa" w:w="90"/>
              <w:right w:type="dxa" w:w="120"/>
            </w:tcMar>
          </w:tcPr>
          <w:p>
            <w:pPr>
              <w:spacing w:after="0" w:line="260"/>
            </w:pPr>
            <w:r>
              <w:rPr>
                <w:b/>
                <w:bCs/>
                <w:color w:val="222222"/>
                <w:sz w:val="19"/>
                <w:szCs w:val="19"/>
              </w:rPr>
              <w:t xml:space="preserve">Basis</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NextBot — Screen Reference (live seeded instance)</w:t>
            </w:r>
          </w:p>
        </w:tc>
      </w:tr>
      <w:tr>
        <w:tc>
          <w:tcPr>
            <w:tcW w:type="dxa" w:w="2400"/>
            <w:tcMar>
              <w:top w:type="dxa" w:w="90"/>
              <w:left w:type="dxa" w:w="120"/>
              <w:bottom w:type="dxa" w:w="90"/>
              <w:right w:type="dxa" w:w="120"/>
            </w:tcMar>
          </w:tcPr>
          <w:p>
            <w:pPr>
              <w:spacing w:after="0" w:line="260"/>
            </w:pPr>
            <w:r>
              <w:rPr>
                <w:b/>
                <w:bCs/>
                <w:color w:val="222222"/>
                <w:sz w:val="19"/>
                <w:szCs w:val="19"/>
              </w:rPr>
              <w:t xml:space="preserve">Audience</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Platform engineering, product, security, and delivery leadership</w:t>
            </w:r>
          </w:p>
        </w:tc>
      </w:tr>
      <w:tr>
        <w:tc>
          <w:tcPr>
            <w:tcW w:type="dxa" w:w="2400"/>
            <w:tcMar>
              <w:top w:type="dxa" w:w="90"/>
              <w:left w:type="dxa" w:w="120"/>
              <w:bottom w:type="dxa" w:w="90"/>
              <w:right w:type="dxa" w:w="120"/>
            </w:tcMar>
          </w:tcPr>
          <w:p>
            <w:pPr>
              <w:spacing w:after="0" w:line="260"/>
            </w:pPr>
            <w:r>
              <w:rPr>
                <w:b/>
                <w:bCs/>
                <w:color w:val="222222"/>
                <w:sz w:val="19"/>
                <w:szCs w:val="19"/>
              </w:rPr>
              <w:t xml:space="preserve">Scope</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Admin Console, Agent Platform, Platform Manager console, customer widget</w:t>
            </w:r>
          </w:p>
        </w:tc>
      </w:tr>
    </w:tbl>
    <w:p>
      <w:pPr>
        <w:spacing w:after="200"/>
      </w:pPr>
    </w:p>
    <w:p>
      <w:r>
        <w:br w:type="page"/>
      </w:r>
    </w:p>
    <w:p>
      <w:pPr>
        <w:pStyle w:val="Heading1"/>
        <w:spacing w:after="200" w:before="360"/>
      </w:pPr>
      <w:r>
        <w:rPr>
          <w:b/>
          <w:bCs/>
          <w:color w:val="222222"/>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222222"/>
          <w:sz w:val="30"/>
          <w:szCs w:val="30"/>
        </w:rPr>
        <w:t xml:space="preserve">1. Executive summary</w:t>
      </w:r>
    </w:p>
    <w:p>
      <w:pPr>
        <w:spacing w:after="140" w:line="300" w:lineRule="auto"/>
      </w:pPr>
      <w:r>
        <w:rPr>
          <w:color w:val="222222"/>
          <w:sz w:val="21"/>
          <w:szCs w:val="21"/>
        </w:rPr>
        <w:t xml:space="preserve">NextBot today is a well-built tenant-facing conversational AI console with an unusually disciplined security posture. Access control fails closed at every screen, agent versions are immutable, promotion to production requires a passing eval run plus an approver who is not the author plus a real sandbox conversation, and high-risk tool calls stop at a human approval queue. These are the right foundations and this document treats them as constraints, not as things to be redesigned.</w:t>
      </w:r>
    </w:p>
    <w:p>
      <w:pPr>
        <w:spacing w:after="140" w:line="300" w:lineRule="auto"/>
      </w:pPr>
      <w:r>
        <w:rPr>
          <w:color w:val="222222"/>
          <w:sz w:val="21"/>
          <w:szCs w:val="21"/>
        </w:rPr>
        <w:t xml:space="preserve">The platform is, however, missing several subsystems that its own architecture implies. It has no knowledge layer, so an agent can only reach information through an MCP tool call. It has no way to manage the MCP servers it depends on beyond a connection form, so a server that changes its tool schemas can silently change agent behaviour in production. It has no reusable unit of agent capability, so every agent version is authored from scratch. It has no orchestration, so a channel talks to exactly one agent. And its model gateway treats a model as a free-text string typed into a form, which is untenable across the provider landscape the platform will need to support.</w:t>
      </w:r>
    </w:p>
    <w:p>
      <w:pPr>
        <w:spacing w:after="140" w:line="300" w:lineRule="auto"/>
      </w:pPr>
      <w:r>
        <w:rPr>
          <w:color w:val="222222"/>
          <w:sz w:val="21"/>
          <w:szCs w:val="21"/>
        </w:rPr>
        <w:t xml:space="preserve">This document proposes six modules that close those gaps while preserving the platform's existing guarantees: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100"/>
        <w:gridCol w:w="3000"/>
        <w:gridCol w:w="4538"/>
      </w:tblGrid>
      <w:tr>
        <w:trPr>
          <w:tblHeader/>
        </w:trPr>
        <w:tc>
          <w:tcPr>
            <w:tcW w:type="dxa" w:w="2100"/>
            <w:shd w:fill="F3F3F1" w:val="clear"/>
            <w:tcMar>
              <w:top w:type="dxa" w:w="90"/>
              <w:left w:type="dxa" w:w="120"/>
              <w:bottom w:type="dxa" w:w="90"/>
              <w:right w:type="dxa" w:w="120"/>
            </w:tcMar>
          </w:tcPr>
          <w:p>
            <w:pPr>
              <w:spacing w:after="0" w:line="260"/>
            </w:pPr>
            <w:r>
              <w:rPr>
                <w:b/>
                <w:bCs/>
                <w:color w:val="6E6E6E"/>
                <w:sz w:val="17"/>
                <w:szCs w:val="17"/>
              </w:rPr>
              <w:t xml:space="preserve">Module</w:t>
            </w:r>
          </w:p>
        </w:tc>
        <w:tc>
          <w:tcPr>
            <w:tcW w:type="dxa" w:w="3000"/>
            <w:shd w:fill="F3F3F1" w:val="clear"/>
            <w:tcMar>
              <w:top w:type="dxa" w:w="90"/>
              <w:left w:type="dxa" w:w="120"/>
              <w:bottom w:type="dxa" w:w="90"/>
              <w:right w:type="dxa" w:w="120"/>
            </w:tcMar>
          </w:tcPr>
          <w:p>
            <w:pPr>
              <w:spacing w:after="0" w:line="260"/>
            </w:pPr>
            <w:r>
              <w:rPr>
                <w:b/>
                <w:bCs/>
                <w:color w:val="6E6E6E"/>
                <w:sz w:val="17"/>
                <w:szCs w:val="17"/>
              </w:rPr>
              <w:t xml:space="preserve">Status today</w:t>
            </w:r>
          </w:p>
        </w:tc>
        <w:tc>
          <w:tcPr>
            <w:tcW w:type="dxa" w:w="4538"/>
            <w:shd w:fill="F3F3F1" w:val="clear"/>
            <w:tcMar>
              <w:top w:type="dxa" w:w="90"/>
              <w:left w:type="dxa" w:w="120"/>
              <w:bottom w:type="dxa" w:w="90"/>
              <w:right w:type="dxa" w:w="120"/>
            </w:tcMar>
          </w:tcPr>
          <w:p>
            <w:pPr>
              <w:spacing w:after="0" w:line="260"/>
            </w:pPr>
            <w:r>
              <w:rPr>
                <w:b/>
                <w:bCs/>
                <w:color w:val="6E6E6E"/>
                <w:sz w:val="17"/>
                <w:szCs w:val="17"/>
              </w:rPr>
              <w:t xml:space="preserve">Proposal</w:t>
            </w:r>
          </w:p>
        </w:tc>
      </w:tr>
      <w:tr>
        <w:tc>
          <w:tcPr>
            <w:tcW w:type="dxa" w:w="2100"/>
            <w:tcMar>
              <w:top w:type="dxa" w:w="90"/>
              <w:left w:type="dxa" w:w="120"/>
              <w:bottom w:type="dxa" w:w="90"/>
              <w:right w:type="dxa" w:w="120"/>
            </w:tcMar>
          </w:tcPr>
          <w:p>
            <w:pPr>
              <w:spacing w:after="0" w:line="260"/>
            </w:pPr>
            <w:r>
              <w:rPr>
                <w:b/>
                <w:bCs/>
                <w:color w:val="222222"/>
                <w:sz w:val="19"/>
                <w:szCs w:val="19"/>
              </w:rPr>
              <w:t xml:space="preserve">MCP Definition Registry</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Partially exists as /connectors — a connection form with health</w:t>
            </w:r>
          </w:p>
        </w:tc>
        <w:tc>
          <w:tcPr>
            <w:tcW w:type="dxa" w:w="4538"/>
            <w:tcMar>
              <w:top w:type="dxa" w:w="90"/>
              <w:left w:type="dxa" w:w="120"/>
              <w:bottom w:type="dxa" w:w="90"/>
              <w:right w:type="dxa" w:w="120"/>
            </w:tcMar>
          </w:tcPr>
          <w:p>
            <w:pPr>
              <w:spacing w:after="0" w:line="260"/>
            </w:pPr>
            <w:r>
              <w:rPr>
                <w:b w:val="false"/>
                <w:bCs w:val="false"/>
                <w:color w:val="222222"/>
                <w:sz w:val="19"/>
                <w:szCs w:val="19"/>
              </w:rPr>
              <w:t xml:space="preserve">Promote to a governed enrolment lifecycle with pinned manifests, drift quarantine, capability groups, and per-environment binding</w:t>
            </w:r>
          </w:p>
        </w:tc>
      </w:tr>
      <w:tr>
        <w:tc>
          <w:tcPr>
            <w:tcW w:type="dxa" w:w="2100"/>
            <w:tcMar>
              <w:top w:type="dxa" w:w="90"/>
              <w:left w:type="dxa" w:w="120"/>
              <w:bottom w:type="dxa" w:w="90"/>
              <w:right w:type="dxa" w:w="120"/>
            </w:tcMar>
          </w:tcPr>
          <w:p>
            <w:pPr>
              <w:spacing w:after="0" w:line="260"/>
            </w:pPr>
            <w:r>
              <w:rPr>
                <w:b/>
                <w:bCs/>
                <w:color w:val="222222"/>
                <w:sz w:val="19"/>
                <w:szCs w:val="19"/>
              </w:rPr>
              <w:t xml:space="preserve">Knowledge and Graph RAG</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Absent entirely</w:t>
            </w:r>
          </w:p>
        </w:tc>
        <w:tc>
          <w:tcPr>
            <w:tcW w:type="dxa" w:w="4538"/>
            <w:tcMar>
              <w:top w:type="dxa" w:w="90"/>
              <w:left w:type="dxa" w:w="120"/>
              <w:bottom w:type="dxa" w:w="90"/>
              <w:right w:type="dxa" w:w="120"/>
            </w:tcMar>
          </w:tcPr>
          <w:p>
            <w:pPr>
              <w:spacing w:after="0" w:line="260"/>
            </w:pPr>
            <w:r>
              <w:rPr>
                <w:b w:val="false"/>
                <w:bCs w:val="false"/>
                <w:color w:val="222222"/>
                <w:sz w:val="19"/>
                <w:szCs w:val="19"/>
              </w:rPr>
              <w:t xml:space="preserve">A graph-indexed knowledge subsystem with entity and relation extraction, community summarisation, three retrieval strategies, and a bounded retrieval agent</w:t>
            </w:r>
          </w:p>
        </w:tc>
      </w:tr>
      <w:tr>
        <w:tc>
          <w:tcPr>
            <w:tcW w:type="dxa" w:w="2100"/>
            <w:tcMar>
              <w:top w:type="dxa" w:w="90"/>
              <w:left w:type="dxa" w:w="120"/>
              <w:bottom w:type="dxa" w:w="90"/>
              <w:right w:type="dxa" w:w="120"/>
            </w:tcMar>
          </w:tcPr>
          <w:p>
            <w:pPr>
              <w:spacing w:after="0" w:line="260"/>
            </w:pPr>
            <w:r>
              <w:rPr>
                <w:b/>
                <w:bCs/>
                <w:color w:val="222222"/>
                <w:sz w:val="19"/>
                <w:szCs w:val="19"/>
              </w:rPr>
              <w:t xml:space="preserve">Skills and Agent Design Studio</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Text mode and Design mode exist; no reusable unit</w:t>
            </w:r>
          </w:p>
        </w:tc>
        <w:tc>
          <w:tcPr>
            <w:tcW w:type="dxa" w:w="4538"/>
            <w:tcMar>
              <w:top w:type="dxa" w:w="90"/>
              <w:left w:type="dxa" w:w="120"/>
              <w:bottom w:type="dxa" w:w="90"/>
              <w:right w:type="dxa" w:w="120"/>
            </w:tcMar>
          </w:tcPr>
          <w:p>
            <w:pPr>
              <w:spacing w:after="0" w:line="260"/>
            </w:pPr>
            <w:r>
              <w:rPr>
                <w:b w:val="false"/>
                <w:bCs w:val="false"/>
                <w:color w:val="222222"/>
                <w:sz w:val="19"/>
                <w:szCs w:val="19"/>
              </w:rPr>
              <w:t xml:space="preserve">Skills as a first-class versioned artifact, plus a guided studio that composes them into the same immutable YAML</w:t>
            </w:r>
          </w:p>
        </w:tc>
      </w:tr>
      <w:tr>
        <w:tc>
          <w:tcPr>
            <w:tcW w:type="dxa" w:w="2100"/>
            <w:tcMar>
              <w:top w:type="dxa" w:w="90"/>
              <w:left w:type="dxa" w:w="120"/>
              <w:bottom w:type="dxa" w:w="90"/>
              <w:right w:type="dxa" w:w="120"/>
            </w:tcMar>
          </w:tcPr>
          <w:p>
            <w:pPr>
              <w:spacing w:after="0" w:line="260"/>
            </w:pPr>
            <w:r>
              <w:rPr>
                <w:b/>
                <w:bCs/>
                <w:color w:val="222222"/>
                <w:sz w:val="19"/>
                <w:szCs w:val="19"/>
              </w:rPr>
              <w:t xml:space="preserve">Workflow Designer</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Absent entirely</w:t>
            </w:r>
          </w:p>
        </w:tc>
        <w:tc>
          <w:tcPr>
            <w:tcW w:type="dxa" w:w="4538"/>
            <w:tcMar>
              <w:top w:type="dxa" w:w="90"/>
              <w:left w:type="dxa" w:w="120"/>
              <w:bottom w:type="dxa" w:w="90"/>
              <w:right w:type="dxa" w:w="120"/>
            </w:tcMar>
          </w:tcPr>
          <w:p>
            <w:pPr>
              <w:spacing w:after="0" w:line="260"/>
            </w:pPr>
            <w:r>
              <w:rPr>
                <w:b w:val="false"/>
                <w:bCs w:val="false"/>
                <w:color w:val="222222"/>
                <w:sz w:val="19"/>
                <w:szCs w:val="19"/>
              </w:rPr>
              <w:t xml:space="preserve">A versioned orchestration graph, authored as YAML, promoted through the existing gate</w:t>
            </w:r>
          </w:p>
        </w:tc>
      </w:tr>
      <w:tr>
        <w:tc>
          <w:tcPr>
            <w:tcW w:type="dxa" w:w="2100"/>
            <w:tcMar>
              <w:top w:type="dxa" w:w="90"/>
              <w:left w:type="dxa" w:w="120"/>
              <w:bottom w:type="dxa" w:w="90"/>
              <w:right w:type="dxa" w:w="120"/>
            </w:tcMar>
          </w:tcPr>
          <w:p>
            <w:pPr>
              <w:spacing w:after="0" w:line="260"/>
            </w:pPr>
            <w:r>
              <w:rPr>
                <w:b/>
                <w:bCs/>
                <w:color w:val="222222"/>
                <w:sz w:val="19"/>
                <w:szCs w:val="19"/>
              </w:rPr>
              <w:t xml:space="preserve">Multi-agent Orchestration</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Absent entirely</w:t>
            </w:r>
          </w:p>
        </w:tc>
        <w:tc>
          <w:tcPr>
            <w:tcW w:type="dxa" w:w="4538"/>
            <w:tcMar>
              <w:top w:type="dxa" w:w="90"/>
              <w:left w:type="dxa" w:w="120"/>
              <w:bottom w:type="dxa" w:w="90"/>
              <w:right w:type="dxa" w:w="120"/>
            </w:tcMar>
          </w:tcPr>
          <w:p>
            <w:pPr>
              <w:spacing w:after="0" w:line="260"/>
            </w:pPr>
            <w:r>
              <w:rPr>
                <w:b w:val="false"/>
                <w:bCs w:val="false"/>
                <w:color w:val="222222"/>
                <w:sz w:val="19"/>
                <w:szCs w:val="19"/>
              </w:rPr>
              <w:t xml:space="preserve">Supervisor and specialist teams, where a specialist is registered as a tool so delegation inherits tiering, permissions, and audit</w:t>
            </w:r>
          </w:p>
        </w:tc>
      </w:tr>
      <w:tr>
        <w:tc>
          <w:tcPr>
            <w:tcW w:type="dxa" w:w="2100"/>
            <w:tcMar>
              <w:top w:type="dxa" w:w="90"/>
              <w:left w:type="dxa" w:w="120"/>
              <w:bottom w:type="dxa" w:w="90"/>
              <w:right w:type="dxa" w:w="120"/>
            </w:tcMar>
          </w:tcPr>
          <w:p>
            <w:pPr>
              <w:spacing w:after="0" w:line="260"/>
            </w:pPr>
            <w:r>
              <w:rPr>
                <w:b/>
                <w:bCs/>
                <w:color w:val="222222"/>
                <w:sz w:val="19"/>
                <w:szCs w:val="19"/>
              </w:rPr>
              <w:t xml:space="preserve">Model Gateway v2</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Routes plus a read-only provider list; model names are typed strings</w:t>
            </w:r>
          </w:p>
        </w:tc>
        <w:tc>
          <w:tcPr>
            <w:tcW w:type="dxa" w:w="4538"/>
            <w:tcMar>
              <w:top w:type="dxa" w:w="90"/>
              <w:left w:type="dxa" w:w="120"/>
              <w:bottom w:type="dxa" w:w="90"/>
              <w:right w:type="dxa" w:w="120"/>
            </w:tcMar>
          </w:tcPr>
          <w:p>
            <w:pPr>
              <w:spacing w:after="0" w:line="260"/>
            </w:pPr>
            <w:r>
              <w:rPr>
                <w:b w:val="false"/>
                <w:bCs w:val="false"/>
                <w:color w:val="222222"/>
                <w:sz w:val="19"/>
                <w:szCs w:val="19"/>
              </w:rPr>
              <w:t xml:space="preserve">A three-layer provider / model catalogue / route model spanning Anthropic, OpenAI, Google, OpenRouter, Azure, Bedrock, vLLM, Ollama and any OpenAI-compatible endpoint</w:t>
            </w:r>
          </w:p>
        </w:tc>
      </w:tr>
    </w:tbl>
    <w:p>
      <w:pPr>
        <w:spacing w:after="200"/>
      </w:pPr>
    </w:p>
    <w:p>
      <w:pPr>
        <w:spacing w:after="140" w:line="300" w:lineRule="auto"/>
      </w:pPr>
      <w:r>
        <w:rPr>
          <w:color w:val="222222"/>
          <w:sz w:val="21"/>
          <w:szCs w:val="21"/>
        </w:rPr>
        <w:t xml:space="preserve">Three of these changes are load-bearing for the others. Model Gateway v2 must land before the knowledge subsystem, because a knowledge index pins an embedding model and cannot do so against a free-text string. Skills must land before the Studio, or the Studio is only a longer form. And version pinning — of MCP manifests, skills, model routes, and agent versions — must be designed in from the first line of code, because retrofitting it means auditing every artifact already in production.</w:t>
      </w:r>
    </w:p>
    <w:tbl>
      <w:tblPr>
        <w:tblW w:type="dxa" w:w="9638"/>
        <w:tblBorders>
          <w:top w:val="single" w:color="E3DCC8" w:sz="2"/>
          <w:left w:val="single" w:color="E3DCC8" w:sz="2"/>
          <w:bottom w:val="single" w:color="E3DCC8" w:sz="2"/>
          <w:right w:val="single" w:color="E3DCC8" w:sz="2"/>
          <w:insideH w:val="none"/>
          <w:insideV w:val="none"/>
        </w:tblBorders>
      </w:tblPr>
      <w:tblGrid>
        <w:gridCol w:w="9638"/>
      </w:tblGrid>
      <w:tr>
        <w:tc>
          <w:tcPr>
            <w:tcW w:type="dxa" w:w="9638"/>
            <w:shd w:fill="FCFAF4" w:val="clear"/>
            <w:tcMar>
              <w:top w:type="dxa" w:w="150"/>
              <w:left w:type="dxa" w:w="170"/>
              <w:bottom w:type="dxa" w:w="150"/>
              <w:right w:type="dxa" w:w="170"/>
            </w:tcMar>
          </w:tcPr>
          <w:p>
            <w:pPr>
              <w:spacing w:after="80"/>
            </w:pPr>
            <w:r>
              <w:rPr>
                <w:b/>
                <w:bCs/>
                <w:color w:val="8A6D3B"/>
                <w:sz w:val="19"/>
                <w:szCs w:val="19"/>
              </w:rPr>
              <w:t xml:space="preserve">The single most important rule in this document</w:t>
            </w:r>
          </w:p>
          <w:p>
            <w:pPr>
              <w:spacing w:after="60" w:line="280"/>
            </w:pPr>
            <w:r>
              <w:rPr>
                <w:color w:val="5C5240"/>
                <w:sz w:val="19"/>
                <w:szCs w:val="19"/>
              </w:rPr>
              <w:t xml:space="preserve">Every new artifact is versioned, immutable once promoted, and pins the version of everything it references.</w:t>
            </w:r>
          </w:p>
          <w:p>
            <w:pPr>
              <w:spacing w:after="60" w:line="280"/>
            </w:pPr>
            <w:r>
              <w:rPr>
                <w:color w:val="5C5240"/>
                <w:sz w:val="19"/>
                <w:szCs w:val="19"/>
              </w:rPr>
              <w:t xml:space="preserve">A skill, an MCP manifest, a model route, or a member agent that can change underneath a promoted agent version destroys the platform's strongest existing property: that what is running in production is exactly what was reviewed.</w:t>
            </w:r>
          </w:p>
        </w:tc>
      </w:tr>
    </w:tbl>
    <w:p>
      <w:pPr>
        <w:spacing w:after="220"/>
      </w:pPr>
    </w:p>
    <w:p>
      <w:r>
        <w:br w:type="page"/>
      </w:r>
    </w:p>
    <w:p>
      <w:pPr>
        <w:pStyle w:val="Heading1"/>
        <w:spacing w:after="200" w:before="360"/>
      </w:pPr>
      <w:r>
        <w:rPr>
          <w:b/>
          <w:bCs/>
          <w:color w:val="222222"/>
          <w:sz w:val="30"/>
          <w:szCs w:val="30"/>
        </w:rPr>
        <w:t xml:space="preserve">2. Scope and method</w:t>
      </w:r>
    </w:p>
    <w:p>
      <w:pPr>
        <w:spacing w:after="140" w:line="300" w:lineRule="auto"/>
      </w:pPr>
      <w:r>
        <w:rPr>
          <w:color w:val="222222"/>
          <w:sz w:val="21"/>
          <w:szCs w:val="21"/>
        </w:rPr>
        <w:t xml:space="preserve">This review is based on the NextBot Screen Reference, a screen-by-screen description of the live seeded platform covering the authentication screens, the tenant Admin Console, the Agent Platform, tenant Settings, the cross-tenant Platform Manager console, and the customer-facing widget.</w:t>
      </w:r>
    </w:p>
    <w:p>
      <w:pPr>
        <w:pStyle w:val="Heading2"/>
        <w:spacing w:after="150" w:before="300"/>
      </w:pPr>
      <w:r>
        <w:rPr>
          <w:b/>
          <w:bCs/>
          <w:color w:val="222222"/>
          <w:sz w:val="25"/>
          <w:szCs w:val="25"/>
        </w:rPr>
        <w:t xml:space="preserve">2.1 What is in scope</w:t>
      </w:r>
    </w:p>
    <w:p>
      <w:pPr>
        <w:pStyle w:val="ListParagraph"/>
        <w:numPr>
          <w:ilvl w:val="0"/>
          <w:numId w:val="2"/>
        </w:numPr>
        <w:spacing w:after="90" w:line="290" w:lineRule="auto"/>
      </w:pPr>
      <w:r>
        <w:rPr>
          <w:color w:val="222222"/>
          <w:sz w:val="21"/>
          <w:szCs w:val="21"/>
        </w:rPr>
        <w:t xml:space="preserve">The tenant-facing Admin Console and Agent Platform, where the six proposed modules live.</w:t>
      </w:r>
    </w:p>
    <w:p>
      <w:pPr>
        <w:pStyle w:val="ListParagraph"/>
        <w:numPr>
          <w:ilvl w:val="0"/>
          <w:numId w:val="2"/>
        </w:numPr>
        <w:spacing w:after="90" w:line="290" w:lineRule="auto"/>
      </w:pPr>
      <w:r>
        <w:rPr>
          <w:color w:val="222222"/>
          <w:sz w:val="21"/>
          <w:szCs w:val="21"/>
        </w:rPr>
        <w:t xml:space="preserve">Cross-cutting concerns that the new modules touch: permissions, PII handling, audit attribution, observability, cost, and data residency.</w:t>
      </w:r>
    </w:p>
    <w:p>
      <w:pPr>
        <w:pStyle w:val="ListParagraph"/>
        <w:numPr>
          <w:ilvl w:val="0"/>
          <w:numId w:val="2"/>
        </w:numPr>
        <w:spacing w:after="90" w:line="290" w:lineRule="auto"/>
      </w:pPr>
      <w:r>
        <w:rPr>
          <w:color w:val="222222"/>
          <w:sz w:val="21"/>
          <w:szCs w:val="21"/>
        </w:rPr>
        <w:t xml:space="preserve">The data model additions each module requires.</w:t>
      </w:r>
    </w:p>
    <w:p>
      <w:pPr>
        <w:pStyle w:val="ListParagraph"/>
        <w:numPr>
          <w:ilvl w:val="0"/>
          <w:numId w:val="2"/>
        </w:numPr>
        <w:spacing w:after="90" w:line="290" w:lineRule="auto"/>
      </w:pPr>
      <w:r>
        <w:rPr>
          <w:color w:val="222222"/>
          <w:sz w:val="21"/>
          <w:szCs w:val="21"/>
        </w:rPr>
        <w:t xml:space="preserve">Suggested wireframes for every new screen, included inline and indexed in Appendix A.</w:t>
      </w:r>
    </w:p>
    <w:p>
      <w:pPr>
        <w:pStyle w:val="Heading2"/>
        <w:spacing w:after="150" w:before="300"/>
      </w:pPr>
      <w:r>
        <w:rPr>
          <w:b/>
          <w:bCs/>
          <w:color w:val="222222"/>
          <w:sz w:val="25"/>
          <w:szCs w:val="25"/>
        </w:rPr>
        <w:t xml:space="preserve">2.2 What is out of scope</w:t>
      </w:r>
    </w:p>
    <w:p>
      <w:pPr>
        <w:pStyle w:val="ListParagraph"/>
        <w:numPr>
          <w:ilvl w:val="0"/>
          <w:numId w:val="2"/>
        </w:numPr>
        <w:spacing w:after="90" w:line="290" w:lineRule="auto"/>
      </w:pPr>
      <w:r>
        <w:rPr>
          <w:color w:val="222222"/>
          <w:sz w:val="21"/>
          <w:szCs w:val="21"/>
        </w:rPr>
        <w:t xml:space="preserve">The customer-facing widget's visual design, beyond the requirement that it render citations produced by the knowledge subsystem.</w:t>
      </w:r>
    </w:p>
    <w:p>
      <w:pPr>
        <w:pStyle w:val="ListParagraph"/>
        <w:numPr>
          <w:ilvl w:val="0"/>
          <w:numId w:val="2"/>
        </w:numPr>
        <w:spacing w:after="90" w:line="290" w:lineRule="auto"/>
      </w:pPr>
      <w:r>
        <w:rPr>
          <w:color w:val="222222"/>
          <w:sz w:val="21"/>
          <w:szCs w:val="21"/>
        </w:rPr>
        <w:t xml:space="preserve">Platform Manager console changes, other than the plan-tier controls needed to govern which provider types a tenant may use.</w:t>
      </w:r>
    </w:p>
    <w:p>
      <w:pPr>
        <w:pStyle w:val="ListParagraph"/>
        <w:numPr>
          <w:ilvl w:val="0"/>
          <w:numId w:val="2"/>
        </w:numPr>
        <w:spacing w:after="90" w:line="290" w:lineRule="auto"/>
      </w:pPr>
      <w:r>
        <w:rPr>
          <w:color w:val="222222"/>
          <w:sz w:val="21"/>
          <w:szCs w:val="21"/>
        </w:rPr>
        <w:t xml:space="preserve">Commercial packaging, pricing, and contractual data-processing terms.</w:t>
      </w:r>
    </w:p>
    <w:p>
      <w:pPr>
        <w:pStyle w:val="ListParagraph"/>
        <w:numPr>
          <w:ilvl w:val="0"/>
          <w:numId w:val="2"/>
        </w:numPr>
        <w:spacing w:after="90" w:line="290" w:lineRule="auto"/>
      </w:pPr>
      <w:r>
        <w:rPr>
          <w:color w:val="222222"/>
          <w:sz w:val="21"/>
          <w:szCs w:val="21"/>
        </w:rPr>
        <w:t xml:space="preserve">Detailed API contracts, which follow once the module boundaries in this document are agreed.</w:t>
      </w:r>
    </w:p>
    <w:p>
      <w:pPr>
        <w:pStyle w:val="Heading2"/>
        <w:spacing w:after="150" w:before="300"/>
      </w:pPr>
      <w:r>
        <w:rPr>
          <w:b/>
          <w:bCs/>
          <w:color w:val="222222"/>
          <w:sz w:val="25"/>
          <w:szCs w:val="25"/>
        </w:rPr>
        <w:t xml:space="preserve">2.3 How to read the module sections</w:t>
      </w:r>
    </w:p>
    <w:p>
      <w:pPr>
        <w:spacing w:after="140" w:line="300" w:lineRule="auto"/>
      </w:pPr>
      <w:r>
        <w:rPr>
          <w:color w:val="222222"/>
          <w:sz w:val="21"/>
          <w:szCs w:val="21"/>
        </w:rPr>
        <w:t xml:space="preserve">Sections 6 to 11 follow a consistent shape: what exists today and why it is insufficient, the proposed screens, the domain model, the rules the runtime must enforce rather than the UI, and the wireframes. Where a rule appears in a highlighted box, it is a rule that cannot be delegated to prompt instructions or to the interface — it has to be enforced by the platform, or it is not enforced at all.</w:t>
      </w:r>
    </w:p>
    <w:p>
      <w:r>
        <w:br w:type="page"/>
      </w:r>
    </w:p>
    <w:p>
      <w:pPr>
        <w:pStyle w:val="Heading1"/>
        <w:spacing w:after="200" w:before="360"/>
      </w:pPr>
      <w:r>
        <w:rPr>
          <w:b/>
          <w:bCs/>
          <w:color w:val="222222"/>
          <w:sz w:val="30"/>
          <w:szCs w:val="30"/>
        </w:rPr>
        <w:t xml:space="preserve">3. Current platform baseline</w:t>
      </w:r>
    </w:p>
    <w:p>
      <w:pPr>
        <w:pStyle w:val="Heading2"/>
        <w:spacing w:after="150" w:before="300"/>
      </w:pPr>
      <w:r>
        <w:rPr>
          <w:b/>
          <w:bCs/>
          <w:color w:val="222222"/>
          <w:sz w:val="25"/>
          <w:szCs w:val="25"/>
        </w:rPr>
        <w:t xml:space="preserve">3.1 Screen inventory</w:t>
      </w:r>
    </w:p>
    <w:p>
      <w:pPr>
        <w:spacing w:after="140" w:line="300" w:lineRule="auto"/>
      </w:pPr>
      <w:r>
        <w:rPr>
          <w:color w:val="222222"/>
          <w:sz w:val="21"/>
          <w:szCs w:val="21"/>
        </w:rPr>
        <w:t xml:space="preserve">The following inventory is derived from the Screen Reference. Module names in the third column are the permission modules that gate each screen, read/write/none per role.</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1500"/>
        <w:gridCol w:w="6338"/>
        <w:gridCol w:w="1800"/>
      </w:tblGrid>
      <w:tr>
        <w:trPr>
          <w:tblHeader/>
        </w:trPr>
        <w:tc>
          <w:tcPr>
            <w:tcW w:type="dxa" w:w="1500"/>
            <w:shd w:fill="F3F3F1" w:val="clear"/>
            <w:tcMar>
              <w:top w:type="dxa" w:w="90"/>
              <w:left w:type="dxa" w:w="120"/>
              <w:bottom w:type="dxa" w:w="90"/>
              <w:right w:type="dxa" w:w="120"/>
            </w:tcMar>
          </w:tcPr>
          <w:p>
            <w:pPr>
              <w:spacing w:after="0" w:line="260"/>
            </w:pPr>
            <w:r>
              <w:rPr>
                <w:b/>
                <w:bCs/>
                <w:color w:val="6E6E6E"/>
                <w:sz w:val="17"/>
                <w:szCs w:val="17"/>
              </w:rPr>
              <w:t xml:space="preserve">Area</w:t>
            </w:r>
          </w:p>
        </w:tc>
        <w:tc>
          <w:tcPr>
            <w:tcW w:type="dxa" w:w="6338"/>
            <w:shd w:fill="F3F3F1" w:val="clear"/>
            <w:tcMar>
              <w:top w:type="dxa" w:w="90"/>
              <w:left w:type="dxa" w:w="120"/>
              <w:bottom w:type="dxa" w:w="90"/>
              <w:right w:type="dxa" w:w="120"/>
            </w:tcMar>
          </w:tcPr>
          <w:p>
            <w:pPr>
              <w:spacing w:after="0" w:line="260"/>
            </w:pPr>
            <w:r>
              <w:rPr>
                <w:b/>
                <w:bCs/>
                <w:color w:val="6E6E6E"/>
                <w:sz w:val="17"/>
                <w:szCs w:val="17"/>
              </w:rPr>
              <w:t xml:space="preserve">Screens</w:t>
            </w:r>
          </w:p>
        </w:tc>
        <w:tc>
          <w:tcPr>
            <w:tcW w:type="dxa" w:w="1800"/>
            <w:shd w:fill="F3F3F1" w:val="clear"/>
            <w:tcMar>
              <w:top w:type="dxa" w:w="90"/>
              <w:left w:type="dxa" w:w="120"/>
              <w:bottom w:type="dxa" w:w="90"/>
              <w:right w:type="dxa" w:w="120"/>
            </w:tcMar>
          </w:tcPr>
          <w:p>
            <w:pPr>
              <w:spacing w:after="0" w:line="260"/>
            </w:pPr>
            <w:r>
              <w:rPr>
                <w:b/>
                <w:bCs/>
                <w:color w:val="6E6E6E"/>
                <w:sz w:val="17"/>
                <w:szCs w:val="17"/>
              </w:rPr>
              <w:t xml:space="preserve">Permission module</w:t>
            </w:r>
          </w:p>
        </w:tc>
      </w:tr>
      <w:tr>
        <w:tc>
          <w:tcPr>
            <w:tcW w:type="dxa" w:w="1500"/>
            <w:tcMar>
              <w:top w:type="dxa" w:w="90"/>
              <w:left w:type="dxa" w:w="120"/>
              <w:bottom w:type="dxa" w:w="90"/>
              <w:right w:type="dxa" w:w="120"/>
            </w:tcMar>
          </w:tcPr>
          <w:p>
            <w:pPr>
              <w:spacing w:after="0" w:line="260"/>
            </w:pPr>
            <w:r>
              <w:rPr>
                <w:b/>
                <w:bCs/>
                <w:color w:val="222222"/>
                <w:sz w:val="19"/>
                <w:szCs w:val="19"/>
              </w:rPr>
              <w:t xml:space="preserve">Authentication</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Login with tenant slug, TOTP MFA and backup codes; forgot password with non-enumerable response; separate Platform Manager login behind an operator token and IP allowlist</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1500"/>
            <w:tcMar>
              <w:top w:type="dxa" w:w="90"/>
              <w:left w:type="dxa" w:w="120"/>
              <w:bottom w:type="dxa" w:w="90"/>
              <w:right w:type="dxa" w:w="120"/>
            </w:tcMar>
          </w:tcPr>
          <w:p>
            <w:pPr>
              <w:spacing w:after="0" w:line="260"/>
            </w:pPr>
            <w:r>
              <w:rPr>
                <w:b/>
                <w:bCs/>
                <w:color w:val="222222"/>
                <w:sz w:val="19"/>
                <w:szCs w:val="19"/>
              </w:rPr>
              <w:t xml:space="preserve">Operations</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Dashboard with conversation volume, escalation rate and tool-call activity</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reporting</w:t>
            </w:r>
          </w:p>
        </w:tc>
      </w:tr>
      <w:tr>
        <w:tc>
          <w:tcPr>
            <w:tcW w:type="dxa" w:w="1500"/>
            <w:tcMar>
              <w:top w:type="dxa" w:w="90"/>
              <w:left w:type="dxa" w:w="120"/>
              <w:bottom w:type="dxa" w:w="90"/>
              <w:right w:type="dxa" w:w="120"/>
            </w:tcMar>
          </w:tcPr>
          <w:p>
            <w:pPr>
              <w:spacing w:after="0" w:line="260"/>
            </w:pPr>
            <w:r>
              <w:rPr>
                <w:b/>
                <w:bCs/>
                <w:color w:val="222222"/>
                <w:sz w:val="19"/>
                <w:szCs w:val="19"/>
              </w:rPr>
              <w:t xml:space="preserve">Operations</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Conversations list and detail, with transcript, collapsible reasoning trace and tool calls</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conversations</w:t>
            </w:r>
          </w:p>
        </w:tc>
      </w:tr>
      <w:tr>
        <w:tc>
          <w:tcPr>
            <w:tcW w:type="dxa" w:w="1500"/>
            <w:tcMar>
              <w:top w:type="dxa" w:w="90"/>
              <w:left w:type="dxa" w:w="120"/>
              <w:bottom w:type="dxa" w:w="90"/>
              <w:right w:type="dxa" w:w="120"/>
            </w:tcMar>
          </w:tcPr>
          <w:p>
            <w:pPr>
              <w:spacing w:after="0" w:line="260"/>
            </w:pPr>
            <w:r>
              <w:rPr>
                <w:b/>
                <w:bCs/>
                <w:color w:val="222222"/>
                <w:sz w:val="19"/>
                <w:szCs w:val="19"/>
              </w:rPr>
              <w:t xml:space="preserve">Operations</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Approval Queue for Tier-3 tool calls awaiting a human decision</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approval_queue</w:t>
            </w:r>
          </w:p>
        </w:tc>
      </w:tr>
      <w:tr>
        <w:tc>
          <w:tcPr>
            <w:tcW w:type="dxa" w:w="1500"/>
            <w:tcMar>
              <w:top w:type="dxa" w:w="90"/>
              <w:left w:type="dxa" w:w="120"/>
              <w:bottom w:type="dxa" w:w="90"/>
              <w:right w:type="dxa" w:w="120"/>
            </w:tcMar>
          </w:tcPr>
          <w:p>
            <w:pPr>
              <w:spacing w:after="0" w:line="260"/>
            </w:pPr>
            <w:r>
              <w:rPr>
                <w:b/>
                <w:bCs/>
                <w:color w:val="222222"/>
                <w:sz w:val="19"/>
                <w:szCs w:val="19"/>
              </w:rPr>
              <w:t xml:space="preserve">Operations</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Escalation Queue and live takeover panel</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escalations</w:t>
            </w:r>
          </w:p>
        </w:tc>
      </w:tr>
      <w:tr>
        <w:tc>
          <w:tcPr>
            <w:tcW w:type="dxa" w:w="1500"/>
            <w:tcMar>
              <w:top w:type="dxa" w:w="90"/>
              <w:left w:type="dxa" w:w="120"/>
              <w:bottom w:type="dxa" w:w="90"/>
              <w:right w:type="dxa" w:w="120"/>
            </w:tcMar>
          </w:tcPr>
          <w:p>
            <w:pPr>
              <w:spacing w:after="0" w:line="260"/>
            </w:pPr>
            <w:r>
              <w:rPr>
                <w:b/>
                <w:bCs/>
                <w:color w:val="222222"/>
                <w:sz w:val="19"/>
                <w:szCs w:val="19"/>
              </w:rPr>
              <w:t xml:space="preserve">Operations</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Channels list, add-channel type picker, per-type setup, and an in-console channel test running the deployed Production version</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channels</w:t>
            </w:r>
          </w:p>
        </w:tc>
      </w:tr>
      <w:tr>
        <w:tc>
          <w:tcPr>
            <w:tcW w:type="dxa" w:w="1500"/>
            <w:tcMar>
              <w:top w:type="dxa" w:w="90"/>
              <w:left w:type="dxa" w:w="120"/>
              <w:bottom w:type="dxa" w:w="90"/>
              <w:right w:type="dxa" w:w="120"/>
            </w:tcMar>
          </w:tcPr>
          <w:p>
            <w:pPr>
              <w:spacing w:after="0" w:line="260"/>
            </w:pPr>
            <w:r>
              <w:rPr>
                <w:b/>
                <w:bCs/>
                <w:color w:val="222222"/>
                <w:sz w:val="19"/>
                <w:szCs w:val="19"/>
              </w:rPr>
              <w:t xml:space="preserve">Integration</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Connectors list, add form and detail with live health</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connectors</w:t>
            </w:r>
          </w:p>
        </w:tc>
      </w:tr>
      <w:tr>
        <w:tc>
          <w:tcPr>
            <w:tcW w:type="dxa" w:w="1500"/>
            <w:tcMar>
              <w:top w:type="dxa" w:w="90"/>
              <w:left w:type="dxa" w:w="120"/>
              <w:bottom w:type="dxa" w:w="90"/>
              <w:right w:type="dxa" w:w="120"/>
            </w:tcMar>
          </w:tcPr>
          <w:p>
            <w:pPr>
              <w:spacing w:after="0" w:line="260"/>
            </w:pPr>
            <w:r>
              <w:rPr>
                <w:b/>
                <w:bCs/>
                <w:color w:val="222222"/>
                <w:sz w:val="19"/>
                <w:szCs w:val="19"/>
              </w:rPr>
              <w:t xml:space="preserve">Integration</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Tool Catalog with read/write class and approval tier; per-tool permission rules with a simulate preview</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tool_permissions, agent_tool_config</w:t>
            </w:r>
          </w:p>
        </w:tc>
      </w:tr>
      <w:tr>
        <w:tc>
          <w:tcPr>
            <w:tcW w:type="dxa" w:w="1500"/>
            <w:tcMar>
              <w:top w:type="dxa" w:w="90"/>
              <w:left w:type="dxa" w:w="120"/>
              <w:bottom w:type="dxa" w:w="90"/>
              <w:right w:type="dxa" w:w="120"/>
            </w:tcMar>
          </w:tcPr>
          <w:p>
            <w:pPr>
              <w:spacing w:after="0" w:line="260"/>
            </w:pPr>
            <w:r>
              <w:rPr>
                <w:b/>
                <w:bCs/>
                <w:color w:val="222222"/>
                <w:sz w:val="19"/>
                <w:szCs w:val="19"/>
              </w:rPr>
              <w:t xml:space="preserve">Integration</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MCP Health with a health tab and an alert configuration tab</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connectors</w:t>
            </w:r>
          </w:p>
        </w:tc>
      </w:tr>
      <w:tr>
        <w:tc>
          <w:tcPr>
            <w:tcW w:type="dxa" w:w="1500"/>
            <w:tcMar>
              <w:top w:type="dxa" w:w="90"/>
              <w:left w:type="dxa" w:w="120"/>
              <w:bottom w:type="dxa" w:w="90"/>
              <w:right w:type="dxa" w:w="120"/>
            </w:tcMar>
          </w:tcPr>
          <w:p>
            <w:pPr>
              <w:spacing w:after="0" w:line="260"/>
            </w:pPr>
            <w:r>
              <w:rPr>
                <w:b/>
                <w:bCs/>
                <w:color w:val="222222"/>
                <w:sz w:val="19"/>
                <w:szCs w:val="19"/>
              </w:rPr>
              <w:t xml:space="preserve">Agent Platform</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Agent definitions and versions; create/edit a version in Text or Design mode; version detail with Overview, Eval and Sandbox tabs; eval suites; model gateway; runtime traces; Git-backed diff</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agent_platform</w:t>
            </w:r>
          </w:p>
        </w:tc>
      </w:tr>
      <w:tr>
        <w:tc>
          <w:tcPr>
            <w:tcW w:type="dxa" w:w="1500"/>
            <w:tcMar>
              <w:top w:type="dxa" w:w="90"/>
              <w:left w:type="dxa" w:w="120"/>
              <w:bottom w:type="dxa" w:w="90"/>
              <w:right w:type="dxa" w:w="120"/>
            </w:tcMar>
          </w:tcPr>
          <w:p>
            <w:pPr>
              <w:spacing w:after="0" w:line="260"/>
            </w:pPr>
            <w:r>
              <w:rPr>
                <w:b/>
                <w:bCs/>
                <w:color w:val="222222"/>
                <w:sz w:val="19"/>
                <w:szCs w:val="19"/>
              </w:rPr>
              <w:t xml:space="preserve">Settings</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Settings hub, branding and white-label, escalation routing, Git integration, PII and guardrails, retention and residency, data subject requests</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security_settings, escalations, agent_platform</w:t>
            </w:r>
          </w:p>
        </w:tc>
      </w:tr>
      <w:tr>
        <w:tc>
          <w:tcPr>
            <w:tcW w:type="dxa" w:w="1500"/>
            <w:tcMar>
              <w:top w:type="dxa" w:w="90"/>
              <w:left w:type="dxa" w:w="120"/>
              <w:bottom w:type="dxa" w:w="90"/>
              <w:right w:type="dxa" w:w="120"/>
            </w:tcMar>
          </w:tcPr>
          <w:p>
            <w:pPr>
              <w:spacing w:after="0" w:line="260"/>
            </w:pPr>
            <w:r>
              <w:rPr>
                <w:b/>
                <w:bCs/>
                <w:color w:val="222222"/>
                <w:sz w:val="19"/>
                <w:szCs w:val="19"/>
              </w:rPr>
              <w:t xml:space="preserve">Administration</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Users and roles with the permission matrix editor; audit log with actor attribution</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users_roles, audit_log</w:t>
            </w:r>
          </w:p>
        </w:tc>
      </w:tr>
      <w:tr>
        <w:tc>
          <w:tcPr>
            <w:tcW w:type="dxa" w:w="1500"/>
            <w:tcMar>
              <w:top w:type="dxa" w:w="90"/>
              <w:left w:type="dxa" w:w="120"/>
              <w:bottom w:type="dxa" w:w="90"/>
              <w:right w:type="dxa" w:w="120"/>
            </w:tcMar>
          </w:tcPr>
          <w:p>
            <w:pPr>
              <w:spacing w:after="0" w:line="260"/>
            </w:pPr>
            <w:r>
              <w:rPr>
                <w:b/>
                <w:bCs/>
                <w:color w:val="222222"/>
                <w:sz w:val="19"/>
                <w:szCs w:val="19"/>
              </w:rPr>
              <w:t xml:space="preserve">Platform Manager</w:t>
            </w:r>
          </w:p>
        </w:tc>
        <w:tc>
          <w:tcPr>
            <w:tcW w:type="dxa" w:w="6338"/>
            <w:tcMar>
              <w:top w:type="dxa" w:w="90"/>
              <w:left w:type="dxa" w:w="120"/>
              <w:bottom w:type="dxa" w:w="90"/>
              <w:right w:type="dxa" w:w="120"/>
            </w:tcMar>
          </w:tcPr>
          <w:p>
            <w:pPr>
              <w:spacing w:after="0" w:line="260"/>
            </w:pPr>
            <w:r>
              <w:rPr>
                <w:b w:val="false"/>
                <w:bCs w:val="false"/>
                <w:color w:val="222222"/>
                <w:sz w:val="19"/>
                <w:szCs w:val="19"/>
              </w:rPr>
              <w:t xml:space="preserve">Tenant list, detail and provisioning; plan tiers; cross-tenant connector health rollup</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operator token</w:t>
            </w:r>
          </w:p>
        </w:tc>
      </w:tr>
    </w:tbl>
    <w:p>
      <w:pPr>
        <w:spacing w:after="200"/>
      </w:pPr>
    </w:p>
    <w:p>
      <w:pPr>
        <w:pStyle w:val="Heading2"/>
        <w:spacing w:after="150" w:before="300"/>
      </w:pPr>
      <w:r>
        <w:rPr>
          <w:b/>
          <w:bCs/>
          <w:color w:val="222222"/>
          <w:sz w:val="25"/>
          <w:szCs w:val="25"/>
        </w:rPr>
        <w:t xml:space="preserve">3.2 Architectural invariants worth preserving</w:t>
      </w:r>
    </w:p>
    <w:p>
      <w:pPr>
        <w:spacing w:after="140" w:line="300" w:lineRule="auto"/>
      </w:pPr>
      <w:r>
        <w:rPr>
          <w:color w:val="222222"/>
          <w:sz w:val="21"/>
          <w:szCs w:val="21"/>
        </w:rPr>
        <w:t xml:space="preserve">These are the decisions that constrain every proposal in this document. Each one is currently honoured consistently, and each one is easy to break accidentally when adding the modules below.</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1600"/>
        <w:gridCol w:w="4200"/>
        <w:gridCol w:w="3838"/>
      </w:tblGrid>
      <w:tr>
        <w:trPr>
          <w:tblHeader/>
        </w:trPr>
        <w:tc>
          <w:tcPr>
            <w:tcW w:type="dxa" w:w="1600"/>
            <w:shd w:fill="F3F3F1" w:val="clear"/>
            <w:tcMar>
              <w:top w:type="dxa" w:w="90"/>
              <w:left w:type="dxa" w:w="120"/>
              <w:bottom w:type="dxa" w:w="90"/>
              <w:right w:type="dxa" w:w="120"/>
            </w:tcMar>
          </w:tcPr>
          <w:p>
            <w:pPr>
              <w:spacing w:after="0" w:line="260"/>
            </w:pPr>
            <w:r>
              <w:rPr>
                <w:b/>
                <w:bCs/>
                <w:color w:val="6E6E6E"/>
                <w:sz w:val="17"/>
                <w:szCs w:val="17"/>
              </w:rPr>
              <w:t xml:space="preserve">Invariant</w:t>
            </w:r>
          </w:p>
        </w:tc>
        <w:tc>
          <w:tcPr>
            <w:tcW w:type="dxa" w:w="4200"/>
            <w:shd w:fill="F3F3F1" w:val="clear"/>
            <w:tcMar>
              <w:top w:type="dxa" w:w="90"/>
              <w:left w:type="dxa" w:w="120"/>
              <w:bottom w:type="dxa" w:w="90"/>
              <w:right w:type="dxa" w:w="120"/>
            </w:tcMar>
          </w:tcPr>
          <w:p>
            <w:pPr>
              <w:spacing w:after="0" w:line="260"/>
            </w:pPr>
            <w:r>
              <w:rPr>
                <w:b/>
                <w:bCs/>
                <w:color w:val="6E6E6E"/>
                <w:sz w:val="17"/>
                <w:szCs w:val="17"/>
              </w:rPr>
              <w:t xml:space="preserve">How it manifests today</w:t>
            </w:r>
          </w:p>
        </w:tc>
        <w:tc>
          <w:tcPr>
            <w:tcW w:type="dxa" w:w="3838"/>
            <w:shd w:fill="F3F3F1" w:val="clear"/>
            <w:tcMar>
              <w:top w:type="dxa" w:w="90"/>
              <w:left w:type="dxa" w:w="120"/>
              <w:bottom w:type="dxa" w:w="90"/>
              <w:right w:type="dxa" w:w="120"/>
            </w:tcMar>
          </w:tcPr>
          <w:p>
            <w:pPr>
              <w:spacing w:after="0" w:line="260"/>
            </w:pPr>
            <w:r>
              <w:rPr>
                <w:b/>
                <w:bCs/>
                <w:color w:val="6E6E6E"/>
                <w:sz w:val="17"/>
                <w:szCs w:val="17"/>
              </w:rPr>
              <w:t xml:space="preserve">Risk introduced by the new modules</w:t>
            </w:r>
          </w:p>
        </w:tc>
      </w:tr>
      <w:tr>
        <w:tc>
          <w:tcPr>
            <w:tcW w:type="dxa" w:w="1600"/>
            <w:tcMar>
              <w:top w:type="dxa" w:w="90"/>
              <w:left w:type="dxa" w:w="120"/>
              <w:bottom w:type="dxa" w:w="90"/>
              <w:right w:type="dxa" w:w="120"/>
            </w:tcMar>
          </w:tcPr>
          <w:p>
            <w:pPr>
              <w:spacing w:after="0" w:line="260"/>
            </w:pPr>
            <w:r>
              <w:rPr>
                <w:b/>
                <w:bCs/>
                <w:color w:val="222222"/>
                <w:sz w:val="19"/>
                <w:szCs w:val="19"/>
              </w:rPr>
              <w:t xml:space="preserve">Fail closed</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A role without access sees an explicit no-access state on a direct link. Settings hub cards are hidden per role. Unconfigured masking-context combinations default to full masking. The Platform Manager console is indistinguishable from a missing page.</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New screens and new node types must inherit the same default-deny posture rather than defaulting to visible.</w:t>
            </w:r>
          </w:p>
        </w:tc>
      </w:tr>
      <w:tr>
        <w:tc>
          <w:tcPr>
            <w:tcW w:type="dxa" w:w="1600"/>
            <w:tcMar>
              <w:top w:type="dxa" w:w="90"/>
              <w:left w:type="dxa" w:w="120"/>
              <w:bottom w:type="dxa" w:w="90"/>
              <w:right w:type="dxa" w:w="120"/>
            </w:tcMar>
          </w:tcPr>
          <w:p>
            <w:pPr>
              <w:spacing w:after="0" w:line="260"/>
            </w:pPr>
            <w:r>
              <w:rPr>
                <w:b/>
                <w:bCs/>
                <w:color w:val="222222"/>
                <w:sz w:val="19"/>
                <w:szCs w:val="19"/>
              </w:rPr>
              <w:t xml:space="preserve">Immutable versions</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Agent versions never change after creation. Restore authors a new version pre-filled from an old one rather than mutating it.</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Skills, routes and team members referenced by name rather than by version would silently mutate a promoted version.</w:t>
            </w:r>
          </w:p>
        </w:tc>
      </w:tr>
      <w:tr>
        <w:tc>
          <w:tcPr>
            <w:tcW w:type="dxa" w:w="1600"/>
            <w:tcMar>
              <w:top w:type="dxa" w:w="90"/>
              <w:left w:type="dxa" w:w="120"/>
              <w:bottom w:type="dxa" w:w="90"/>
              <w:right w:type="dxa" w:w="120"/>
            </w:tcMar>
          </w:tcPr>
          <w:p>
            <w:pPr>
              <w:spacing w:after="0" w:line="260"/>
            </w:pPr>
            <w:r>
              <w:rPr>
                <w:b/>
                <w:bCs/>
                <w:color w:val="222222"/>
                <w:sz w:val="19"/>
                <w:szCs w:val="19"/>
              </w:rPr>
              <w:t xml:space="preserve">The promotion gate</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Production requires a passing eval run, an approver who is not the author, and at least one completed sandbox conversation.</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Wizards, workflows and teams must all land in Draft and pass the same gate. None may bypass it.</w:t>
            </w:r>
          </w:p>
        </w:tc>
      </w:tr>
      <w:tr>
        <w:tc>
          <w:tcPr>
            <w:tcW w:type="dxa" w:w="1600"/>
            <w:tcMar>
              <w:top w:type="dxa" w:w="90"/>
              <w:left w:type="dxa" w:w="120"/>
              <w:bottom w:type="dxa" w:w="90"/>
              <w:right w:type="dxa" w:w="120"/>
            </w:tcMar>
          </w:tcPr>
          <w:p>
            <w:pPr>
              <w:spacing w:after="0" w:line="260"/>
            </w:pPr>
            <w:r>
              <w:rPr>
                <w:b/>
                <w:bCs/>
                <w:color w:val="222222"/>
                <w:sz w:val="19"/>
                <w:szCs w:val="19"/>
              </w:rPr>
              <w:t xml:space="preserve">Tool tiering</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Tier 1 runs automatically, Tier 2 is logged, Tier 3 stops at the Approval Queue.</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A Tier-3 tool invoked from inside a workflow node or a delegated sub-agent must still stop at the queue.</w:t>
            </w:r>
          </w:p>
        </w:tc>
      </w:tr>
      <w:tr>
        <w:tc>
          <w:tcPr>
            <w:tcW w:type="dxa" w:w="1600"/>
            <w:tcMar>
              <w:top w:type="dxa" w:w="90"/>
              <w:left w:type="dxa" w:w="120"/>
              <w:bottom w:type="dxa" w:w="90"/>
              <w:right w:type="dxa" w:w="120"/>
            </w:tcMar>
          </w:tcPr>
          <w:p>
            <w:pPr>
              <w:spacing w:after="0" w:line="260"/>
            </w:pPr>
            <w:r>
              <w:rPr>
                <w:b/>
                <w:bCs/>
                <w:color w:val="222222"/>
                <w:sz w:val="19"/>
                <w:szCs w:val="19"/>
              </w:rPr>
              <w:t xml:space="preserve">Credentials never returned</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Connector credentials are stored in an encrypted vault and never shown back in plaintext once saved.</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Provider credentials in Model Gateway v2 and MCP enrolment must use the same vault, not a new store.</w:t>
            </w:r>
          </w:p>
        </w:tc>
      </w:tr>
      <w:tr>
        <w:tc>
          <w:tcPr>
            <w:tcW w:type="dxa" w:w="1600"/>
            <w:tcMar>
              <w:top w:type="dxa" w:w="90"/>
              <w:left w:type="dxa" w:w="120"/>
              <w:bottom w:type="dxa" w:w="90"/>
              <w:right w:type="dxa" w:w="120"/>
            </w:tcMar>
          </w:tcPr>
          <w:p>
            <w:pPr>
              <w:spacing w:after="0" w:line="260"/>
            </w:pPr>
            <w:r>
              <w:rPr>
                <w:b/>
                <w:bCs/>
                <w:color w:val="222222"/>
                <w:sz w:val="19"/>
                <w:szCs w:val="19"/>
              </w:rPr>
              <w:t xml:space="preserve">One widget artifact</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The customer widget is a standalone application reused for the channel test and the version sandbox, so what is tested is what customers get.</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Team and workflow sandboxes must reuse the same widget rather than introducing a lighter mock.</w:t>
            </w:r>
          </w:p>
        </w:tc>
      </w:tr>
      <w:tr>
        <w:tc>
          <w:tcPr>
            <w:tcW w:type="dxa" w:w="1600"/>
            <w:tcMar>
              <w:top w:type="dxa" w:w="90"/>
              <w:left w:type="dxa" w:w="120"/>
              <w:bottom w:type="dxa" w:w="90"/>
              <w:right w:type="dxa" w:w="120"/>
            </w:tcMar>
          </w:tcPr>
          <w:p>
            <w:pPr>
              <w:spacing w:after="0" w:line="260"/>
            </w:pPr>
            <w:r>
              <w:rPr>
                <w:b/>
                <w:bCs/>
                <w:color w:val="222222"/>
                <w:sz w:val="19"/>
                <w:szCs w:val="19"/>
              </w:rPr>
              <w:t xml:space="preserve">Separate audit trails</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Every Platform Manager mutation writes to a platform-level audit trail, separate from any tenant's own log.</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Multi-agent runs must extend tenant audit attribution to a delegation chain rather than logging a bare agent name.</w:t>
            </w:r>
          </w:p>
        </w:tc>
      </w:tr>
    </w:tbl>
    <w:p>
      <w:pPr>
        <w:spacing w:after="200"/>
      </w:pPr>
    </w:p>
    <w:p>
      <w:r>
        <w:br w:type="page"/>
      </w:r>
    </w:p>
    <w:p>
      <w:pPr>
        <w:pStyle w:val="Heading1"/>
        <w:spacing w:after="200" w:before="360"/>
      </w:pPr>
      <w:r>
        <w:rPr>
          <w:b/>
          <w:bCs/>
          <w:color w:val="222222"/>
          <w:sz w:val="30"/>
          <w:szCs w:val="30"/>
        </w:rPr>
        <w:t xml:space="preserve">4. Gap analysis</w:t>
      </w:r>
    </w:p>
    <w:p>
      <w:pPr>
        <w:spacing w:after="140" w:line="300" w:lineRule="auto"/>
      </w:pPr>
      <w:r>
        <w:rPr>
          <w:color w:val="222222"/>
          <w:sz w:val="21"/>
          <w:szCs w:val="21"/>
        </w:rPr>
        <w:t xml:space="preserve">Gaps are rated by the risk they carry today, not by implementation effort. Severity 1 means an incident is likely and recovery is currently slow or impossible; severity 2 means a capability the platform is expected to have is absent; severity 3 means an operational or commercial limitation.</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700"/>
        <w:gridCol w:w="2400"/>
        <w:gridCol w:w="3600"/>
        <w:gridCol w:w="500"/>
        <w:gridCol w:w="900"/>
      </w:tblGrid>
      <w:tr>
        <w:trPr>
          <w:tblHeader/>
        </w:trPr>
        <w:tc>
          <w:tcPr>
            <w:tcW w:type="dxa" w:w="700"/>
            <w:shd w:fill="F3F3F1" w:val="clear"/>
            <w:tcMar>
              <w:top w:type="dxa" w:w="90"/>
              <w:left w:type="dxa" w:w="120"/>
              <w:bottom w:type="dxa" w:w="90"/>
              <w:right w:type="dxa" w:w="120"/>
            </w:tcMar>
          </w:tcPr>
          <w:p>
            <w:pPr>
              <w:spacing w:after="0" w:line="260"/>
            </w:pPr>
            <w:r>
              <w:rPr>
                <w:b/>
                <w:bCs/>
                <w:color w:val="6E6E6E"/>
                <w:sz w:val="17"/>
                <w:szCs w:val="17"/>
              </w:rPr>
              <w:t xml:space="preserve">ID</w:t>
            </w:r>
          </w:p>
        </w:tc>
        <w:tc>
          <w:tcPr>
            <w:tcW w:type="dxa" w:w="2400"/>
            <w:shd w:fill="F3F3F1" w:val="clear"/>
            <w:tcMar>
              <w:top w:type="dxa" w:w="90"/>
              <w:left w:type="dxa" w:w="120"/>
              <w:bottom w:type="dxa" w:w="90"/>
              <w:right w:type="dxa" w:w="120"/>
            </w:tcMar>
          </w:tcPr>
          <w:p>
            <w:pPr>
              <w:spacing w:after="0" w:line="260"/>
            </w:pPr>
            <w:r>
              <w:rPr>
                <w:b/>
                <w:bCs/>
                <w:color w:val="6E6E6E"/>
                <w:sz w:val="17"/>
                <w:szCs w:val="17"/>
              </w:rPr>
              <w:t xml:space="preserve">Gap</w:t>
            </w:r>
          </w:p>
        </w:tc>
        <w:tc>
          <w:tcPr>
            <w:tcW w:type="dxa" w:w="3600"/>
            <w:shd w:fill="F3F3F1" w:val="clear"/>
            <w:tcMar>
              <w:top w:type="dxa" w:w="90"/>
              <w:left w:type="dxa" w:w="120"/>
              <w:bottom w:type="dxa" w:w="90"/>
              <w:right w:type="dxa" w:w="120"/>
            </w:tcMar>
          </w:tcPr>
          <w:p>
            <w:pPr>
              <w:spacing w:after="0" w:line="260"/>
            </w:pPr>
            <w:r>
              <w:rPr>
                <w:b/>
                <w:bCs/>
                <w:color w:val="6E6E6E"/>
                <w:sz w:val="17"/>
                <w:szCs w:val="17"/>
              </w:rPr>
              <w:t xml:space="preserve">Consequence</w:t>
            </w:r>
          </w:p>
        </w:tc>
        <w:tc>
          <w:tcPr>
            <w:tcW w:type="dxa" w:w="500"/>
            <w:shd w:fill="F3F3F1" w:val="clear"/>
            <w:tcMar>
              <w:top w:type="dxa" w:w="90"/>
              <w:left w:type="dxa" w:w="120"/>
              <w:bottom w:type="dxa" w:w="90"/>
              <w:right w:type="dxa" w:w="120"/>
            </w:tcMar>
          </w:tcPr>
          <w:p>
            <w:pPr>
              <w:spacing w:after="0" w:line="260"/>
            </w:pPr>
            <w:r>
              <w:rPr>
                <w:b/>
                <w:bCs/>
                <w:color w:val="6E6E6E"/>
                <w:sz w:val="17"/>
                <w:szCs w:val="17"/>
              </w:rPr>
              <w:t xml:space="preserve">Sev</w:t>
            </w:r>
          </w:p>
        </w:tc>
        <w:tc>
          <w:tcPr>
            <w:tcW w:type="dxa" w:w="900"/>
            <w:shd w:fill="F3F3F1" w:val="clear"/>
            <w:tcMar>
              <w:top w:type="dxa" w:w="90"/>
              <w:left w:type="dxa" w:w="120"/>
              <w:bottom w:type="dxa" w:w="90"/>
              <w:right w:type="dxa" w:w="120"/>
            </w:tcMar>
          </w:tcPr>
          <w:p>
            <w:pPr>
              <w:spacing w:after="0" w:line="260"/>
            </w:pPr>
            <w:r>
              <w:rPr>
                <w:b/>
                <w:bCs/>
                <w:color w:val="6E6E6E"/>
                <w:sz w:val="17"/>
                <w:szCs w:val="17"/>
              </w:rPr>
              <w:t xml:space="preserve">Addressed in</w:t>
            </w:r>
          </w:p>
        </w:tc>
      </w:tr>
      <w:tr>
        <w:tc>
          <w:tcPr>
            <w:tcW w:type="dxa" w:w="700"/>
            <w:tcMar>
              <w:top w:type="dxa" w:w="90"/>
              <w:left w:type="dxa" w:w="120"/>
              <w:bottom w:type="dxa" w:w="90"/>
              <w:right w:type="dxa" w:w="120"/>
            </w:tcMar>
          </w:tcPr>
          <w:p>
            <w:pPr>
              <w:spacing w:after="0" w:line="260"/>
            </w:pPr>
            <w:r>
              <w:rPr>
                <w:b/>
                <w:bCs/>
                <w:color w:val="222222"/>
                <w:sz w:val="19"/>
                <w:szCs w:val="19"/>
              </w:rPr>
              <w:t xml:space="preserve">G-01</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No knowledge or retrieval layer of any kind</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An agent can only reach information through a tool call. No document grounding, no citations, no content-coverage reporting.</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1</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§7</w:t>
            </w:r>
          </w:p>
        </w:tc>
      </w:tr>
      <w:tr>
        <w:tc>
          <w:tcPr>
            <w:tcW w:type="dxa" w:w="700"/>
            <w:tcMar>
              <w:top w:type="dxa" w:w="90"/>
              <w:left w:type="dxa" w:w="120"/>
              <w:bottom w:type="dxa" w:w="90"/>
              <w:right w:type="dxa" w:w="120"/>
            </w:tcMar>
          </w:tcPr>
          <w:p>
            <w:pPr>
              <w:spacing w:after="0" w:line="260"/>
            </w:pPr>
            <w:r>
              <w:rPr>
                <w:b/>
                <w:bCs/>
                <w:color w:val="222222"/>
                <w:sz w:val="19"/>
                <w:szCs w:val="19"/>
              </w:rPr>
              <w:t xml:space="preserve">G-02</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No rollback path</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Promotion replaces the prior production deployment. Restoring an older version creates a new version that must re-pass the full gate, so recovery is slower than causing the outage.</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1</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§14</w:t>
            </w:r>
          </w:p>
        </w:tc>
      </w:tr>
      <w:tr>
        <w:tc>
          <w:tcPr>
            <w:tcW w:type="dxa" w:w="700"/>
            <w:tcMar>
              <w:top w:type="dxa" w:w="90"/>
              <w:left w:type="dxa" w:w="120"/>
              <w:bottom w:type="dxa" w:w="90"/>
              <w:right w:type="dxa" w:w="120"/>
            </w:tcMar>
          </w:tcPr>
          <w:p>
            <w:pPr>
              <w:spacing w:after="0" w:line="260"/>
            </w:pPr>
            <w:r>
              <w:rPr>
                <w:b/>
                <w:bCs/>
                <w:color w:val="222222"/>
                <w:sz w:val="19"/>
                <w:szCs w:val="19"/>
              </w:rPr>
              <w:t xml:space="preserve">G-03</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MCP manifests are not pinned</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A server that adds a tool or changes an approved tool's input schema changes agent behaviour with no review and no alert.</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1</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§6</w:t>
            </w:r>
          </w:p>
        </w:tc>
      </w:tr>
      <w:tr>
        <w:tc>
          <w:tcPr>
            <w:tcW w:type="dxa" w:w="700"/>
            <w:tcMar>
              <w:top w:type="dxa" w:w="90"/>
              <w:left w:type="dxa" w:w="120"/>
              <w:bottom w:type="dxa" w:w="90"/>
              <w:right w:type="dxa" w:w="120"/>
            </w:tcMar>
          </w:tcPr>
          <w:p>
            <w:pPr>
              <w:spacing w:after="0" w:line="260"/>
            </w:pPr>
            <w:r>
              <w:rPr>
                <w:b/>
                <w:bCs/>
                <w:color w:val="222222"/>
                <w:sz w:val="19"/>
                <w:szCs w:val="19"/>
              </w:rPr>
              <w:t xml:space="preserve">G-04</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No guardrail on tool output</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A Fetch-class connector returns attacker-controlled text straight into the model context. Injection is currently unguarded, and will propagate across agents once delegation exists.</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1</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§12.2</w:t>
            </w:r>
          </w:p>
        </w:tc>
      </w:tr>
      <w:tr>
        <w:tc>
          <w:tcPr>
            <w:tcW w:type="dxa" w:w="700"/>
            <w:tcMar>
              <w:top w:type="dxa" w:w="90"/>
              <w:left w:type="dxa" w:w="120"/>
              <w:bottom w:type="dxa" w:w="90"/>
              <w:right w:type="dxa" w:w="120"/>
            </w:tcMar>
          </w:tcPr>
          <w:p>
            <w:pPr>
              <w:spacing w:after="0" w:line="260"/>
            </w:pPr>
            <w:r>
              <w:rPr>
                <w:b/>
                <w:bCs/>
                <w:color w:val="222222"/>
                <w:sz w:val="19"/>
                <w:szCs w:val="19"/>
              </w:rPr>
              <w:t xml:space="preserve">G-05</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Model is a free-text string</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No capability metadata, no price, no context window, no deprecation signal. A version can be saved that requests tool calling from a model that does not support it, failing only at runtime.</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1</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§11</w:t>
            </w:r>
          </w:p>
        </w:tc>
      </w:tr>
      <w:tr>
        <w:tc>
          <w:tcPr>
            <w:tcW w:type="dxa" w:w="700"/>
            <w:tcMar>
              <w:top w:type="dxa" w:w="90"/>
              <w:left w:type="dxa" w:w="120"/>
              <w:bottom w:type="dxa" w:w="90"/>
              <w:right w:type="dxa" w:w="120"/>
            </w:tcMar>
          </w:tcPr>
          <w:p>
            <w:pPr>
              <w:spacing w:after="0" w:line="260"/>
            </w:pPr>
            <w:r>
              <w:rPr>
                <w:b/>
                <w:bCs/>
                <w:color w:val="222222"/>
                <w:sz w:val="19"/>
                <w:szCs w:val="19"/>
              </w:rPr>
              <w:t xml:space="preserve">G-06</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Capability groups are referenced but unauthorable</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Design mode offers a picker for Tool Registry capability groups, but no screen anywhere creates or edits them.</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2</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§6.3</w:t>
            </w:r>
          </w:p>
        </w:tc>
      </w:tr>
      <w:tr>
        <w:tc>
          <w:tcPr>
            <w:tcW w:type="dxa" w:w="700"/>
            <w:tcMar>
              <w:top w:type="dxa" w:w="90"/>
              <w:left w:type="dxa" w:w="120"/>
              <w:bottom w:type="dxa" w:w="90"/>
              <w:right w:type="dxa" w:w="120"/>
            </w:tcMar>
          </w:tcPr>
          <w:p>
            <w:pPr>
              <w:spacing w:after="0" w:line="260"/>
            </w:pPr>
            <w:r>
              <w:rPr>
                <w:b/>
                <w:bCs/>
                <w:color w:val="222222"/>
                <w:sz w:val="19"/>
                <w:szCs w:val="19"/>
              </w:rPr>
              <w:t xml:space="preserve">G-07</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Diff requires a Git commit on both versions</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Versions can be authored without Git, so the majority path has no diff at all on a platform whose core artifact is a YAML document.</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2</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§8.5</w:t>
            </w:r>
          </w:p>
        </w:tc>
      </w:tr>
      <w:tr>
        <w:tc>
          <w:tcPr>
            <w:tcW w:type="dxa" w:w="700"/>
            <w:tcMar>
              <w:top w:type="dxa" w:w="90"/>
              <w:left w:type="dxa" w:w="120"/>
              <w:bottom w:type="dxa" w:w="90"/>
              <w:right w:type="dxa" w:w="120"/>
            </w:tcMar>
          </w:tcPr>
          <w:p>
            <w:pPr>
              <w:spacing w:after="0" w:line="260"/>
            </w:pPr>
            <w:r>
              <w:rPr>
                <w:b/>
                <w:bCs/>
                <w:color w:val="222222"/>
                <w:sz w:val="19"/>
                <w:szCs w:val="19"/>
              </w:rPr>
              <w:t xml:space="preserve">G-08</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Evals are pre-deployment and hand-authored only</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No harvesting of production conversations into cases, no continuous run against production to catch provider drift, no LLM-judge grading, no regression baseline.</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2</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§8.4</w:t>
            </w:r>
          </w:p>
        </w:tc>
      </w:tr>
      <w:tr>
        <w:tc>
          <w:tcPr>
            <w:tcW w:type="dxa" w:w="700"/>
            <w:tcMar>
              <w:top w:type="dxa" w:w="90"/>
              <w:left w:type="dxa" w:w="120"/>
              <w:bottom w:type="dxa" w:w="90"/>
              <w:right w:type="dxa" w:w="120"/>
            </w:tcMar>
          </w:tcPr>
          <w:p>
            <w:pPr>
              <w:spacing w:after="0" w:line="260"/>
            </w:pPr>
            <w:r>
              <w:rPr>
                <w:b/>
                <w:bCs/>
                <w:color w:val="222222"/>
                <w:sz w:val="19"/>
                <w:szCs w:val="19"/>
              </w:rPr>
              <w:t xml:space="preserve">G-09</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No reusable unit of agent capability</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Every version is authored from scratch; eval cases are written separately from the behaviour they test.</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2</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§8</w:t>
            </w:r>
          </w:p>
        </w:tc>
      </w:tr>
      <w:tr>
        <w:tc>
          <w:tcPr>
            <w:tcW w:type="dxa" w:w="700"/>
            <w:tcMar>
              <w:top w:type="dxa" w:w="90"/>
              <w:left w:type="dxa" w:w="120"/>
              <w:bottom w:type="dxa" w:w="90"/>
              <w:right w:type="dxa" w:w="120"/>
            </w:tcMar>
          </w:tcPr>
          <w:p>
            <w:pPr>
              <w:spacing w:after="0" w:line="260"/>
            </w:pPr>
            <w:r>
              <w:rPr>
                <w:b/>
                <w:bCs/>
                <w:color w:val="222222"/>
                <w:sz w:val="19"/>
                <w:szCs w:val="19"/>
              </w:rPr>
              <w:t xml:space="preserve">G-10</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A channel talks to exactly one agent</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No orchestration, no specialist routing, no deterministic branching, no long-running process.</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2</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§9, §10</w:t>
            </w:r>
          </w:p>
        </w:tc>
      </w:tr>
      <w:tr>
        <w:tc>
          <w:tcPr>
            <w:tcW w:type="dxa" w:w="700"/>
            <w:tcMar>
              <w:top w:type="dxa" w:w="90"/>
              <w:left w:type="dxa" w:w="120"/>
              <w:bottom w:type="dxa" w:w="90"/>
              <w:right w:type="dxa" w:w="120"/>
            </w:tcMar>
          </w:tcPr>
          <w:p>
            <w:pPr>
              <w:spacing w:after="0" w:line="260"/>
            </w:pPr>
            <w:r>
              <w:rPr>
                <w:b/>
                <w:bCs/>
                <w:color w:val="222222"/>
                <w:sz w:val="19"/>
                <w:szCs w:val="19"/>
              </w:rPr>
              <w:t xml:space="preserve">G-11</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No tenant-facing cost or usage view</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Quotas exist only in the Platform Manager console. A tenant cannot see spend by agent, route or model, and learns about a limit when it is hit.</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2</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§11.6</w:t>
            </w:r>
          </w:p>
        </w:tc>
      </w:tr>
      <w:tr>
        <w:tc>
          <w:tcPr>
            <w:tcW w:type="dxa" w:w="700"/>
            <w:tcMar>
              <w:top w:type="dxa" w:w="90"/>
              <w:left w:type="dxa" w:w="120"/>
              <w:bottom w:type="dxa" w:w="90"/>
              <w:right w:type="dxa" w:w="120"/>
            </w:tcMar>
          </w:tcPr>
          <w:p>
            <w:pPr>
              <w:spacing w:after="0" w:line="260"/>
            </w:pPr>
            <w:r>
              <w:rPr>
                <w:b/>
                <w:bCs/>
                <w:color w:val="222222"/>
                <w:sz w:val="19"/>
                <w:szCs w:val="19"/>
              </w:rPr>
              <w:t xml:space="preserve">G-12</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No SSO or SCIM</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Password plus TOTP only, on a platform sold with an Enterprise tier, residency controls and a DSR screen. Blocks enterprise procurement independent of product quality.</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2</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§12.6</w:t>
            </w:r>
          </w:p>
        </w:tc>
      </w:tr>
      <w:tr>
        <w:tc>
          <w:tcPr>
            <w:tcW w:type="dxa" w:w="700"/>
            <w:tcMar>
              <w:top w:type="dxa" w:w="90"/>
              <w:left w:type="dxa" w:w="120"/>
              <w:bottom w:type="dxa" w:w="90"/>
              <w:right w:type="dxa" w:w="120"/>
            </w:tcMar>
          </w:tcPr>
          <w:p>
            <w:pPr>
              <w:spacing w:after="0" w:line="260"/>
            </w:pPr>
            <w:r>
              <w:rPr>
                <w:b/>
                <w:bCs/>
                <w:color w:val="222222"/>
                <w:sz w:val="19"/>
                <w:szCs w:val="19"/>
              </w:rPr>
              <w:t xml:space="preserve">G-13</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No public API or webhooks</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Everything is console-driven. NextBot can call out to systems; systems cannot drive NextBot.</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2</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§12.6</w:t>
            </w:r>
          </w:p>
        </w:tc>
      </w:tr>
      <w:tr>
        <w:tc>
          <w:tcPr>
            <w:tcW w:type="dxa" w:w="700"/>
            <w:tcMar>
              <w:top w:type="dxa" w:w="90"/>
              <w:left w:type="dxa" w:w="120"/>
              <w:bottom w:type="dxa" w:w="90"/>
              <w:right w:type="dxa" w:w="120"/>
            </w:tcMar>
          </w:tcPr>
          <w:p>
            <w:pPr>
              <w:spacing w:after="0" w:line="260"/>
            </w:pPr>
            <w:r>
              <w:rPr>
                <w:b/>
                <w:bCs/>
                <w:color w:val="222222"/>
                <w:sz w:val="19"/>
                <w:szCs w:val="19"/>
              </w:rPr>
              <w:t xml:space="preserve">G-14</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Escalation queue lacks workforce mechanics</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No assignment, SLA timers, agent presence, concurrency limits or CSAT capture. Routing to an unwatched queue is silent failure.</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2</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§12.5</w:t>
            </w:r>
          </w:p>
        </w:tc>
      </w:tr>
      <w:tr>
        <w:tc>
          <w:tcPr>
            <w:tcW w:type="dxa" w:w="700"/>
            <w:tcMar>
              <w:top w:type="dxa" w:w="90"/>
              <w:left w:type="dxa" w:w="120"/>
              <w:bottom w:type="dxa" w:w="90"/>
              <w:right w:type="dxa" w:w="120"/>
            </w:tcMar>
          </w:tcPr>
          <w:p>
            <w:pPr>
              <w:spacing w:after="0" w:line="260"/>
            </w:pPr>
            <w:r>
              <w:rPr>
                <w:b/>
                <w:bCs/>
                <w:color w:val="222222"/>
                <w:sz w:val="19"/>
                <w:szCs w:val="19"/>
              </w:rPr>
              <w:t xml:space="preserve">G-15</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Observability stops at the tenant boundary</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No OpenTelemetry export, no SIEM streaming of the audit log, no synthetic monitoring. The operator health rollup is deliberately metadata-only, leaving no consented path to diagnose a tenant quality regression.</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3</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§12.4</w:t>
            </w:r>
          </w:p>
        </w:tc>
      </w:tr>
      <w:tr>
        <w:tc>
          <w:tcPr>
            <w:tcW w:type="dxa" w:w="700"/>
            <w:tcMar>
              <w:top w:type="dxa" w:w="90"/>
              <w:left w:type="dxa" w:w="120"/>
              <w:bottom w:type="dxa" w:w="90"/>
              <w:right w:type="dxa" w:w="120"/>
            </w:tcMar>
          </w:tcPr>
          <w:p>
            <w:pPr>
              <w:spacing w:after="0" w:line="260"/>
            </w:pPr>
            <w:r>
              <w:rPr>
                <w:b/>
                <w:bCs/>
                <w:color w:val="222222"/>
                <w:sz w:val="19"/>
                <w:szCs w:val="19"/>
              </w:rPr>
              <w:t xml:space="preserve">G-16</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Two channel types, no cross-channel identity</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The same customer on WhatsApp and web is two unrelated conversations with no shared context.</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3</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§12.5</w:t>
            </w:r>
          </w:p>
        </w:tc>
      </w:tr>
      <w:tr>
        <w:tc>
          <w:tcPr>
            <w:tcW w:type="dxa" w:w="700"/>
            <w:tcMar>
              <w:top w:type="dxa" w:w="90"/>
              <w:left w:type="dxa" w:w="120"/>
              <w:bottom w:type="dxa" w:w="90"/>
              <w:right w:type="dxa" w:w="120"/>
            </w:tcMar>
          </w:tcPr>
          <w:p>
            <w:pPr>
              <w:spacing w:after="0" w:line="260"/>
            </w:pPr>
            <w:r>
              <w:rPr>
                <w:b/>
                <w:bCs/>
                <w:color w:val="222222"/>
                <w:sz w:val="19"/>
                <w:szCs w:val="19"/>
              </w:rPr>
              <w:t xml:space="preserve">G-17</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No configuration export or restore</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Retention and Residency covers purge and region, not recoverability. There is no backup of a tenant's agent, connector and policy configuration.</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3</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§12.4</w:t>
            </w:r>
          </w:p>
        </w:tc>
      </w:tr>
      <w:tr>
        <w:tc>
          <w:tcPr>
            <w:tcW w:type="dxa" w:w="700"/>
            <w:tcMar>
              <w:top w:type="dxa" w:w="90"/>
              <w:left w:type="dxa" w:w="120"/>
              <w:bottom w:type="dxa" w:w="90"/>
              <w:right w:type="dxa" w:w="120"/>
            </w:tcMar>
          </w:tcPr>
          <w:p>
            <w:pPr>
              <w:spacing w:after="0" w:line="260"/>
            </w:pPr>
            <w:r>
              <w:rPr>
                <w:b/>
                <w:bCs/>
                <w:color w:val="222222"/>
                <w:sz w:val="19"/>
                <w:szCs w:val="19"/>
              </w:rPr>
              <w:t xml:space="preserve">G-18</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One Git connection per tenant</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Caps a large tenant at a single repository across all teams and agent definitions.</w:t>
            </w:r>
          </w:p>
        </w:tc>
        <w:tc>
          <w:tcPr>
            <w:tcW w:type="dxa" w:w="500"/>
            <w:tcMar>
              <w:top w:type="dxa" w:w="90"/>
              <w:left w:type="dxa" w:w="120"/>
              <w:bottom w:type="dxa" w:w="90"/>
              <w:right w:type="dxa" w:w="120"/>
            </w:tcMar>
          </w:tcPr>
          <w:p>
            <w:pPr>
              <w:spacing w:after="0" w:line="260"/>
            </w:pPr>
            <w:r>
              <w:rPr>
                <w:b w:val="false"/>
                <w:bCs w:val="false"/>
                <w:color w:val="222222"/>
                <w:sz w:val="19"/>
                <w:szCs w:val="19"/>
              </w:rPr>
              <w:t xml:space="preserve">3</w:t>
            </w:r>
          </w:p>
        </w:tc>
        <w:tc>
          <w:tcPr>
            <w:tcW w:type="dxa" w:w="900"/>
            <w:tcMar>
              <w:top w:type="dxa" w:w="90"/>
              <w:left w:type="dxa" w:w="120"/>
              <w:bottom w:type="dxa" w:w="90"/>
              <w:right w:type="dxa" w:w="120"/>
            </w:tcMar>
          </w:tcPr>
          <w:p>
            <w:pPr>
              <w:spacing w:after="0" w:line="260"/>
            </w:pPr>
            <w:r>
              <w:rPr>
                <w:b w:val="false"/>
                <w:bCs w:val="false"/>
                <w:color w:val="222222"/>
                <w:sz w:val="19"/>
                <w:szCs w:val="19"/>
              </w:rPr>
              <w:t xml:space="preserve">§8.5</w:t>
            </w:r>
          </w:p>
        </w:tc>
      </w:tr>
    </w:tbl>
    <w:p>
      <w:pPr>
        <w:spacing w:after="200"/>
      </w:pPr>
    </w:p>
    <w:p>
      <w:r>
        <w:br w:type="page"/>
      </w:r>
    </w:p>
    <w:p>
      <w:pPr>
        <w:pStyle w:val="Heading1"/>
        <w:spacing w:after="200" w:before="360"/>
      </w:pPr>
      <w:r>
        <w:rPr>
          <w:b/>
          <w:bCs/>
          <w:color w:val="222222"/>
          <w:sz w:val="30"/>
          <w:szCs w:val="30"/>
        </w:rPr>
        <w:t xml:space="preserve">5. Target architecture</w:t>
      </w:r>
    </w:p>
    <w:p>
      <w:pPr>
        <w:pStyle w:val="Heading2"/>
        <w:spacing w:after="150" w:before="300"/>
      </w:pPr>
      <w:r>
        <w:rPr>
          <w:b/>
          <w:bCs/>
          <w:color w:val="222222"/>
          <w:sz w:val="25"/>
          <w:szCs w:val="25"/>
        </w:rPr>
        <w:t xml:space="preserve">5.1 The composition model</w:t>
      </w:r>
    </w:p>
    <w:p>
      <w:pPr>
        <w:spacing w:after="140" w:line="300" w:lineRule="auto"/>
      </w:pPr>
      <w:r>
        <w:rPr>
          <w:color w:val="222222"/>
          <w:sz w:val="21"/>
          <w:szCs w:val="21"/>
        </w:rPr>
        <w:t xml:space="preserve">The six modules are not independent features. They form a chain in which each layer is a versioned artifact that pins the layer beneath it. Reading upward: MCP servers expose tools and resources; capability groups curate those tools into named sets; skills bundle a capability with the tools, knowledge and eval cases it needs; an agent version composes skills; a workflow or a team composes agent versions; and a channel binds to one workflow, team or agent version.</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700"/>
        <w:gridCol w:w="2400"/>
        <w:gridCol w:w="2938"/>
        <w:gridCol w:w="1800"/>
        <w:gridCol w:w="1800"/>
      </w:tblGrid>
      <w:tr>
        <w:trPr>
          <w:tblHeader/>
        </w:trPr>
        <w:tc>
          <w:tcPr>
            <w:tcW w:type="dxa" w:w="700"/>
            <w:shd w:fill="F3F3F1" w:val="clear"/>
            <w:tcMar>
              <w:top w:type="dxa" w:w="90"/>
              <w:left w:type="dxa" w:w="120"/>
              <w:bottom w:type="dxa" w:w="90"/>
              <w:right w:type="dxa" w:w="120"/>
            </w:tcMar>
          </w:tcPr>
          <w:p>
            <w:pPr>
              <w:spacing w:after="0" w:line="260"/>
            </w:pPr>
            <w:r>
              <w:rPr>
                <w:b/>
                <w:bCs/>
                <w:color w:val="6E6E6E"/>
                <w:sz w:val="17"/>
                <w:szCs w:val="17"/>
              </w:rPr>
              <w:t xml:space="preserve">Layer</w:t>
            </w:r>
          </w:p>
        </w:tc>
        <w:tc>
          <w:tcPr>
            <w:tcW w:type="dxa" w:w="2400"/>
            <w:shd w:fill="F3F3F1" w:val="clear"/>
            <w:tcMar>
              <w:top w:type="dxa" w:w="90"/>
              <w:left w:type="dxa" w:w="120"/>
              <w:bottom w:type="dxa" w:w="90"/>
              <w:right w:type="dxa" w:w="120"/>
            </w:tcMar>
          </w:tcPr>
          <w:p>
            <w:pPr>
              <w:spacing w:after="0" w:line="260"/>
            </w:pPr>
            <w:r>
              <w:rPr>
                <w:b/>
                <w:bCs/>
                <w:color w:val="6E6E6E"/>
                <w:sz w:val="17"/>
                <w:szCs w:val="17"/>
              </w:rPr>
              <w:t xml:space="preserve">Artifact</w:t>
            </w:r>
          </w:p>
        </w:tc>
        <w:tc>
          <w:tcPr>
            <w:tcW w:type="dxa" w:w="2938"/>
            <w:shd w:fill="F3F3F1" w:val="clear"/>
            <w:tcMar>
              <w:top w:type="dxa" w:w="90"/>
              <w:left w:type="dxa" w:w="120"/>
              <w:bottom w:type="dxa" w:w="90"/>
              <w:right w:type="dxa" w:w="120"/>
            </w:tcMar>
          </w:tcPr>
          <w:p>
            <w:pPr>
              <w:spacing w:after="0" w:line="260"/>
            </w:pPr>
            <w:r>
              <w:rPr>
                <w:b/>
                <w:bCs/>
                <w:color w:val="6E6E6E"/>
                <w:sz w:val="17"/>
                <w:szCs w:val="17"/>
              </w:rPr>
              <w:t xml:space="preserve">Pins</w:t>
            </w:r>
          </w:p>
        </w:tc>
        <w:tc>
          <w:tcPr>
            <w:tcW w:type="dxa" w:w="1800"/>
            <w:shd w:fill="F3F3F1" w:val="clear"/>
            <w:tcMar>
              <w:top w:type="dxa" w:w="90"/>
              <w:left w:type="dxa" w:w="120"/>
              <w:bottom w:type="dxa" w:w="90"/>
              <w:right w:type="dxa" w:w="120"/>
            </w:tcMar>
          </w:tcPr>
          <w:p>
            <w:pPr>
              <w:spacing w:after="0" w:line="260"/>
            </w:pPr>
            <w:r>
              <w:rPr>
                <w:b/>
                <w:bCs/>
                <w:color w:val="6E6E6E"/>
                <w:sz w:val="17"/>
                <w:szCs w:val="17"/>
              </w:rPr>
              <w:t xml:space="preserve">Versioned</w:t>
            </w:r>
          </w:p>
        </w:tc>
        <w:tc>
          <w:tcPr>
            <w:tcW w:type="dxa" w:w="1800"/>
            <w:shd w:fill="F3F3F1" w:val="clear"/>
            <w:tcMar>
              <w:top w:type="dxa" w:w="90"/>
              <w:left w:type="dxa" w:w="120"/>
              <w:bottom w:type="dxa" w:w="90"/>
              <w:right w:type="dxa" w:w="120"/>
            </w:tcMar>
          </w:tcPr>
          <w:p>
            <w:pPr>
              <w:spacing w:after="0" w:line="260"/>
            </w:pPr>
            <w:r>
              <w:rPr>
                <w:b/>
                <w:bCs/>
                <w:color w:val="6E6E6E"/>
                <w:sz w:val="17"/>
                <w:szCs w:val="17"/>
              </w:rPr>
              <w:t xml:space="preserve">Promoted through the gate</w:t>
            </w:r>
          </w:p>
        </w:tc>
      </w:tr>
      <w:tr>
        <w:tc>
          <w:tcPr>
            <w:tcW w:type="dxa" w:w="700"/>
            <w:tcMar>
              <w:top w:type="dxa" w:w="90"/>
              <w:left w:type="dxa" w:w="120"/>
              <w:bottom w:type="dxa" w:w="90"/>
              <w:right w:type="dxa" w:w="120"/>
            </w:tcMar>
          </w:tcPr>
          <w:p>
            <w:pPr>
              <w:spacing w:after="0" w:line="260"/>
            </w:pPr>
            <w:r>
              <w:rPr>
                <w:b/>
                <w:bCs/>
                <w:color w:val="222222"/>
                <w:sz w:val="19"/>
                <w:szCs w:val="19"/>
              </w:rPr>
              <w:t xml:space="preserve">1</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MCP server definition</w:t>
            </w:r>
          </w:p>
        </w:tc>
        <w:tc>
          <w:tcPr>
            <w:tcW w:type="dxa" w:w="2938"/>
            <w:tcMar>
              <w:top w:type="dxa" w:w="90"/>
              <w:left w:type="dxa" w:w="120"/>
              <w:bottom w:type="dxa" w:w="90"/>
              <w:right w:type="dxa" w:w="120"/>
            </w:tcMar>
          </w:tcPr>
          <w:p>
            <w:pPr>
              <w:spacing w:after="0" w:line="260"/>
            </w:pPr>
            <w:r>
              <w:rPr>
                <w:b w:val="false"/>
                <w:bCs w:val="false"/>
                <w:color w:val="222222"/>
                <w:sz w:val="19"/>
                <w:szCs w:val="19"/>
              </w:rPr>
              <w:t xml:space="preserve">Endpoint, credential, manifest hash</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Yes</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No — reviewed at enrolment and on drift</w:t>
            </w:r>
          </w:p>
        </w:tc>
      </w:tr>
      <w:tr>
        <w:tc>
          <w:tcPr>
            <w:tcW w:type="dxa" w:w="700"/>
            <w:tcMar>
              <w:top w:type="dxa" w:w="90"/>
              <w:left w:type="dxa" w:w="120"/>
              <w:bottom w:type="dxa" w:w="90"/>
              <w:right w:type="dxa" w:w="120"/>
            </w:tcMar>
          </w:tcPr>
          <w:p>
            <w:pPr>
              <w:spacing w:after="0" w:line="260"/>
            </w:pPr>
            <w:r>
              <w:rPr>
                <w:b/>
                <w:bCs/>
                <w:color w:val="222222"/>
                <w:sz w:val="19"/>
                <w:szCs w:val="19"/>
              </w:rPr>
              <w:t xml:space="preserve">2</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Capability group</w:t>
            </w:r>
          </w:p>
        </w:tc>
        <w:tc>
          <w:tcPr>
            <w:tcW w:type="dxa" w:w="2938"/>
            <w:tcMar>
              <w:top w:type="dxa" w:w="90"/>
              <w:left w:type="dxa" w:w="120"/>
              <w:bottom w:type="dxa" w:w="90"/>
              <w:right w:type="dxa" w:w="120"/>
            </w:tcMar>
          </w:tcPr>
          <w:p>
            <w:pPr>
              <w:spacing w:after="0" w:line="260"/>
            </w:pPr>
            <w:r>
              <w:rPr>
                <w:b w:val="false"/>
                <w:bCs w:val="false"/>
                <w:color w:val="222222"/>
                <w:sz w:val="19"/>
                <w:szCs w:val="19"/>
              </w:rPr>
              <w:t xml:space="preserve">A set of tool identities</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Yes</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No</w:t>
            </w:r>
          </w:p>
        </w:tc>
      </w:tr>
      <w:tr>
        <w:tc>
          <w:tcPr>
            <w:tcW w:type="dxa" w:w="700"/>
            <w:tcMar>
              <w:top w:type="dxa" w:w="90"/>
              <w:left w:type="dxa" w:w="120"/>
              <w:bottom w:type="dxa" w:w="90"/>
              <w:right w:type="dxa" w:w="120"/>
            </w:tcMar>
          </w:tcPr>
          <w:p>
            <w:pPr>
              <w:spacing w:after="0" w:line="260"/>
            </w:pPr>
            <w:r>
              <w:rPr>
                <w:b/>
                <w:bCs/>
                <w:color w:val="222222"/>
                <w:sz w:val="19"/>
                <w:szCs w:val="19"/>
              </w:rPr>
              <w:t xml:space="preserve">3</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Knowledge collection</w:t>
            </w:r>
          </w:p>
        </w:tc>
        <w:tc>
          <w:tcPr>
            <w:tcW w:type="dxa" w:w="2938"/>
            <w:tcMar>
              <w:top w:type="dxa" w:w="90"/>
              <w:left w:type="dxa" w:w="120"/>
              <w:bottom w:type="dxa" w:w="90"/>
              <w:right w:type="dxa" w:w="120"/>
            </w:tcMar>
          </w:tcPr>
          <w:p>
            <w:pPr>
              <w:spacing w:after="0" w:line="260"/>
            </w:pPr>
            <w:r>
              <w:rPr>
                <w:b w:val="false"/>
                <w:bCs w:val="false"/>
                <w:color w:val="222222"/>
                <w:sz w:val="19"/>
                <w:szCs w:val="19"/>
              </w:rPr>
              <w:t xml:space="preserve">Sources, embedding model, index build</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Yes (index generation)</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No</w:t>
            </w:r>
          </w:p>
        </w:tc>
      </w:tr>
      <w:tr>
        <w:tc>
          <w:tcPr>
            <w:tcW w:type="dxa" w:w="700"/>
            <w:tcMar>
              <w:top w:type="dxa" w:w="90"/>
              <w:left w:type="dxa" w:w="120"/>
              <w:bottom w:type="dxa" w:w="90"/>
              <w:right w:type="dxa" w:w="120"/>
            </w:tcMar>
          </w:tcPr>
          <w:p>
            <w:pPr>
              <w:spacing w:after="0" w:line="260"/>
            </w:pPr>
            <w:r>
              <w:rPr>
                <w:b/>
                <w:bCs/>
                <w:color w:val="222222"/>
                <w:sz w:val="19"/>
                <w:szCs w:val="19"/>
              </w:rPr>
              <w:t xml:space="preserve">4</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Skill</w:t>
            </w:r>
          </w:p>
        </w:tc>
        <w:tc>
          <w:tcPr>
            <w:tcW w:type="dxa" w:w="2938"/>
            <w:tcMar>
              <w:top w:type="dxa" w:w="90"/>
              <w:left w:type="dxa" w:w="120"/>
              <w:bottom w:type="dxa" w:w="90"/>
              <w:right w:type="dxa" w:w="120"/>
            </w:tcMar>
          </w:tcPr>
          <w:p>
            <w:pPr>
              <w:spacing w:after="0" w:line="260"/>
            </w:pPr>
            <w:r>
              <w:rPr>
                <w:b w:val="false"/>
                <w:bCs w:val="false"/>
                <w:color w:val="222222"/>
                <w:sz w:val="19"/>
                <w:szCs w:val="19"/>
              </w:rPr>
              <w:t xml:space="preserve">Tools, capability groups, knowledge scopes, eval cases</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Yes</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No — validated, not promoted</w:t>
            </w:r>
          </w:p>
        </w:tc>
      </w:tr>
      <w:tr>
        <w:tc>
          <w:tcPr>
            <w:tcW w:type="dxa" w:w="700"/>
            <w:tcMar>
              <w:top w:type="dxa" w:w="90"/>
              <w:left w:type="dxa" w:w="120"/>
              <w:bottom w:type="dxa" w:w="90"/>
              <w:right w:type="dxa" w:w="120"/>
            </w:tcMar>
          </w:tcPr>
          <w:p>
            <w:pPr>
              <w:spacing w:after="0" w:line="260"/>
            </w:pPr>
            <w:r>
              <w:rPr>
                <w:b/>
                <w:bCs/>
                <w:color w:val="222222"/>
                <w:sz w:val="19"/>
                <w:szCs w:val="19"/>
              </w:rPr>
              <w:t xml:space="preserve">5</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Agent version</w:t>
            </w:r>
          </w:p>
        </w:tc>
        <w:tc>
          <w:tcPr>
            <w:tcW w:type="dxa" w:w="2938"/>
            <w:tcMar>
              <w:top w:type="dxa" w:w="90"/>
              <w:left w:type="dxa" w:w="120"/>
              <w:bottom w:type="dxa" w:w="90"/>
              <w:right w:type="dxa" w:w="120"/>
            </w:tcMar>
          </w:tcPr>
          <w:p>
            <w:pPr>
              <w:spacing w:after="0" w:line="260"/>
            </w:pPr>
            <w:r>
              <w:rPr>
                <w:b w:val="false"/>
                <w:bCs w:val="false"/>
                <w:color w:val="222222"/>
                <w:sz w:val="19"/>
                <w:szCs w:val="19"/>
              </w:rPr>
              <w:t xml:space="preserve">Skills, model routes, knowledge scopes, guardrails</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Yes, immutable</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Yes</w:t>
            </w:r>
          </w:p>
        </w:tc>
      </w:tr>
      <w:tr>
        <w:tc>
          <w:tcPr>
            <w:tcW w:type="dxa" w:w="700"/>
            <w:tcMar>
              <w:top w:type="dxa" w:w="90"/>
              <w:left w:type="dxa" w:w="120"/>
              <w:bottom w:type="dxa" w:w="90"/>
              <w:right w:type="dxa" w:w="120"/>
            </w:tcMar>
          </w:tcPr>
          <w:p>
            <w:pPr>
              <w:spacing w:after="0" w:line="260"/>
            </w:pPr>
            <w:r>
              <w:rPr>
                <w:b/>
                <w:bCs/>
                <w:color w:val="222222"/>
                <w:sz w:val="19"/>
                <w:szCs w:val="19"/>
              </w:rPr>
              <w:t xml:space="preserve">6</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Workflow version / Team version</w:t>
            </w:r>
          </w:p>
        </w:tc>
        <w:tc>
          <w:tcPr>
            <w:tcW w:type="dxa" w:w="2938"/>
            <w:tcMar>
              <w:top w:type="dxa" w:w="90"/>
              <w:left w:type="dxa" w:w="120"/>
              <w:bottom w:type="dxa" w:w="90"/>
              <w:right w:type="dxa" w:w="120"/>
            </w:tcMar>
          </w:tcPr>
          <w:p>
            <w:pPr>
              <w:spacing w:after="0" w:line="260"/>
            </w:pPr>
            <w:r>
              <w:rPr>
                <w:b w:val="false"/>
                <w:bCs w:val="false"/>
                <w:color w:val="222222"/>
                <w:sz w:val="19"/>
                <w:szCs w:val="19"/>
              </w:rPr>
              <w:t xml:space="preserve">Agent versions, skills, tools, sub-workflows</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Yes, immutable</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Yes</w:t>
            </w:r>
          </w:p>
        </w:tc>
      </w:tr>
      <w:tr>
        <w:tc>
          <w:tcPr>
            <w:tcW w:type="dxa" w:w="700"/>
            <w:tcMar>
              <w:top w:type="dxa" w:w="90"/>
              <w:left w:type="dxa" w:w="120"/>
              <w:bottom w:type="dxa" w:w="90"/>
              <w:right w:type="dxa" w:w="120"/>
            </w:tcMar>
          </w:tcPr>
          <w:p>
            <w:pPr>
              <w:spacing w:after="0" w:line="260"/>
            </w:pPr>
            <w:r>
              <w:rPr>
                <w:b/>
                <w:bCs/>
                <w:color w:val="222222"/>
                <w:sz w:val="19"/>
                <w:szCs w:val="19"/>
              </w:rPr>
              <w:t xml:space="preserve">7</w:t>
            </w:r>
          </w:p>
        </w:tc>
        <w:tc>
          <w:tcPr>
            <w:tcW w:type="dxa" w:w="2400"/>
            <w:tcMar>
              <w:top w:type="dxa" w:w="90"/>
              <w:left w:type="dxa" w:w="120"/>
              <w:bottom w:type="dxa" w:w="90"/>
              <w:right w:type="dxa" w:w="120"/>
            </w:tcMar>
          </w:tcPr>
          <w:p>
            <w:pPr>
              <w:spacing w:after="0" w:line="260"/>
            </w:pPr>
            <w:r>
              <w:rPr>
                <w:b w:val="false"/>
                <w:bCs w:val="false"/>
                <w:color w:val="222222"/>
                <w:sz w:val="19"/>
                <w:szCs w:val="19"/>
              </w:rPr>
              <w:t xml:space="preserve">Channel binding</w:t>
            </w:r>
          </w:p>
        </w:tc>
        <w:tc>
          <w:tcPr>
            <w:tcW w:type="dxa" w:w="2938"/>
            <w:tcMar>
              <w:top w:type="dxa" w:w="90"/>
              <w:left w:type="dxa" w:w="120"/>
              <w:bottom w:type="dxa" w:w="90"/>
              <w:right w:type="dxa" w:w="120"/>
            </w:tcMar>
          </w:tcPr>
          <w:p>
            <w:pPr>
              <w:spacing w:after="0" w:line="260"/>
            </w:pPr>
            <w:r>
              <w:rPr>
                <w:b w:val="false"/>
                <w:bCs w:val="false"/>
                <w:color w:val="222222"/>
                <w:sz w:val="19"/>
                <w:szCs w:val="19"/>
              </w:rPr>
              <w:t xml:space="preserve">One production workflow, team or agent version</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Deployment record</w:t>
            </w:r>
          </w:p>
        </w:tc>
        <w:tc>
          <w:tcPr>
            <w:tcW w:type="dxa" w:w="1800"/>
            <w:tcMar>
              <w:top w:type="dxa" w:w="90"/>
              <w:left w:type="dxa" w:w="120"/>
              <w:bottom w:type="dxa" w:w="90"/>
              <w:right w:type="dxa" w:w="120"/>
            </w:tcMar>
          </w:tcPr>
          <w:p>
            <w:pPr>
              <w:spacing w:after="0" w:line="260"/>
            </w:pPr>
            <w:r>
              <w:rPr>
                <w:b w:val="false"/>
                <w:bCs w:val="false"/>
                <w:color w:val="222222"/>
                <w:sz w:val="19"/>
                <w:szCs w:val="19"/>
              </w:rPr>
              <w:t xml:space="preserve">Deployment action</w:t>
            </w:r>
          </w:p>
        </w:tc>
      </w:tr>
    </w:tbl>
    <w:p>
      <w:pPr>
        <w:spacing w:after="200"/>
      </w:pPr>
    </w:p>
    <w:p>
      <w:pPr>
        <w:pStyle w:val="Heading2"/>
        <w:spacing w:after="150" w:before="300"/>
      </w:pPr>
      <w:r>
        <w:rPr>
          <w:b/>
          <w:bCs/>
          <w:color w:val="222222"/>
          <w:sz w:val="25"/>
          <w:szCs w:val="25"/>
        </w:rPr>
        <w:t xml:space="preserve">5.2 New and changed permission modules</w:t>
      </w:r>
    </w:p>
    <w:p>
      <w:pPr>
        <w:spacing w:after="140" w:line="300" w:lineRule="auto"/>
      </w:pPr>
      <w:r>
        <w:rPr>
          <w:color w:val="222222"/>
          <w:sz w:val="21"/>
          <w:szCs w:val="21"/>
        </w:rPr>
        <w:t xml:space="preserve">The platform gates screens by permission module, read/write/none per role. The proposal adds four modules and re-scopes one, keeping the existing split whereby seeing a configuration and changing it can be granted separately.</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1800"/>
        <w:gridCol w:w="1400"/>
        <w:gridCol w:w="6438"/>
      </w:tblGrid>
      <w:tr>
        <w:trPr>
          <w:tblHeader/>
        </w:trPr>
        <w:tc>
          <w:tcPr>
            <w:tcW w:type="dxa" w:w="1800"/>
            <w:shd w:fill="F3F3F1" w:val="clear"/>
            <w:tcMar>
              <w:top w:type="dxa" w:w="90"/>
              <w:left w:type="dxa" w:w="120"/>
              <w:bottom w:type="dxa" w:w="90"/>
              <w:right w:type="dxa" w:w="120"/>
            </w:tcMar>
          </w:tcPr>
          <w:p>
            <w:pPr>
              <w:spacing w:after="0" w:line="260"/>
            </w:pPr>
            <w:r>
              <w:rPr>
                <w:b/>
                <w:bCs/>
                <w:color w:val="6E6E6E"/>
                <w:sz w:val="17"/>
                <w:szCs w:val="17"/>
              </w:rPr>
              <w:t xml:space="preserve">Module</w:t>
            </w:r>
          </w:p>
        </w:tc>
        <w:tc>
          <w:tcPr>
            <w:tcW w:type="dxa" w:w="1400"/>
            <w:shd w:fill="F3F3F1" w:val="clear"/>
            <w:tcMar>
              <w:top w:type="dxa" w:w="90"/>
              <w:left w:type="dxa" w:w="120"/>
              <w:bottom w:type="dxa" w:w="90"/>
              <w:right w:type="dxa" w:w="120"/>
            </w:tcMar>
          </w:tcPr>
          <w:p>
            <w:pPr>
              <w:spacing w:after="0" w:line="260"/>
            </w:pPr>
            <w:r>
              <w:rPr>
                <w:b/>
                <w:bCs/>
                <w:color w:val="6E6E6E"/>
                <w:sz w:val="17"/>
                <w:szCs w:val="17"/>
              </w:rPr>
              <w:t xml:space="preserve">New or changed</w:t>
            </w:r>
          </w:p>
        </w:tc>
        <w:tc>
          <w:tcPr>
            <w:tcW w:type="dxa" w:w="6438"/>
            <w:shd w:fill="F3F3F1" w:val="clear"/>
            <w:tcMar>
              <w:top w:type="dxa" w:w="90"/>
              <w:left w:type="dxa" w:w="120"/>
              <w:bottom w:type="dxa" w:w="90"/>
              <w:right w:type="dxa" w:w="120"/>
            </w:tcMar>
          </w:tcPr>
          <w:p>
            <w:pPr>
              <w:spacing w:after="0" w:line="260"/>
            </w:pPr>
            <w:r>
              <w:rPr>
                <w:b/>
                <w:bCs/>
                <w:color w:val="6E6E6E"/>
                <w:sz w:val="17"/>
                <w:szCs w:val="17"/>
              </w:rPr>
              <w:t xml:space="preserve">Gates</w:t>
            </w:r>
          </w:p>
        </w:tc>
      </w:tr>
      <w:tr>
        <w:tc>
          <w:tcPr>
            <w:tcW w:type="dxa" w:w="1800"/>
            <w:tcMar>
              <w:top w:type="dxa" w:w="90"/>
              <w:left w:type="dxa" w:w="120"/>
              <w:bottom w:type="dxa" w:w="90"/>
              <w:right w:type="dxa" w:w="120"/>
            </w:tcMar>
          </w:tcPr>
          <w:p>
            <w:pPr>
              <w:spacing w:after="0" w:line="260"/>
            </w:pPr>
            <w:r>
              <w:rPr>
                <w:b/>
                <w:bCs/>
                <w:color w:val="222222"/>
                <w:sz w:val="19"/>
                <w:szCs w:val="19"/>
              </w:rPr>
              <w:t xml:space="preserve">mcp_registry</w:t>
            </w:r>
          </w:p>
        </w:tc>
        <w:tc>
          <w:tcPr>
            <w:tcW w:type="dxa" w:w="1400"/>
            <w:tcMar>
              <w:top w:type="dxa" w:w="90"/>
              <w:left w:type="dxa" w:w="120"/>
              <w:bottom w:type="dxa" w:w="90"/>
              <w:right w:type="dxa" w:w="120"/>
            </w:tcMar>
          </w:tcPr>
          <w:p>
            <w:pPr>
              <w:spacing w:after="0" w:line="260"/>
            </w:pPr>
            <w:r>
              <w:rPr>
                <w:b w:val="false"/>
                <w:bCs w:val="false"/>
                <w:color w:val="222222"/>
                <w:sz w:val="19"/>
                <w:szCs w:val="19"/>
              </w:rPr>
              <w:t xml:space="preserve">New</w:t>
            </w:r>
          </w:p>
        </w:tc>
        <w:tc>
          <w:tcPr>
            <w:tcW w:type="dxa" w:w="6438"/>
            <w:tcMar>
              <w:top w:type="dxa" w:w="90"/>
              <w:left w:type="dxa" w:w="120"/>
              <w:bottom w:type="dxa" w:w="90"/>
              <w:right w:type="dxa" w:w="120"/>
            </w:tcMar>
          </w:tcPr>
          <w:p>
            <w:pPr>
              <w:spacing w:after="0" w:line="260"/>
            </w:pPr>
            <w:r>
              <w:rPr>
                <w:b w:val="false"/>
                <w:bCs w:val="false"/>
                <w:color w:val="222222"/>
                <w:sz w:val="19"/>
                <w:szCs w:val="19"/>
              </w:rPr>
              <w:t xml:space="preserve">Server enrolment, manifest review, drift acceptance, capability group management</w:t>
            </w:r>
          </w:p>
        </w:tc>
      </w:tr>
      <w:tr>
        <w:tc>
          <w:tcPr>
            <w:tcW w:type="dxa" w:w="1800"/>
            <w:tcMar>
              <w:top w:type="dxa" w:w="90"/>
              <w:left w:type="dxa" w:w="120"/>
              <w:bottom w:type="dxa" w:w="90"/>
              <w:right w:type="dxa" w:w="120"/>
            </w:tcMar>
          </w:tcPr>
          <w:p>
            <w:pPr>
              <w:spacing w:after="0" w:line="260"/>
            </w:pPr>
            <w:r>
              <w:rPr>
                <w:b/>
                <w:bCs/>
                <w:color w:val="222222"/>
                <w:sz w:val="19"/>
                <w:szCs w:val="19"/>
              </w:rPr>
              <w:t xml:space="preserve">knowledge</w:t>
            </w:r>
          </w:p>
        </w:tc>
        <w:tc>
          <w:tcPr>
            <w:tcW w:type="dxa" w:w="1400"/>
            <w:tcMar>
              <w:top w:type="dxa" w:w="90"/>
              <w:left w:type="dxa" w:w="120"/>
              <w:bottom w:type="dxa" w:w="90"/>
              <w:right w:type="dxa" w:w="120"/>
            </w:tcMar>
          </w:tcPr>
          <w:p>
            <w:pPr>
              <w:spacing w:after="0" w:line="260"/>
            </w:pPr>
            <w:r>
              <w:rPr>
                <w:b w:val="false"/>
                <w:bCs w:val="false"/>
                <w:color w:val="222222"/>
                <w:sz w:val="19"/>
                <w:szCs w:val="19"/>
              </w:rPr>
              <w:t xml:space="preserve">New</w:t>
            </w:r>
          </w:p>
        </w:tc>
        <w:tc>
          <w:tcPr>
            <w:tcW w:type="dxa" w:w="6438"/>
            <w:tcMar>
              <w:top w:type="dxa" w:w="90"/>
              <w:left w:type="dxa" w:w="120"/>
              <w:bottom w:type="dxa" w:w="90"/>
              <w:right w:type="dxa" w:w="120"/>
            </w:tcMar>
          </w:tcPr>
          <w:p>
            <w:pPr>
              <w:spacing w:after="0" w:line="260"/>
            </w:pPr>
            <w:r>
              <w:rPr>
                <w:b w:val="false"/>
                <w:bCs w:val="false"/>
                <w:color w:val="222222"/>
                <w:sz w:val="19"/>
                <w:szCs w:val="19"/>
              </w:rPr>
              <w:t xml:space="preserve">Collections, sources, ingestion pipeline, graph explorer, retrieval playground</w:t>
            </w:r>
          </w:p>
        </w:tc>
      </w:tr>
      <w:tr>
        <w:tc>
          <w:tcPr>
            <w:tcW w:type="dxa" w:w="1800"/>
            <w:tcMar>
              <w:top w:type="dxa" w:w="90"/>
              <w:left w:type="dxa" w:w="120"/>
              <w:bottom w:type="dxa" w:w="90"/>
              <w:right w:type="dxa" w:w="120"/>
            </w:tcMar>
          </w:tcPr>
          <w:p>
            <w:pPr>
              <w:spacing w:after="0" w:line="260"/>
            </w:pPr>
            <w:r>
              <w:rPr>
                <w:b/>
                <w:bCs/>
                <w:color w:val="222222"/>
                <w:sz w:val="19"/>
                <w:szCs w:val="19"/>
              </w:rPr>
              <w:t xml:space="preserve">knowledge_config</w:t>
            </w:r>
          </w:p>
        </w:tc>
        <w:tc>
          <w:tcPr>
            <w:tcW w:type="dxa" w:w="1400"/>
            <w:tcMar>
              <w:top w:type="dxa" w:w="90"/>
              <w:left w:type="dxa" w:w="120"/>
              <w:bottom w:type="dxa" w:w="90"/>
              <w:right w:type="dxa" w:w="120"/>
            </w:tcMar>
          </w:tcPr>
          <w:p>
            <w:pPr>
              <w:spacing w:after="0" w:line="260"/>
            </w:pPr>
            <w:r>
              <w:rPr>
                <w:b w:val="false"/>
                <w:bCs w:val="false"/>
                <w:color w:val="222222"/>
                <w:sz w:val="19"/>
                <w:szCs w:val="19"/>
              </w:rPr>
              <w:t xml:space="preserve">New</w:t>
            </w:r>
          </w:p>
        </w:tc>
        <w:tc>
          <w:tcPr>
            <w:tcW w:type="dxa" w:w="6438"/>
            <w:tcMar>
              <w:top w:type="dxa" w:w="90"/>
              <w:left w:type="dxa" w:w="120"/>
              <w:bottom w:type="dxa" w:w="90"/>
              <w:right w:type="dxa" w:w="120"/>
            </w:tcMar>
          </w:tcPr>
          <w:p>
            <w:pPr>
              <w:spacing w:after="0" w:line="260"/>
            </w:pPr>
            <w:r>
              <w:rPr>
                <w:b w:val="false"/>
                <w:bCs w:val="false"/>
                <w:color w:val="222222"/>
                <w:sz w:val="19"/>
                <w:szCs w:val="19"/>
              </w:rPr>
              <w:t xml:space="preserve">Which embedding and rerank models a collection uses, chunking and extraction policy — separated so a curator can add sources without changing retrieval behaviour</w:t>
            </w:r>
          </w:p>
        </w:tc>
      </w:tr>
      <w:tr>
        <w:tc>
          <w:tcPr>
            <w:tcW w:type="dxa" w:w="1800"/>
            <w:tcMar>
              <w:top w:type="dxa" w:w="90"/>
              <w:left w:type="dxa" w:w="120"/>
              <w:bottom w:type="dxa" w:w="90"/>
              <w:right w:type="dxa" w:w="120"/>
            </w:tcMar>
          </w:tcPr>
          <w:p>
            <w:pPr>
              <w:spacing w:after="0" w:line="260"/>
            </w:pPr>
            <w:r>
              <w:rPr>
                <w:b/>
                <w:bCs/>
                <w:color w:val="222222"/>
                <w:sz w:val="19"/>
                <w:szCs w:val="19"/>
              </w:rPr>
              <w:t xml:space="preserve">workflows</w:t>
            </w:r>
          </w:p>
        </w:tc>
        <w:tc>
          <w:tcPr>
            <w:tcW w:type="dxa" w:w="1400"/>
            <w:tcMar>
              <w:top w:type="dxa" w:w="90"/>
              <w:left w:type="dxa" w:w="120"/>
              <w:bottom w:type="dxa" w:w="90"/>
              <w:right w:type="dxa" w:w="120"/>
            </w:tcMar>
          </w:tcPr>
          <w:p>
            <w:pPr>
              <w:spacing w:after="0" w:line="260"/>
            </w:pPr>
            <w:r>
              <w:rPr>
                <w:b w:val="false"/>
                <w:bCs w:val="false"/>
                <w:color w:val="222222"/>
                <w:sz w:val="19"/>
                <w:szCs w:val="19"/>
              </w:rPr>
              <w:t xml:space="preserve">New</w:t>
            </w:r>
          </w:p>
        </w:tc>
        <w:tc>
          <w:tcPr>
            <w:tcW w:type="dxa" w:w="6438"/>
            <w:tcMar>
              <w:top w:type="dxa" w:w="90"/>
              <w:left w:type="dxa" w:w="120"/>
              <w:bottom w:type="dxa" w:w="90"/>
              <w:right w:type="dxa" w:w="120"/>
            </w:tcMar>
          </w:tcPr>
          <w:p>
            <w:pPr>
              <w:spacing w:after="0" w:line="260"/>
            </w:pPr>
            <w:r>
              <w:rPr>
                <w:b w:val="false"/>
                <w:bCs w:val="false"/>
                <w:color w:val="222222"/>
                <w:sz w:val="19"/>
                <w:szCs w:val="19"/>
              </w:rPr>
              <w:t xml:space="preserve">Workflow and team definitions, canvas, run history</w:t>
            </w:r>
          </w:p>
        </w:tc>
      </w:tr>
      <w:tr>
        <w:tc>
          <w:tcPr>
            <w:tcW w:type="dxa" w:w="1800"/>
            <w:tcMar>
              <w:top w:type="dxa" w:w="90"/>
              <w:left w:type="dxa" w:w="120"/>
              <w:bottom w:type="dxa" w:w="90"/>
              <w:right w:type="dxa" w:w="120"/>
            </w:tcMar>
          </w:tcPr>
          <w:p>
            <w:pPr>
              <w:spacing w:after="0" w:line="260"/>
            </w:pPr>
            <w:r>
              <w:rPr>
                <w:b/>
                <w:bCs/>
                <w:color w:val="222222"/>
                <w:sz w:val="19"/>
                <w:szCs w:val="19"/>
              </w:rPr>
              <w:t xml:space="preserve">agent_platform</w:t>
            </w:r>
          </w:p>
        </w:tc>
        <w:tc>
          <w:tcPr>
            <w:tcW w:type="dxa" w:w="1400"/>
            <w:tcMar>
              <w:top w:type="dxa" w:w="90"/>
              <w:left w:type="dxa" w:w="120"/>
              <w:bottom w:type="dxa" w:w="90"/>
              <w:right w:type="dxa" w:w="120"/>
            </w:tcMar>
          </w:tcPr>
          <w:p>
            <w:pPr>
              <w:spacing w:after="0" w:line="260"/>
            </w:pPr>
            <w:r>
              <w:rPr>
                <w:b w:val="false"/>
                <w:bCs w:val="false"/>
                <w:color w:val="222222"/>
                <w:sz w:val="19"/>
                <w:szCs w:val="19"/>
              </w:rPr>
              <w:t xml:space="preserve">Changed</w:t>
            </w:r>
          </w:p>
        </w:tc>
        <w:tc>
          <w:tcPr>
            <w:tcW w:type="dxa" w:w="6438"/>
            <w:tcMar>
              <w:top w:type="dxa" w:w="90"/>
              <w:left w:type="dxa" w:w="120"/>
              <w:bottom w:type="dxa" w:w="90"/>
              <w:right w:type="dxa" w:w="120"/>
            </w:tcMar>
          </w:tcPr>
          <w:p>
            <w:pPr>
              <w:spacing w:after="0" w:line="260"/>
            </w:pPr>
            <w:r>
              <w:rPr>
                <w:b w:val="false"/>
                <w:bCs w:val="false"/>
                <w:color w:val="222222"/>
                <w:sz w:val="19"/>
                <w:szCs w:val="19"/>
              </w:rPr>
              <w:t xml:space="preserve">Now also gates skills and the Agent Design Studio; model gateway remains under it</w:t>
            </w:r>
          </w:p>
        </w:tc>
      </w:tr>
    </w:tbl>
    <w:p>
      <w:pPr>
        <w:spacing w:after="200"/>
      </w:pPr>
    </w:p>
    <w:p>
      <w:pPr>
        <w:pStyle w:val="Heading2"/>
        <w:spacing w:after="150" w:before="300"/>
      </w:pPr>
      <w:r>
        <w:rPr>
          <w:b/>
          <w:bCs/>
          <w:color w:val="222222"/>
          <w:sz w:val="25"/>
          <w:szCs w:val="25"/>
        </w:rPr>
        <w:t xml:space="preserve">5.3 Design principles applied throughout</w:t>
      </w:r>
    </w:p>
    <w:p>
      <w:pPr>
        <w:pStyle w:val="ListParagraph"/>
        <w:numPr>
          <w:ilvl w:val="0"/>
          <w:numId w:val="3"/>
        </w:numPr>
        <w:spacing w:after="90" w:line="290" w:lineRule="auto"/>
      </w:pPr>
      <w:r>
        <w:rPr>
          <w:color w:val="222222"/>
          <w:sz w:val="21"/>
          <w:szCs w:val="21"/>
        </w:rPr>
        <w:t xml:space="preserve">The YAML is the artifact. Every authoring surface — Design mode, the Studio wizard, the workflow canvas, the team editor — is a renderer over a YAML document validated by one validator. No surface may express something the schema cannot, and no surface may bypass validation.</w:t>
      </w:r>
    </w:p>
    <w:p>
      <w:pPr>
        <w:pStyle w:val="ListParagraph"/>
        <w:numPr>
          <w:ilvl w:val="0"/>
          <w:numId w:val="3"/>
        </w:numPr>
        <w:spacing w:after="90" w:line="290" w:lineRule="auto"/>
      </w:pPr>
      <w:r>
        <w:rPr>
          <w:color w:val="222222"/>
          <w:sz w:val="21"/>
          <w:szCs w:val="21"/>
        </w:rPr>
        <w:t xml:space="preserve">Every reference is version-pinned at compose time. Names are for humans; the stored artifact records skill@3, server@7, route@12, agent@9.</w:t>
      </w:r>
    </w:p>
    <w:p>
      <w:pPr>
        <w:pStyle w:val="ListParagraph"/>
        <w:numPr>
          <w:ilvl w:val="0"/>
          <w:numId w:val="3"/>
        </w:numPr>
        <w:spacing w:after="90" w:line="290" w:lineRule="auto"/>
      </w:pPr>
      <w:r>
        <w:rPr>
          <w:color w:val="222222"/>
          <w:sz w:val="21"/>
          <w:szCs w:val="21"/>
        </w:rPr>
        <w:t xml:space="preserve">Permissions compose by intersection, never union. Delegation, composition and orchestration may narrow scope. They may never widen it.</w:t>
      </w:r>
    </w:p>
    <w:p>
      <w:pPr>
        <w:pStyle w:val="ListParagraph"/>
        <w:numPr>
          <w:ilvl w:val="0"/>
          <w:numId w:val="3"/>
        </w:numPr>
        <w:spacing w:after="90" w:line="290" w:lineRule="auto"/>
      </w:pPr>
      <w:r>
        <w:rPr>
          <w:color w:val="222222"/>
          <w:sz w:val="21"/>
          <w:szCs w:val="21"/>
        </w:rPr>
        <w:t xml:space="preserve">Tenant policy can be tightened by an artifact, never loosened. An agent version that relaxes tenant PII masking fails validation rather than being blocked only in the interface.</w:t>
      </w:r>
    </w:p>
    <w:p>
      <w:pPr>
        <w:pStyle w:val="ListParagraph"/>
        <w:numPr>
          <w:ilvl w:val="0"/>
          <w:numId w:val="3"/>
        </w:numPr>
        <w:spacing w:after="90" w:line="290" w:lineRule="auto"/>
      </w:pPr>
      <w:r>
        <w:rPr>
          <w:color w:val="222222"/>
          <w:sz w:val="21"/>
          <w:szCs w:val="21"/>
        </w:rPr>
        <w:t xml:space="preserve">Reuse the existing control surfaces. Human decisions go to the Approval Queue or the Escalation Queue. Delegation goes through the Tool Catalog. New queues and parallel permission systems are how governance drifts out of sync.</w:t>
      </w:r>
    </w:p>
    <w:p>
      <w:pPr>
        <w:pStyle w:val="ListParagraph"/>
        <w:numPr>
          <w:ilvl w:val="0"/>
          <w:numId w:val="3"/>
        </w:numPr>
        <w:spacing w:after="90" w:line="290" w:lineRule="auto"/>
      </w:pPr>
      <w:r>
        <w:rPr>
          <w:color w:val="222222"/>
          <w:sz w:val="21"/>
          <w:szCs w:val="21"/>
        </w:rPr>
        <w:t xml:space="preserve">Cost, latency and depth are enforced by the runtime. Budgets written into a system prompt are advisory; budgets enforced by the executor are real.</w:t>
      </w:r>
    </w:p>
    <w:p>
      <w:r>
        <w:br w:type="page"/>
      </w:r>
    </w:p>
    <w:p>
      <w:pPr>
        <w:pStyle w:val="Heading1"/>
        <w:spacing w:after="200" w:before="360"/>
      </w:pPr>
      <w:r>
        <w:rPr>
          <w:b/>
          <w:bCs/>
          <w:color w:val="222222"/>
          <w:sz w:val="30"/>
          <w:szCs w:val="30"/>
        </w:rPr>
        <w:t xml:space="preserve">6. Module A — MCP Definition Registry</w:t>
      </w:r>
    </w:p>
    <w:p>
      <w:pPr>
        <w:pStyle w:val="Heading2"/>
        <w:spacing w:after="150" w:before="300"/>
      </w:pPr>
      <w:r>
        <w:rPr>
          <w:b/>
          <w:bCs/>
          <w:color w:val="222222"/>
          <w:sz w:val="25"/>
          <w:szCs w:val="25"/>
        </w:rPr>
        <w:t xml:space="preserve">6.1 What exists today and why it is insufficient</w:t>
      </w:r>
    </w:p>
    <w:p>
      <w:pPr>
        <w:spacing w:after="140" w:line="300" w:lineRule="auto"/>
      </w:pPr>
      <w:r>
        <w:rPr>
          <w:color w:val="222222"/>
          <w:sz w:val="21"/>
          <w:szCs w:val="21"/>
        </w:rPr>
        <w:t xml:space="preserve">The Connectors screens handle the operational concern well: a form captures name, description, backend type, environment, transport (streamable HTTP or a gateway-mediated stdio process), endpoint URL and an authentication method, with the credential itself held in the encrypted vault and never returned in plaintext; the detail page shows live health. The Tool Catalog then lists every tool discovered across every connector, tagged with a read/write classification and an approval tier, with per-tool allow and deny rules and a simulate preview.</w:t>
      </w:r>
    </w:p>
    <w:p>
      <w:pPr>
        <w:spacing w:after="140" w:line="300" w:lineRule="auto"/>
      </w:pPr>
      <w:r>
        <w:rPr>
          <w:color w:val="222222"/>
          <w:sz w:val="21"/>
          <w:szCs w:val="21"/>
        </w:rPr>
        <w:t xml:space="preserve">That is a connection manager. It is not an enrolment lifecycle, and four things are missing as a result.</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400"/>
        <w:gridCol w:w="7238"/>
      </w:tblGrid>
      <w:tr>
        <w:trPr>
          <w:tblHeader/>
        </w:trPr>
        <w:tc>
          <w:tcPr>
            <w:tcW w:type="dxa" w:w="2400"/>
            <w:shd w:fill="F3F3F1" w:val="clear"/>
            <w:tcMar>
              <w:top w:type="dxa" w:w="90"/>
              <w:left w:type="dxa" w:w="120"/>
              <w:bottom w:type="dxa" w:w="90"/>
              <w:right w:type="dxa" w:w="120"/>
            </w:tcMar>
          </w:tcPr>
          <w:p>
            <w:pPr>
              <w:spacing w:after="0" w:line="260"/>
            </w:pPr>
            <w:r>
              <w:rPr>
                <w:b/>
                <w:bCs/>
                <w:color w:val="6E6E6E"/>
                <w:sz w:val="17"/>
                <w:szCs w:val="17"/>
              </w:rPr>
              <w:t xml:space="preserve">Missing</w:t>
            </w:r>
          </w:p>
        </w:tc>
        <w:tc>
          <w:tcPr>
            <w:tcW w:type="dxa" w:w="7238"/>
            <w:shd w:fill="F3F3F1" w:val="clear"/>
            <w:tcMar>
              <w:top w:type="dxa" w:w="90"/>
              <w:left w:type="dxa" w:w="120"/>
              <w:bottom w:type="dxa" w:w="90"/>
              <w:right w:type="dxa" w:w="120"/>
            </w:tcMar>
          </w:tcPr>
          <w:p>
            <w:pPr>
              <w:spacing w:after="0" w:line="260"/>
            </w:pPr>
            <w:r>
              <w:rPr>
                <w:b/>
                <w:bCs/>
                <w:color w:val="6E6E6E"/>
                <w:sz w:val="17"/>
                <w:szCs w:val="17"/>
              </w:rPr>
              <w:t xml:space="preserve">Consequence</w:t>
            </w:r>
          </w:p>
        </w:tc>
      </w:tr>
      <w:tr>
        <w:tc>
          <w:tcPr>
            <w:tcW w:type="dxa" w:w="2400"/>
            <w:tcMar>
              <w:top w:type="dxa" w:w="90"/>
              <w:left w:type="dxa" w:w="120"/>
              <w:bottom w:type="dxa" w:w="90"/>
              <w:right w:type="dxa" w:w="120"/>
            </w:tcMar>
          </w:tcPr>
          <w:p>
            <w:pPr>
              <w:spacing w:after="0" w:line="260"/>
            </w:pPr>
            <w:r>
              <w:rPr>
                <w:b/>
                <w:bCs/>
                <w:color w:val="222222"/>
                <w:sz w:val="19"/>
                <w:szCs w:val="19"/>
              </w:rPr>
              <w:t xml:space="preserve">No pinned manifest</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There is no recorded snapshot of what a server exposed at the moment it was approved, so there is nothing to compare against. A server that adds a tool, removes one, or changes an approved tool's input schema changes what agents can do with no review and no alert. This is the clearest privilege-escalation path in the platform today.</w:t>
            </w:r>
          </w:p>
        </w:tc>
      </w:tr>
      <w:tr>
        <w:tc>
          <w:tcPr>
            <w:tcW w:type="dxa" w:w="2400"/>
            <w:tcMar>
              <w:top w:type="dxa" w:w="90"/>
              <w:left w:type="dxa" w:w="120"/>
              <w:bottom w:type="dxa" w:w="90"/>
              <w:right w:type="dxa" w:w="120"/>
            </w:tcMar>
          </w:tcPr>
          <w:p>
            <w:pPr>
              <w:spacing w:after="0" w:line="260"/>
            </w:pPr>
            <w:r>
              <w:rPr>
                <w:b/>
                <w:bCs/>
                <w:color w:val="222222"/>
                <w:sz w:val="19"/>
                <w:szCs w:val="19"/>
              </w:rPr>
              <w:t xml:space="preserve">Only tools are modelled</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MCP servers expose tools, resources and prompts. Resources are the natural feed into the knowledge subsystem in §7 and are currently discarded.</w:t>
            </w:r>
          </w:p>
        </w:tc>
      </w:tr>
      <w:tr>
        <w:tc>
          <w:tcPr>
            <w:tcW w:type="dxa" w:w="2400"/>
            <w:tcMar>
              <w:top w:type="dxa" w:w="90"/>
              <w:left w:type="dxa" w:w="120"/>
              <w:bottom w:type="dxa" w:w="90"/>
              <w:right w:type="dxa" w:w="120"/>
            </w:tcMar>
          </w:tcPr>
          <w:p>
            <w:pPr>
              <w:spacing w:after="0" w:line="260"/>
            </w:pPr>
            <w:r>
              <w:rPr>
                <w:b/>
                <w:bCs/>
                <w:color w:val="222222"/>
                <w:sz w:val="19"/>
                <w:szCs w:val="19"/>
              </w:rPr>
              <w:t xml:space="preserve">Capability groups are unauthorable</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Design mode offers a picker for Tool Registry capability groups such as "Knowledge and Web" or "DevOps and Code", but no screen creates, edits or audits them.</w:t>
            </w:r>
          </w:p>
        </w:tc>
      </w:tr>
      <w:tr>
        <w:tc>
          <w:tcPr>
            <w:tcW w:type="dxa" w:w="2400"/>
            <w:tcMar>
              <w:top w:type="dxa" w:w="90"/>
              <w:left w:type="dxa" w:w="120"/>
              <w:bottom w:type="dxa" w:w="90"/>
              <w:right w:type="dxa" w:w="120"/>
            </w:tcMar>
          </w:tcPr>
          <w:p>
            <w:pPr>
              <w:spacing w:after="0" w:line="260"/>
            </w:pPr>
            <w:r>
              <w:rPr>
                <w:b/>
                <w:bCs/>
                <w:color w:val="222222"/>
                <w:sz w:val="19"/>
                <w:szCs w:val="19"/>
              </w:rPr>
              <w:t xml:space="preserve">No environment binding</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One logical server with development, staging and production endpoints is three unrelated connector rows with three unrelated tool lists and three unrelated health histories.</w:t>
            </w:r>
          </w:p>
        </w:tc>
      </w:tr>
    </w:tbl>
    <w:p>
      <w:pPr>
        <w:spacing w:after="200"/>
      </w:pPr>
    </w:p>
    <w:p>
      <w:pPr>
        <w:pStyle w:val="Heading2"/>
        <w:spacing w:after="150" w:before="300"/>
      </w:pPr>
      <w:r>
        <w:rPr>
          <w:b/>
          <w:bCs/>
          <w:color w:val="222222"/>
          <w:sz w:val="25"/>
          <w:szCs w:val="25"/>
        </w:rPr>
        <w:t xml:space="preserve">6.2 Proposed screens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600"/>
        <w:gridCol w:w="7038"/>
      </w:tblGrid>
      <w:tr>
        <w:trPr>
          <w:tblHeader/>
        </w:trPr>
        <w:tc>
          <w:tcPr>
            <w:tcW w:type="dxa" w:w="2600"/>
            <w:shd w:fill="F3F3F1" w:val="clear"/>
            <w:tcMar>
              <w:top w:type="dxa" w:w="90"/>
              <w:left w:type="dxa" w:w="120"/>
              <w:bottom w:type="dxa" w:w="90"/>
              <w:right w:type="dxa" w:w="120"/>
            </w:tcMar>
          </w:tcPr>
          <w:p>
            <w:pPr>
              <w:spacing w:after="0" w:line="260"/>
            </w:pPr>
            <w:r>
              <w:rPr>
                <w:b/>
                <w:bCs/>
                <w:color w:val="6E6E6E"/>
                <w:sz w:val="17"/>
                <w:szCs w:val="17"/>
              </w:rPr>
              <w:t xml:space="preserve">Route</w:t>
            </w:r>
          </w:p>
        </w:tc>
        <w:tc>
          <w:tcPr>
            <w:tcW w:type="dxa" w:w="7038"/>
            <w:shd w:fill="F3F3F1" w:val="clear"/>
            <w:tcMar>
              <w:top w:type="dxa" w:w="90"/>
              <w:left w:type="dxa" w:w="120"/>
              <w:bottom w:type="dxa" w:w="90"/>
              <w:right w:type="dxa" w:w="120"/>
            </w:tcMar>
          </w:tcPr>
          <w:p>
            <w:pPr>
              <w:spacing w:after="0" w:line="260"/>
            </w:pPr>
            <w:r>
              <w:rPr>
                <w:b/>
                <w:bCs/>
                <w:color w:val="6E6E6E"/>
                <w:sz w:val="17"/>
                <w:szCs w:val="17"/>
              </w:rPr>
              <w:t xml:space="preserve">Purpose</w:t>
            </w:r>
          </w:p>
        </w:tc>
      </w:tr>
      <w:tr>
        <w:tc>
          <w:tcPr>
            <w:tcW w:type="dxa" w:w="26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/mcp/servers</w:t>
            </w:r>
          </w:p>
        </w:tc>
        <w:tc>
          <w:tcPr>
            <w:tcW w:type="dxa" w:w="7038"/>
            <w:tcMar>
              <w:top w:type="dxa" w:w="90"/>
              <w:left w:type="dxa" w:w="120"/>
              <w:bottom w:type="dxa" w:w="90"/>
              <w:right w:type="dxa" w:w="120"/>
            </w:tcMar>
          </w:tcPr>
          <w:p>
            <w:pPr>
              <w:spacing w:after="0" w:line="260"/>
            </w:pPr>
            <w:r>
              <w:rPr>
                <w:b w:val="false"/>
                <w:bCs w:val="false"/>
                <w:color w:val="222222"/>
                <w:sz w:val="19"/>
                <w:szCs w:val="19"/>
              </w:rPr>
              <w:t xml:space="preserve">Registry list: server, transport, environments bound, tool count, manifest state and health</w:t>
            </w:r>
          </w:p>
        </w:tc>
      </w:tr>
      <w:tr>
        <w:tc>
          <w:tcPr>
            <w:tcW w:type="dxa" w:w="26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/mcp/servers/new</w:t>
            </w:r>
          </w:p>
        </w:tc>
        <w:tc>
          <w:tcPr>
            <w:tcW w:type="dxa" w:w="7038"/>
            <w:tcMar>
              <w:top w:type="dxa" w:w="90"/>
              <w:left w:type="dxa" w:w="120"/>
              <w:bottom w:type="dxa" w:w="90"/>
              <w:right w:type="dxa" w:w="120"/>
            </w:tcMar>
          </w:tcPr>
          <w:p>
            <w:pPr>
              <w:spacing w:after="0" w:line="260"/>
            </w:pPr>
            <w:r>
              <w:rPr>
                <w:b w:val="false"/>
                <w:bCs w:val="false"/>
                <w:color w:val="222222"/>
                <w:sz w:val="19"/>
                <w:szCs w:val="19"/>
              </w:rPr>
              <w:t xml:space="preserve">Nine-step enrolment wizard</w:t>
            </w:r>
          </w:p>
        </w:tc>
      </w:tr>
      <w:tr>
        <w:tc>
          <w:tcPr>
            <w:tcW w:type="dxa" w:w="26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/mcp/servers/[id]</w:t>
            </w:r>
          </w:p>
        </w:tc>
        <w:tc>
          <w:tcPr>
            <w:tcW w:type="dxa" w:w="7038"/>
            <w:tcMar>
              <w:top w:type="dxa" w:w="90"/>
              <w:left w:type="dxa" w:w="120"/>
              <w:bottom w:type="dxa" w:w="90"/>
              <w:right w:type="dxa" w:w="120"/>
            </w:tcMar>
          </w:tcPr>
          <w:p>
            <w:pPr>
              <w:spacing w:after="0" w:line="260"/>
            </w:pPr>
            <w:r>
              <w:rPr>
                <w:b w:val="false"/>
                <w:bCs w:val="false"/>
                <w:color w:val="222222"/>
                <w:sz w:val="19"/>
                <w:szCs w:val="19"/>
              </w:rPr>
              <w:t xml:space="preserve">Definition detail — tabs for Manifest, Tools, Resources, Prompts, Policy, Environments, Versions and Health</w:t>
            </w:r>
          </w:p>
        </w:tc>
      </w:tr>
      <w:tr>
        <w:tc>
          <w:tcPr>
            <w:tcW w:type="dxa" w:w="26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/mcp/servers/[id]/drift</w:t>
            </w:r>
          </w:p>
        </w:tc>
        <w:tc>
          <w:tcPr>
            <w:tcW w:type="dxa" w:w="7038"/>
            <w:tcMar>
              <w:top w:type="dxa" w:w="90"/>
              <w:left w:type="dxa" w:w="120"/>
              <w:bottom w:type="dxa" w:w="90"/>
              <w:right w:type="dxa" w:w="120"/>
            </w:tcMar>
          </w:tcPr>
          <w:p>
            <w:pPr>
              <w:spacing w:after="0" w:line="260"/>
            </w:pPr>
            <w:r>
              <w:rPr>
                <w:b w:val="false"/>
                <w:bCs w:val="false"/>
                <w:color w:val="222222"/>
                <w:sz w:val="19"/>
                <w:szCs w:val="19"/>
              </w:rPr>
              <w:t xml:space="preserve">Diff of the live manifest against the pinned manifest, with an accept or reject review</w:t>
            </w:r>
          </w:p>
        </w:tc>
      </w:tr>
      <w:tr>
        <w:tc>
          <w:tcPr>
            <w:tcW w:type="dxa" w:w="26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/mcp/capability-groups</w:t>
            </w:r>
          </w:p>
        </w:tc>
        <w:tc>
          <w:tcPr>
            <w:tcW w:type="dxa" w:w="7038"/>
            <w:tcMar>
              <w:top w:type="dxa" w:w="90"/>
              <w:left w:type="dxa" w:w="120"/>
              <w:bottom w:type="dxa" w:w="90"/>
              <w:right w:type="dxa" w:w="120"/>
            </w:tcMar>
          </w:tcPr>
          <w:p>
            <w:pPr>
              <w:spacing w:after="0" w:line="260"/>
            </w:pPr>
            <w:r>
              <w:rPr>
                <w:b w:val="false"/>
                <w:bCs w:val="false"/>
                <w:color w:val="222222"/>
                <w:sz w:val="19"/>
                <w:szCs w:val="19"/>
              </w:rPr>
              <w:t xml:space="preserve">Create and edit the groups consumed by the Design mode and Studio pickers</w:t>
            </w:r>
          </w:p>
        </w:tc>
      </w:tr>
    </w:tbl>
    <w:p>
      <w:pPr>
        <w:spacing w:after="200"/>
      </w:pPr>
    </w:p>
    <w:p>
      <w:pPr>
        <w:spacing w:after="60" w:before="120" w:line="240" w:lineRule="auto"/>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09800"/>
                    </a:xfrm>
                    <a:prstGeom prst="rect">
                      <a:avLst/>
                    </a:prstGeom>
                  </pic:spPr>
                </pic:pic>
              </a:graphicData>
            </a:graphic>
          </wp:inline>
        </w:drawing>
      </w:r>
    </w:p>
    <w:p>
      <w:pPr>
        <w:spacing w:after="240"/>
        <w:jc w:val="center"/>
      </w:pPr>
      <w:r>
        <w:rPr>
          <w:i/>
          <w:iCs/>
          <w:color w:val="6E6E6E"/>
          <w:sz w:val="17"/>
          <w:szCs w:val="17"/>
        </w:rPr>
        <w:t xml:space="preserve">Figure 1 — MCP registry list. Manifest state is a first-class column: pinned, drifting, or quarantined.</w:t>
      </w:r>
    </w:p>
    <w:p>
      <w:pPr>
        <w:pStyle w:val="Heading2"/>
        <w:spacing w:after="150" w:before="300"/>
      </w:pPr>
      <w:r>
        <w:rPr>
          <w:b/>
          <w:bCs/>
          <w:color w:val="222222"/>
          <w:sz w:val="25"/>
          <w:szCs w:val="25"/>
        </w:rPr>
        <w:t xml:space="preserve">6.3 The enrolment wizard</w:t>
      </w:r>
    </w:p>
    <w:p>
      <w:pPr>
        <w:pStyle w:val="ListParagraph"/>
        <w:numPr>
          <w:ilvl w:val="0"/>
          <w:numId w:val="4"/>
        </w:numPr>
        <w:spacing w:after="90" w:line="290" w:lineRule="auto"/>
      </w:pPr>
      <w:r>
        <w:rPr>
          <w:color w:val="222222"/>
          <w:sz w:val="21"/>
          <w:szCs w:val="21"/>
        </w:rPr>
        <w:t xml:space="preserve">Identify — name, description, owner, backend type, business criticality.</w:t>
      </w:r>
    </w:p>
    <w:p>
      <w:pPr>
        <w:pStyle w:val="ListParagraph"/>
        <w:numPr>
          <w:ilvl w:val="0"/>
          <w:numId w:val="4"/>
        </w:numPr>
        <w:spacing w:after="90" w:line="290" w:lineRule="auto"/>
      </w:pPr>
      <w:r>
        <w:rPr>
          <w:color w:val="222222"/>
          <w:sz w:val="21"/>
          <w:szCs w:val="21"/>
        </w:rPr>
        <w:t xml:space="preserve">Transport and endpoint — streamable HTTP or gateway-mediated stdio, with a separate endpoint per environment rather than a separate connector per environment.</w:t>
      </w:r>
    </w:p>
    <w:p>
      <w:pPr>
        <w:pStyle w:val="ListParagraph"/>
        <w:numPr>
          <w:ilvl w:val="0"/>
          <w:numId w:val="4"/>
        </w:numPr>
        <w:spacing w:after="90" w:line="290" w:lineRule="auto"/>
      </w:pPr>
      <w:r>
        <w:rPr>
          <w:color w:val="222222"/>
          <w:sz w:val="21"/>
          <w:szCs w:val="21"/>
        </w:rPr>
        <w:t xml:space="preserve">Authentication — method plus credential, written straight to the existing encrypted vault. Sandbox and production credentials are captured separately so that version sandbox testing never reaches live systems.</w:t>
      </w:r>
    </w:p>
    <w:p>
      <w:pPr>
        <w:pStyle w:val="ListParagraph"/>
        <w:numPr>
          <w:ilvl w:val="0"/>
          <w:numId w:val="4"/>
        </w:numPr>
        <w:spacing w:after="90" w:line="290" w:lineRule="auto"/>
      </w:pPr>
      <w:r>
        <w:rPr>
          <w:color w:val="222222"/>
          <w:sz w:val="21"/>
          <w:szCs w:val="21"/>
        </w:rPr>
        <w:t xml:space="preserve">Discovery handshake — connect, enumerate tools, resources and prompts, capture the JSON schemas, and hash the whole response into a pinned manifest.</w:t>
      </w:r>
    </w:p>
    <w:p>
      <w:pPr>
        <w:pStyle w:val="ListParagraph"/>
        <w:numPr>
          <w:ilvl w:val="0"/>
          <w:numId w:val="4"/>
        </w:numPr>
        <w:spacing w:after="90" w:line="290" w:lineRule="auto"/>
      </w:pPr>
      <w:r>
        <w:rPr>
          <w:color w:val="222222"/>
          <w:sz w:val="21"/>
          <w:szCs w:val="21"/>
        </w:rPr>
        <w:t xml:space="preserve">Classification — read or write, and approval tier, per tool. Pre-filled by a heuristic over the tool schema and description, confirmed by a human. Anything unclassified defaults to Tier 3 and disabled.</w:t>
      </w:r>
    </w:p>
    <w:p>
      <w:pPr>
        <w:pStyle w:val="ListParagraph"/>
        <w:numPr>
          <w:ilvl w:val="0"/>
          <w:numId w:val="4"/>
        </w:numPr>
        <w:spacing w:after="90" w:line="290" w:lineRule="auto"/>
      </w:pPr>
      <w:r>
        <w:rPr>
          <w:color w:val="222222"/>
          <w:sz w:val="21"/>
          <w:szCs w:val="21"/>
        </w:rPr>
        <w:t xml:space="preserve">Grouping — assign tools to capability groups.</w:t>
      </w:r>
    </w:p>
    <w:p>
      <w:pPr>
        <w:pStyle w:val="ListParagraph"/>
        <w:numPr>
          <w:ilvl w:val="0"/>
          <w:numId w:val="4"/>
        </w:numPr>
        <w:spacing w:after="90" w:line="290" w:lineRule="auto"/>
      </w:pPr>
      <w:r>
        <w:rPr>
          <w:color w:val="222222"/>
          <w:sz w:val="21"/>
          <w:szCs w:val="21"/>
        </w:rPr>
        <w:t xml:space="preserve">Runtime policy — timeout, retry, circuit-breaker threshold, per-tool rate limit, cost attribution tag and egress allowlist.</w:t>
      </w:r>
    </w:p>
    <w:p>
      <w:pPr>
        <w:pStyle w:val="ListParagraph"/>
        <w:numPr>
          <w:ilvl w:val="0"/>
          <w:numId w:val="4"/>
        </w:numPr>
        <w:spacing w:after="90" w:line="290" w:lineRule="auto"/>
      </w:pPr>
      <w:r>
        <w:rPr>
          <w:color w:val="222222"/>
          <w:sz w:val="21"/>
          <w:szCs w:val="21"/>
        </w:rPr>
        <w:t xml:space="preserve">Dry run — invoke one read-only tool against the sandbox credential and show the raw result before anything is enrolled.</w:t>
      </w:r>
    </w:p>
    <w:p>
      <w:pPr>
        <w:pStyle w:val="ListParagraph"/>
        <w:numPr>
          <w:ilvl w:val="0"/>
          <w:numId w:val="4"/>
        </w:numPr>
        <w:spacing w:after="90" w:line="290" w:lineRule="auto"/>
      </w:pPr>
      <w:r>
        <w:rPr>
          <w:color w:val="222222"/>
          <w:sz w:val="21"/>
          <w:szCs w:val="21"/>
        </w:rPr>
        <w:t xml:space="preserve">Enrol — writes the definition and the manifest hash to the audit log.</w:t>
      </w:r>
    </w:p>
    <w:p>
      <w:pPr>
        <w:spacing w:after="60" w:before="120" w:line="240" w:lineRule="auto"/>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24150"/>
                    </a:xfrm>
                    <a:prstGeom prst="rect">
                      <a:avLst/>
                    </a:prstGeom>
                  </pic:spPr>
                </pic:pic>
              </a:graphicData>
            </a:graphic>
          </wp:inline>
        </w:drawing>
      </w:r>
    </w:p>
    <w:p>
      <w:pPr>
        <w:spacing w:after="240"/>
        <w:jc w:val="center"/>
      </w:pPr>
      <w:r>
        <w:rPr>
          <w:i/>
          <w:iCs/>
          <w:color w:val="6E6E6E"/>
          <w:sz w:val="17"/>
          <w:szCs w:val="17"/>
        </w:rPr>
        <w:t xml:space="preserve">Figure 2 — Enrolment wizard, discovery and classification step. Write-classified tools cannot be auto-approved to Tier 1 from this screen.</w:t>
      </w:r>
    </w:p>
    <w:p>
      <w:pPr>
        <w:pStyle w:val="Heading2"/>
        <w:spacing w:after="150" w:before="300"/>
      </w:pPr>
      <w:r>
        <w:rPr>
          <w:b/>
          <w:bCs/>
          <w:color w:val="222222"/>
          <w:sz w:val="25"/>
          <w:szCs w:val="25"/>
        </w:rPr>
        <w:t xml:space="preserve">6.4 Rules the runtime must enforce</w:t>
      </w:r>
    </w:p>
    <w:tbl>
      <w:tblPr>
        <w:tblW w:type="dxa" w:w="9638"/>
        <w:tblBorders>
          <w:top w:val="single" w:color="E3DCC8" w:sz="2"/>
          <w:left w:val="single" w:color="E3DCC8" w:sz="2"/>
          <w:bottom w:val="single" w:color="E3DCC8" w:sz="2"/>
          <w:right w:val="single" w:color="E3DCC8" w:sz="2"/>
          <w:insideH w:val="none"/>
          <w:insideV w:val="none"/>
        </w:tblBorders>
      </w:tblPr>
      <w:tblGrid>
        <w:gridCol w:w="9638"/>
      </w:tblGrid>
      <w:tr>
        <w:tc>
          <w:tcPr>
            <w:tcW w:type="dxa" w:w="9638"/>
            <w:shd w:fill="FCFAF4" w:val="clear"/>
            <w:tcMar>
              <w:top w:type="dxa" w:w="150"/>
              <w:left w:type="dxa" w:w="170"/>
              <w:bottom w:type="dxa" w:w="150"/>
              <w:right w:type="dxa" w:w="170"/>
            </w:tcMar>
          </w:tcPr>
          <w:p>
            <w:pPr>
              <w:spacing w:after="80"/>
            </w:pPr>
            <w:r>
              <w:rPr>
                <w:b/>
                <w:bCs/>
                <w:color w:val="8A6D3B"/>
                <w:sz w:val="19"/>
                <w:szCs w:val="19"/>
              </w:rPr>
              <w:t xml:space="preserve">Manifest pinning and drift quarantine</w:t>
            </w:r>
          </w:p>
          <w:p>
            <w:pPr>
              <w:spacing w:after="60" w:line="280"/>
            </w:pPr>
            <w:r>
              <w:rPr>
                <w:color w:val="5C5240"/>
                <w:sz w:val="19"/>
                <w:szCs w:val="19"/>
              </w:rPr>
              <w:t xml:space="preserve">A reconciler re-fetches each server's manifest on a schedule and compares it to the pinned hash.</w:t>
            </w:r>
          </w:p>
          <w:p>
            <w:pPr>
              <w:spacing w:after="60" w:line="280"/>
            </w:pPr>
            <w:r>
              <w:rPr>
                <w:color w:val="5C5240"/>
                <w:sz w:val="19"/>
                <w:szCs w:val="19"/>
              </w:rPr>
              <w:t xml:space="preserve">A newly appeared tool enrols as disabled and Tier 3 until a human reviews it.</w:t>
            </w:r>
          </w:p>
          <w:p>
            <w:pPr>
              <w:spacing w:after="60" w:line="280"/>
            </w:pPr>
            <w:r>
              <w:rPr>
                <w:color w:val="5C5240"/>
                <w:sz w:val="19"/>
                <w:szCs w:val="19"/>
              </w:rPr>
              <w:t xml:space="preserve">A changed input schema on an already-approved tool is treated as a new tool, not as an update — because that is exactly the vector by which a compromised or updated server escalates its own privileges.</w:t>
            </w:r>
          </w:p>
          <w:p>
            <w:pPr>
              <w:spacing w:after="60" w:line="280"/>
            </w:pPr>
            <w:r>
              <w:rPr>
                <w:color w:val="5C5240"/>
                <w:sz w:val="19"/>
                <w:szCs w:val="19"/>
              </w:rPr>
              <w:t xml:space="preserve">An agent version records the server definition version it was validated against, so drift surfaces as a warning on the agent rather than as changed behaviour in production.</w:t>
            </w:r>
          </w:p>
        </w:tc>
      </w:tr>
    </w:tbl>
    <w:p>
      <w:pPr>
        <w:spacing w:after="220"/>
      </w:pPr>
    </w:p>
    <w:p>
      <w:pPr>
        <w:pStyle w:val="ListParagraph"/>
        <w:numPr>
          <w:ilvl w:val="0"/>
          <w:numId w:val="2"/>
        </w:numPr>
        <w:spacing w:after="90" w:line="290" w:lineRule="auto"/>
      </w:pPr>
      <w:r>
        <w:rPr>
          <w:color w:val="222222"/>
          <w:sz w:val="21"/>
          <w:szCs w:val="21"/>
        </w:rPr>
        <w:t xml:space="preserve">Server definitions are versioned and immutable, so an agent version can pin server@definitionVersion and be reproducible.</w:t>
      </w:r>
    </w:p>
    <w:p>
      <w:pPr>
        <w:pStyle w:val="ListParagraph"/>
        <w:numPr>
          <w:ilvl w:val="0"/>
          <w:numId w:val="2"/>
        </w:numPr>
        <w:spacing w:after="90" w:line="290" w:lineRule="auto"/>
      </w:pPr>
      <w:r>
        <w:rPr>
          <w:color w:val="222222"/>
          <w:sz w:val="21"/>
          <w:szCs w:val="21"/>
        </w:rPr>
        <w:t xml:space="preserve">Resources discovered on a server are offered as ingestion candidates to the knowledge subsystem rather than being discarded.</w:t>
      </w:r>
    </w:p>
    <w:p>
      <w:pPr>
        <w:pStyle w:val="ListParagraph"/>
        <w:numPr>
          <w:ilvl w:val="0"/>
          <w:numId w:val="2"/>
        </w:numPr>
        <w:spacing w:after="90" w:line="290" w:lineRule="auto"/>
      </w:pPr>
      <w:r>
        <w:rPr>
          <w:color w:val="222222"/>
          <w:sz w:val="21"/>
          <w:szCs w:val="21"/>
        </w:rPr>
        <w:t xml:space="preserve">Health, alerting and error classification remain where they are today, on the MCP Health screen; the registry links to it rather than duplicating it.</w:t>
      </w:r>
    </w:p>
    <w:p>
      <w:pPr>
        <w:pStyle w:val="Heading2"/>
        <w:spacing w:after="150" w:before="300"/>
      </w:pPr>
      <w:r>
        <w:rPr>
          <w:b/>
          <w:bCs/>
          <w:color w:val="222222"/>
          <w:sz w:val="25"/>
          <w:szCs w:val="25"/>
        </w:rPr>
        <w:t xml:space="preserve">6.5 Data model additions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400"/>
        <w:gridCol w:w="7238"/>
      </w:tblGrid>
      <w:tr>
        <w:trPr>
          <w:tblHeader/>
        </w:trPr>
        <w:tc>
          <w:tcPr>
            <w:tcW w:type="dxa" w:w="2400"/>
            <w:shd w:fill="F3F3F1" w:val="clear"/>
            <w:tcMar>
              <w:top w:type="dxa" w:w="90"/>
              <w:left w:type="dxa" w:w="120"/>
              <w:bottom w:type="dxa" w:w="90"/>
              <w:right w:type="dxa" w:w="120"/>
            </w:tcMar>
          </w:tcPr>
          <w:p>
            <w:pPr>
              <w:spacing w:after="0" w:line="260"/>
            </w:pPr>
            <w:r>
              <w:rPr>
                <w:b/>
                <w:bCs/>
                <w:color w:val="6E6E6E"/>
                <w:sz w:val="17"/>
                <w:szCs w:val="17"/>
              </w:rPr>
              <w:t xml:space="preserve">Entity</w:t>
            </w:r>
          </w:p>
        </w:tc>
        <w:tc>
          <w:tcPr>
            <w:tcW w:type="dxa" w:w="7238"/>
            <w:shd w:fill="F3F3F1" w:val="clear"/>
            <w:tcMar>
              <w:top w:type="dxa" w:w="90"/>
              <w:left w:type="dxa" w:w="120"/>
              <w:bottom w:type="dxa" w:w="90"/>
              <w:right w:type="dxa" w:w="120"/>
            </w:tcMar>
          </w:tcPr>
          <w:p>
            <w:pPr>
              <w:spacing w:after="0" w:line="260"/>
            </w:pPr>
            <w:r>
              <w:rPr>
                <w:b/>
                <w:bCs/>
                <w:color w:val="6E6E6E"/>
                <w:sz w:val="17"/>
                <w:szCs w:val="17"/>
              </w:rPr>
              <w:t xml:space="preserve">Key fields</w:t>
            </w:r>
          </w:p>
        </w:tc>
      </w:tr>
      <w:tr>
        <w:tc>
          <w:tcPr>
            <w:tcW w:type="dxa" w:w="2400"/>
            <w:tcMar>
              <w:top w:type="dxa" w:w="90"/>
              <w:left w:type="dxa" w:w="120"/>
              <w:bottom w:type="dxa" w:w="90"/>
              <w:right w:type="dxa" w:w="120"/>
            </w:tcMar>
          </w:tcPr>
          <w:p>
            <w:pPr>
              <w:spacing w:after="0" w:line="260"/>
            </w:pPr>
            <w:r>
              <w:rPr>
                <w:b/>
                <w:bCs/>
                <w:color w:val="222222"/>
                <w:sz w:val="19"/>
                <w:szCs w:val="19"/>
              </w:rPr>
              <w:t xml:space="preserve">mcp_server</w:t>
            </w:r>
          </w:p>
        </w:tc>
        <w:tc>
          <w:tcPr>
            <w:tcW w:type="dxa" w:w="72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tenant_id, name, backend_type, criticality, owner, status, created_by</w:t>
            </w:r>
          </w:p>
        </w:tc>
      </w:tr>
      <w:tr>
        <w:tc>
          <w:tcPr>
            <w:tcW w:type="dxa" w:w="2400"/>
            <w:tcMar>
              <w:top w:type="dxa" w:w="90"/>
              <w:left w:type="dxa" w:w="120"/>
              <w:bottom w:type="dxa" w:w="90"/>
              <w:right w:type="dxa" w:w="120"/>
            </w:tcMar>
          </w:tcPr>
          <w:p>
            <w:pPr>
              <w:spacing w:after="0" w:line="260"/>
            </w:pPr>
            <w:r>
              <w:rPr>
                <w:b/>
                <w:bCs/>
                <w:color w:val="222222"/>
                <w:sz w:val="19"/>
                <w:szCs w:val="19"/>
              </w:rPr>
              <w:t xml:space="preserve">mcp_server_version</w:t>
            </w:r>
          </w:p>
        </w:tc>
        <w:tc>
          <w:tcPr>
            <w:tcW w:type="dxa" w:w="72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server_id, version, transport, auth_method, credential_ref, policy_json, manifest_hash, approved_by, approved_at</w:t>
            </w:r>
          </w:p>
        </w:tc>
      </w:tr>
      <w:tr>
        <w:tc>
          <w:tcPr>
            <w:tcW w:type="dxa" w:w="2400"/>
            <w:tcMar>
              <w:top w:type="dxa" w:w="90"/>
              <w:left w:type="dxa" w:w="120"/>
              <w:bottom w:type="dxa" w:w="90"/>
              <w:right w:type="dxa" w:w="120"/>
            </w:tcMar>
          </w:tcPr>
          <w:p>
            <w:pPr>
              <w:spacing w:after="0" w:line="260"/>
            </w:pPr>
            <w:r>
              <w:rPr>
                <w:b/>
                <w:bCs/>
                <w:color w:val="222222"/>
                <w:sz w:val="19"/>
                <w:szCs w:val="19"/>
              </w:rPr>
              <w:t xml:space="preserve">mcp_environment_binding</w:t>
            </w:r>
          </w:p>
        </w:tc>
        <w:tc>
          <w:tcPr>
            <w:tcW w:type="dxa" w:w="72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server_version_id, environment, endpoint_url, credential_ref, reachable_at</w:t>
            </w:r>
          </w:p>
        </w:tc>
      </w:tr>
      <w:tr>
        <w:tc>
          <w:tcPr>
            <w:tcW w:type="dxa" w:w="2400"/>
            <w:tcMar>
              <w:top w:type="dxa" w:w="90"/>
              <w:left w:type="dxa" w:w="120"/>
              <w:bottom w:type="dxa" w:w="90"/>
              <w:right w:type="dxa" w:w="120"/>
            </w:tcMar>
          </w:tcPr>
          <w:p>
            <w:pPr>
              <w:spacing w:after="0" w:line="260"/>
            </w:pPr>
            <w:r>
              <w:rPr>
                <w:b/>
                <w:bCs/>
                <w:color w:val="222222"/>
                <w:sz w:val="19"/>
                <w:szCs w:val="19"/>
              </w:rPr>
              <w:t xml:space="preserve">mcp_manifest_item</w:t>
            </w:r>
          </w:p>
        </w:tc>
        <w:tc>
          <w:tcPr>
            <w:tcW w:type="dxa" w:w="72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server_version_id, kind (tool|resource|prompt), name, schema_json, schema_hash, io_class, approval_tier, enabled</w:t>
            </w:r>
          </w:p>
        </w:tc>
      </w:tr>
      <w:tr>
        <w:tc>
          <w:tcPr>
            <w:tcW w:type="dxa" w:w="2400"/>
            <w:tcMar>
              <w:top w:type="dxa" w:w="90"/>
              <w:left w:type="dxa" w:w="120"/>
              <w:bottom w:type="dxa" w:w="90"/>
              <w:right w:type="dxa" w:w="120"/>
            </w:tcMar>
          </w:tcPr>
          <w:p>
            <w:pPr>
              <w:spacing w:after="0" w:line="260"/>
            </w:pPr>
            <w:r>
              <w:rPr>
                <w:b/>
                <w:bCs/>
                <w:color w:val="222222"/>
                <w:sz w:val="19"/>
                <w:szCs w:val="19"/>
              </w:rPr>
              <w:t xml:space="preserve">mcp_drift_event</w:t>
            </w:r>
          </w:p>
        </w:tc>
        <w:tc>
          <w:tcPr>
            <w:tcW w:type="dxa" w:w="72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server_id, detected_at, change_kind, item_name, old_schema_hash, new_schema_hash, resolution, resolved_by</w:t>
            </w:r>
          </w:p>
        </w:tc>
      </w:tr>
      <w:tr>
        <w:tc>
          <w:tcPr>
            <w:tcW w:type="dxa" w:w="2400"/>
            <w:tcMar>
              <w:top w:type="dxa" w:w="90"/>
              <w:left w:type="dxa" w:w="120"/>
              <w:bottom w:type="dxa" w:w="90"/>
              <w:right w:type="dxa" w:w="120"/>
            </w:tcMar>
          </w:tcPr>
          <w:p>
            <w:pPr>
              <w:spacing w:after="0" w:line="260"/>
            </w:pPr>
            <w:r>
              <w:rPr>
                <w:b/>
                <w:bCs/>
                <w:color w:val="222222"/>
                <w:sz w:val="19"/>
                <w:szCs w:val="19"/>
              </w:rPr>
              <w:t xml:space="preserve">capability_group</w:t>
            </w:r>
          </w:p>
        </w:tc>
        <w:tc>
          <w:tcPr>
            <w:tcW w:type="dxa" w:w="72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tenant_id, name, description</w:t>
            </w:r>
          </w:p>
        </w:tc>
      </w:tr>
      <w:tr>
        <w:tc>
          <w:tcPr>
            <w:tcW w:type="dxa" w:w="2400"/>
            <w:tcMar>
              <w:top w:type="dxa" w:w="90"/>
              <w:left w:type="dxa" w:w="120"/>
              <w:bottom w:type="dxa" w:w="90"/>
              <w:right w:type="dxa" w:w="120"/>
            </w:tcMar>
          </w:tcPr>
          <w:p>
            <w:pPr>
              <w:spacing w:after="0" w:line="260"/>
            </w:pPr>
            <w:r>
              <w:rPr>
                <w:b/>
                <w:bCs/>
                <w:color w:val="222222"/>
                <w:sz w:val="19"/>
                <w:szCs w:val="19"/>
              </w:rPr>
              <w:t xml:space="preserve">capability_group_item</w:t>
            </w:r>
          </w:p>
        </w:tc>
        <w:tc>
          <w:tcPr>
            <w:tcW w:type="dxa" w:w="72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group_id, server_id, tool_name</w:t>
            </w:r>
          </w:p>
        </w:tc>
      </w:tr>
    </w:tbl>
    <w:p>
      <w:pPr>
        <w:spacing w:after="200"/>
      </w:pPr>
    </w:p>
    <w:p>
      <w:r>
        <w:br w:type="page"/>
      </w:r>
    </w:p>
    <w:p>
      <w:pPr>
        <w:pStyle w:val="Heading1"/>
        <w:spacing w:after="200" w:before="360"/>
      </w:pPr>
      <w:r>
        <w:rPr>
          <w:b/>
          <w:bCs/>
          <w:color w:val="222222"/>
          <w:sz w:val="30"/>
          <w:szCs w:val="30"/>
        </w:rPr>
        <w:t xml:space="preserve">7. Module B — Knowledge and Graph RAG</w:t>
      </w:r>
    </w:p>
    <w:p>
      <w:pPr>
        <w:pStyle w:val="Heading2"/>
        <w:spacing w:after="150" w:before="300"/>
      </w:pPr>
      <w:r>
        <w:rPr>
          <w:b/>
          <w:bCs/>
          <w:color w:val="222222"/>
          <w:sz w:val="25"/>
          <w:szCs w:val="25"/>
        </w:rPr>
        <w:t xml:space="preserve">7.1 Why a graph, and not only a vector index</w:t>
      </w:r>
    </w:p>
    <w:p>
      <w:pPr>
        <w:spacing w:after="140" w:line="300" w:lineRule="auto"/>
      </w:pPr>
      <w:r>
        <w:rPr>
          <w:color w:val="222222"/>
          <w:sz w:val="21"/>
          <w:szCs w:val="21"/>
        </w:rPr>
        <w:t xml:space="preserve">The largest structural gap in the platform is that there is no knowledge layer at all. The only route to information is an MCP tool call, which means a tenant cannot upload a policy document and have an agent ground its answers in it, the conversation detail view has no citation panel, and there is no reporting on what customers asked that the tenant has no content for.</w:t>
      </w:r>
    </w:p>
    <w:p>
      <w:pPr>
        <w:spacing w:after="140" w:line="300" w:lineRule="auto"/>
      </w:pPr>
      <w:r>
        <w:rPr>
          <w:color w:val="222222"/>
          <w:sz w:val="21"/>
          <w:szCs w:val="21"/>
        </w:rPr>
        <w:t xml:space="preserve">Plain vector retrieval solves part of this and fails on the questions support agents are actually asked. A question such as "can a customer dispute a charge after the refund window closes" depends on a relationship between three concepts — the dispute window, the chargeback rule and the refund policy — that never appear together in a single chunk. Top-k similarity returns chunks about each concept and the model is left to infer a connection it was never shown.</w:t>
      </w:r>
    </w:p>
    <w:p>
      <w:pPr>
        <w:spacing w:after="140" w:line="300" w:lineRule="auto"/>
      </w:pPr>
      <w:r>
        <w:rPr>
          <w:color w:val="222222"/>
          <w:sz w:val="21"/>
          <w:szCs w:val="21"/>
        </w:rPr>
        <w:t xml:space="preserve">A graph index fixes this by extracting entities and the relations between them at ingestion time, so retrieval can walk from an anchor entity to its neighbours and return the relation path itself as evidence. It also enables a second retrieval mode that vector search cannot offer at all: summarising an entire thematic community of the graph to answer broad questions such as "what does our refund policy actually cover".</w:t>
      </w:r>
    </w:p>
    <w:p>
      <w:pPr>
        <w:pStyle w:val="Heading2"/>
        <w:spacing w:after="150" w:before="300"/>
      </w:pPr>
      <w:r>
        <w:rPr>
          <w:b/>
          <w:bCs/>
          <w:color w:val="222222"/>
          <w:sz w:val="25"/>
          <w:szCs w:val="25"/>
        </w:rPr>
        <w:t xml:space="preserve">7.2 Ingestion pipeline</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1500"/>
        <w:gridCol w:w="4800"/>
        <w:gridCol w:w="3338"/>
      </w:tblGrid>
      <w:tr>
        <w:trPr>
          <w:tblHeader/>
        </w:trPr>
        <w:tc>
          <w:tcPr>
            <w:tcW w:type="dxa" w:w="1500"/>
            <w:shd w:fill="F3F3F1" w:val="clear"/>
            <w:tcMar>
              <w:top w:type="dxa" w:w="90"/>
              <w:left w:type="dxa" w:w="120"/>
              <w:bottom w:type="dxa" w:w="90"/>
              <w:right w:type="dxa" w:w="120"/>
            </w:tcMar>
          </w:tcPr>
          <w:p>
            <w:pPr>
              <w:spacing w:after="0" w:line="260"/>
            </w:pPr>
            <w:r>
              <w:rPr>
                <w:b/>
                <w:bCs/>
                <w:color w:val="6E6E6E"/>
                <w:sz w:val="17"/>
                <w:szCs w:val="17"/>
              </w:rPr>
              <w:t xml:space="preserve">Stage</w:t>
            </w:r>
          </w:p>
        </w:tc>
        <w:tc>
          <w:tcPr>
            <w:tcW w:type="dxa" w:w="4800"/>
            <w:shd w:fill="F3F3F1" w:val="clear"/>
            <w:tcMar>
              <w:top w:type="dxa" w:w="90"/>
              <w:left w:type="dxa" w:w="120"/>
              <w:bottom w:type="dxa" w:w="90"/>
              <w:right w:type="dxa" w:w="120"/>
            </w:tcMar>
          </w:tcPr>
          <w:p>
            <w:pPr>
              <w:spacing w:after="0" w:line="260"/>
            </w:pPr>
            <w:r>
              <w:rPr>
                <w:b/>
                <w:bCs/>
                <w:color w:val="6E6E6E"/>
                <w:sz w:val="17"/>
                <w:szCs w:val="17"/>
              </w:rPr>
              <w:t xml:space="preserve">What happens</w:t>
            </w:r>
          </w:p>
        </w:tc>
        <w:tc>
          <w:tcPr>
            <w:tcW w:type="dxa" w:w="3338"/>
            <w:shd w:fill="F3F3F1" w:val="clear"/>
            <w:tcMar>
              <w:top w:type="dxa" w:w="90"/>
              <w:left w:type="dxa" w:w="120"/>
              <w:bottom w:type="dxa" w:w="90"/>
              <w:right w:type="dxa" w:w="120"/>
            </w:tcMar>
          </w:tcPr>
          <w:p>
            <w:pPr>
              <w:spacing w:after="0" w:line="260"/>
            </w:pPr>
            <w:r>
              <w:rPr>
                <w:b/>
                <w:bCs/>
                <w:color w:val="6E6E6E"/>
                <w:sz w:val="17"/>
                <w:szCs w:val="17"/>
              </w:rPr>
              <w:t xml:space="preserve">Notes</w:t>
            </w:r>
          </w:p>
        </w:tc>
      </w:tr>
      <w:tr>
        <w:tc>
          <w:tcPr>
            <w:tcW w:type="dxa" w:w="1500"/>
            <w:tcMar>
              <w:top w:type="dxa" w:w="90"/>
              <w:left w:type="dxa" w:w="120"/>
              <w:bottom w:type="dxa" w:w="90"/>
              <w:right w:type="dxa" w:w="120"/>
            </w:tcMar>
          </w:tcPr>
          <w:p>
            <w:pPr>
              <w:spacing w:after="0" w:line="260"/>
            </w:pPr>
            <w:r>
              <w:rPr>
                <w:b/>
                <w:bCs/>
                <w:color w:val="222222"/>
                <w:sz w:val="19"/>
                <w:szCs w:val="19"/>
              </w:rPr>
              <w:t xml:space="preserve">Ingest</w:t>
            </w:r>
          </w:p>
        </w:tc>
        <w:tc>
          <w:tcPr>
            <w:tcW w:type="dxa" w:w="4800"/>
            <w:tcMar>
              <w:top w:type="dxa" w:w="90"/>
              <w:left w:type="dxa" w:w="120"/>
              <w:bottom w:type="dxa" w:w="90"/>
              <w:right w:type="dxa" w:w="120"/>
            </w:tcMar>
          </w:tcPr>
          <w:p>
            <w:pPr>
              <w:spacing w:after="0" w:line="260"/>
            </w:pPr>
            <w:r>
              <w:rPr>
                <w:b w:val="false"/>
                <w:bCs w:val="false"/>
                <w:color w:val="222222"/>
                <w:sz w:val="19"/>
                <w:szCs w:val="19"/>
              </w:rPr>
              <w:t xml:space="preserve">Files, crawled URLs, MCP resources from the registry, or connector syncs</w:t>
            </w:r>
          </w:p>
        </w:tc>
        <w:tc>
          <w:tcPr>
            <w:tcW w:type="dxa" w:w="3338"/>
            <w:tcMar>
              <w:top w:type="dxa" w:w="90"/>
              <w:left w:type="dxa" w:w="120"/>
              <w:bottom w:type="dxa" w:w="90"/>
              <w:right w:type="dxa" w:w="120"/>
            </w:tcMar>
          </w:tcPr>
          <w:p>
            <w:pPr>
              <w:spacing w:after="0" w:line="260"/>
            </w:pPr>
            <w:r>
              <w:rPr>
                <w:b w:val="false"/>
                <w:bCs w:val="false"/>
                <w:color w:val="222222"/>
                <w:sz w:val="19"/>
                <w:szCs w:val="19"/>
              </w:rPr>
              <w:t xml:space="preserve">Source ACLs are captured here and carried through to every chunk</w:t>
            </w:r>
          </w:p>
        </w:tc>
      </w:tr>
      <w:tr>
        <w:tc>
          <w:tcPr>
            <w:tcW w:type="dxa" w:w="1500"/>
            <w:tcMar>
              <w:top w:type="dxa" w:w="90"/>
              <w:left w:type="dxa" w:w="120"/>
              <w:bottom w:type="dxa" w:w="90"/>
              <w:right w:type="dxa" w:w="120"/>
            </w:tcMar>
          </w:tcPr>
          <w:p>
            <w:pPr>
              <w:spacing w:after="0" w:line="260"/>
            </w:pPr>
            <w:r>
              <w:rPr>
                <w:b/>
                <w:bCs/>
                <w:color w:val="222222"/>
                <w:sz w:val="19"/>
                <w:szCs w:val="19"/>
              </w:rPr>
              <w:t xml:space="preserve">Parse</w:t>
            </w:r>
          </w:p>
        </w:tc>
        <w:tc>
          <w:tcPr>
            <w:tcW w:type="dxa" w:w="4800"/>
            <w:tcMar>
              <w:top w:type="dxa" w:w="90"/>
              <w:left w:type="dxa" w:w="120"/>
              <w:bottom w:type="dxa" w:w="90"/>
              <w:right w:type="dxa" w:w="120"/>
            </w:tcMar>
          </w:tcPr>
          <w:p>
            <w:pPr>
              <w:spacing w:after="0" w:line="260"/>
            </w:pPr>
            <w:r>
              <w:rPr>
                <w:b w:val="false"/>
                <w:bCs w:val="false"/>
                <w:color w:val="222222"/>
                <w:sz w:val="19"/>
                <w:szCs w:val="19"/>
              </w:rPr>
              <w:t xml:space="preserve">Text, tables and layout extraction; OCR where needed</w:t>
            </w:r>
          </w:p>
        </w:tc>
        <w:tc>
          <w:tcPr>
            <w:tcW w:type="dxa" w:w="3338"/>
            <w:tcMar>
              <w:top w:type="dxa" w:w="90"/>
              <w:left w:type="dxa" w:w="120"/>
              <w:bottom w:type="dxa" w:w="90"/>
              <w:right w:type="dxa" w:w="120"/>
            </w:tcMar>
          </w:tcPr>
          <w:p>
            <w:pPr>
              <w:spacing w:after="0" w:line="260"/>
            </w:pPr>
            <w:r>
              <w:rPr>
                <w:b w:val="false"/>
                <w:bCs w:val="false"/>
                <w:color w:val="222222"/>
                <w:sz w:val="19"/>
                <w:szCs w:val="19"/>
              </w:rPr>
              <w:t xml:space="preserve">Tables are preserved as structured blocks, not flattened to prose</w:t>
            </w:r>
          </w:p>
        </w:tc>
      </w:tr>
      <w:tr>
        <w:tc>
          <w:tcPr>
            <w:tcW w:type="dxa" w:w="1500"/>
            <w:tcMar>
              <w:top w:type="dxa" w:w="90"/>
              <w:left w:type="dxa" w:w="120"/>
              <w:bottom w:type="dxa" w:w="90"/>
              <w:right w:type="dxa" w:w="120"/>
            </w:tcMar>
          </w:tcPr>
          <w:p>
            <w:pPr>
              <w:spacing w:after="0" w:line="260"/>
            </w:pPr>
            <w:r>
              <w:rPr>
                <w:b/>
                <w:bCs/>
                <w:color w:val="222222"/>
                <w:sz w:val="19"/>
                <w:szCs w:val="19"/>
              </w:rPr>
              <w:t xml:space="preserve">Chunk</w:t>
            </w:r>
          </w:p>
        </w:tc>
        <w:tc>
          <w:tcPr>
            <w:tcW w:type="dxa" w:w="4800"/>
            <w:tcMar>
              <w:top w:type="dxa" w:w="90"/>
              <w:left w:type="dxa" w:w="120"/>
              <w:bottom w:type="dxa" w:w="90"/>
              <w:right w:type="dxa" w:w="120"/>
            </w:tcMar>
          </w:tcPr>
          <w:p>
            <w:pPr>
              <w:spacing w:after="0" w:line="260"/>
            </w:pPr>
            <w:r>
              <w:rPr>
                <w:b w:val="false"/>
                <w:bCs w:val="false"/>
                <w:color w:val="222222"/>
                <w:sz w:val="19"/>
                <w:szCs w:val="19"/>
              </w:rPr>
              <w:t xml:space="preserve">Semantic chunking with configurable size and overlap</w:t>
            </w:r>
          </w:p>
        </w:tc>
        <w:tc>
          <w:tcPr>
            <w:tcW w:type="dxa" w:w="3338"/>
            <w:tcMar>
              <w:top w:type="dxa" w:w="90"/>
              <w:left w:type="dxa" w:w="120"/>
              <w:bottom w:type="dxa" w:w="90"/>
              <w:right w:type="dxa" w:w="120"/>
            </w:tcMar>
          </w:tcPr>
          <w:p>
            <w:pPr>
              <w:spacing w:after="0" w:line="260"/>
            </w:pPr>
            <w:r>
              <w:rPr>
                <w:b w:val="false"/>
                <w:bCs w:val="false"/>
                <w:color w:val="222222"/>
                <w:sz w:val="19"/>
                <w:szCs w:val="19"/>
              </w:rPr>
              <w:t xml:space="preserve">Chunk provenance records document, page and section</w:t>
            </w:r>
          </w:p>
        </w:tc>
      </w:tr>
      <w:tr>
        <w:tc>
          <w:tcPr>
            <w:tcW w:type="dxa" w:w="1500"/>
            <w:tcMar>
              <w:top w:type="dxa" w:w="90"/>
              <w:left w:type="dxa" w:w="120"/>
              <w:bottom w:type="dxa" w:w="90"/>
              <w:right w:type="dxa" w:w="120"/>
            </w:tcMar>
          </w:tcPr>
          <w:p>
            <w:pPr>
              <w:spacing w:after="0" w:line="260"/>
            </w:pPr>
            <w:r>
              <w:rPr>
                <w:b/>
                <w:bCs/>
                <w:color w:val="222222"/>
                <w:sz w:val="19"/>
                <w:szCs w:val="19"/>
              </w:rPr>
              <w:t xml:space="preserve">Extract entities</w:t>
            </w:r>
          </w:p>
        </w:tc>
        <w:tc>
          <w:tcPr>
            <w:tcW w:type="dxa" w:w="4800"/>
            <w:tcMar>
              <w:top w:type="dxa" w:w="90"/>
              <w:left w:type="dxa" w:w="120"/>
              <w:bottom w:type="dxa" w:w="90"/>
              <w:right w:type="dxa" w:w="120"/>
            </w:tcMar>
          </w:tcPr>
          <w:p>
            <w:pPr>
              <w:spacing w:after="0" w:line="260"/>
            </w:pPr>
            <w:r>
              <w:rPr>
                <w:b w:val="false"/>
                <w:bCs w:val="false"/>
                <w:color w:val="222222"/>
                <w:sz w:val="19"/>
                <w:szCs w:val="19"/>
              </w:rPr>
              <w:t xml:space="preserve">An LLM pass produces entities, types, relations and claims per chunk</w:t>
            </w:r>
          </w:p>
        </w:tc>
        <w:tc>
          <w:tcPr>
            <w:tcW w:type="dxa" w:w="3338"/>
            <w:tcMar>
              <w:top w:type="dxa" w:w="90"/>
              <w:left w:type="dxa" w:w="120"/>
              <w:bottom w:type="dxa" w:w="90"/>
              <w:right w:type="dxa" w:w="120"/>
            </w:tcMar>
          </w:tcPr>
          <w:p>
            <w:pPr>
              <w:spacing w:after="0" w:line="260"/>
            </w:pPr>
            <w:r>
              <w:rPr>
                <w:b w:val="false"/>
                <w:bCs w:val="false"/>
                <w:color w:val="222222"/>
                <w:sz w:val="19"/>
                <w:szCs w:val="19"/>
              </w:rPr>
              <w:t xml:space="preserve">Runs on a cheap route — see §11; this is the dominant ingestion cost</w:t>
            </w:r>
          </w:p>
        </w:tc>
      </w:tr>
      <w:tr>
        <w:tc>
          <w:tcPr>
            <w:tcW w:type="dxa" w:w="1500"/>
            <w:tcMar>
              <w:top w:type="dxa" w:w="90"/>
              <w:left w:type="dxa" w:w="120"/>
              <w:bottom w:type="dxa" w:w="90"/>
              <w:right w:type="dxa" w:w="120"/>
            </w:tcMar>
          </w:tcPr>
          <w:p>
            <w:pPr>
              <w:spacing w:after="0" w:line="260"/>
            </w:pPr>
            <w:r>
              <w:rPr>
                <w:b/>
                <w:bCs/>
                <w:color w:val="222222"/>
                <w:sz w:val="19"/>
                <w:szCs w:val="19"/>
              </w:rPr>
              <w:t xml:space="preserve">Resolve</w:t>
            </w:r>
          </w:p>
        </w:tc>
        <w:tc>
          <w:tcPr>
            <w:tcW w:type="dxa" w:w="4800"/>
            <w:tcMar>
              <w:top w:type="dxa" w:w="90"/>
              <w:left w:type="dxa" w:w="120"/>
              <w:bottom w:type="dxa" w:w="90"/>
              <w:right w:type="dxa" w:w="120"/>
            </w:tcMar>
          </w:tcPr>
          <w:p>
            <w:pPr>
              <w:spacing w:after="0" w:line="260"/>
            </w:pPr>
            <w:r>
              <w:rPr>
                <w:b w:val="false"/>
                <w:bCs w:val="false"/>
                <w:color w:val="222222"/>
                <w:sz w:val="19"/>
                <w:szCs w:val="19"/>
              </w:rPr>
              <w:t xml:space="preserve">Canonicalisation and deduplication of entity mentions across documents</w:t>
            </w:r>
          </w:p>
        </w:tc>
        <w:tc>
          <w:tcPr>
            <w:tcW w:type="dxa" w:w="3338"/>
            <w:tcMar>
              <w:top w:type="dxa" w:w="90"/>
              <w:left w:type="dxa" w:w="120"/>
              <w:bottom w:type="dxa" w:w="90"/>
              <w:right w:type="dxa" w:w="120"/>
            </w:tcMar>
          </w:tcPr>
          <w:p>
            <w:pPr>
              <w:spacing w:after="0" w:line="260"/>
            </w:pPr>
            <w:r>
              <w:rPr>
                <w:b w:val="false"/>
                <w:bCs w:val="false"/>
                <w:color w:val="222222"/>
                <w:sz w:val="19"/>
                <w:szCs w:val="19"/>
              </w:rPr>
              <w:t xml:space="preserve">Deterministic rules plus embedding similarity, with a human review queue for low-confidence merges</w:t>
            </w:r>
          </w:p>
        </w:tc>
      </w:tr>
      <w:tr>
        <w:tc>
          <w:tcPr>
            <w:tcW w:type="dxa" w:w="1500"/>
            <w:tcMar>
              <w:top w:type="dxa" w:w="90"/>
              <w:left w:type="dxa" w:w="120"/>
              <w:bottom w:type="dxa" w:w="90"/>
              <w:right w:type="dxa" w:w="120"/>
            </w:tcMar>
          </w:tcPr>
          <w:p>
            <w:pPr>
              <w:spacing w:after="0" w:line="260"/>
            </w:pPr>
            <w:r>
              <w:rPr>
                <w:b/>
                <w:bCs/>
                <w:color w:val="222222"/>
                <w:sz w:val="19"/>
                <w:szCs w:val="19"/>
              </w:rPr>
              <w:t xml:space="preserve">Build graph</w:t>
            </w:r>
          </w:p>
        </w:tc>
        <w:tc>
          <w:tcPr>
            <w:tcW w:type="dxa" w:w="4800"/>
            <w:tcMar>
              <w:top w:type="dxa" w:w="90"/>
              <w:left w:type="dxa" w:w="120"/>
              <w:bottom w:type="dxa" w:w="90"/>
              <w:right w:type="dxa" w:w="120"/>
            </w:tcMar>
          </w:tcPr>
          <w:p>
            <w:pPr>
              <w:spacing w:after="0" w:line="260"/>
            </w:pPr>
            <w:r>
              <w:rPr>
                <w:b w:val="false"/>
                <w:bCs w:val="false"/>
                <w:color w:val="222222"/>
                <w:sz w:val="19"/>
                <w:szCs w:val="19"/>
              </w:rPr>
              <w:t xml:space="preserve">Nodes, typed edges and provenance written to the graph store</w:t>
            </w:r>
          </w:p>
        </w:tc>
        <w:tc>
          <w:tcPr>
            <w:tcW w:type="dxa" w:w="3338"/>
            <w:tcMar>
              <w:top w:type="dxa" w:w="90"/>
              <w:left w:type="dxa" w:w="120"/>
              <w:bottom w:type="dxa" w:w="90"/>
              <w:right w:type="dxa" w:w="120"/>
            </w:tcMar>
          </w:tcPr>
          <w:p>
            <w:pPr>
              <w:spacing w:after="0" w:line="260"/>
            </w:pPr>
            <w:r>
              <w:rPr>
                <w:b w:val="false"/>
                <w:bCs w:val="false"/>
                <w:color w:val="222222"/>
                <w:sz w:val="19"/>
                <w:szCs w:val="19"/>
              </w:rPr>
              <w:t xml:space="preserve">Every edge keeps the chunk it came from</w:t>
            </w:r>
          </w:p>
        </w:tc>
      </w:tr>
      <w:tr>
        <w:tc>
          <w:tcPr>
            <w:tcW w:type="dxa" w:w="1500"/>
            <w:tcMar>
              <w:top w:type="dxa" w:w="90"/>
              <w:left w:type="dxa" w:w="120"/>
              <w:bottom w:type="dxa" w:w="90"/>
              <w:right w:type="dxa" w:w="120"/>
            </w:tcMar>
          </w:tcPr>
          <w:p>
            <w:pPr>
              <w:spacing w:after="0" w:line="260"/>
            </w:pPr>
            <w:r>
              <w:rPr>
                <w:b/>
                <w:bCs/>
                <w:color w:val="222222"/>
                <w:sz w:val="19"/>
                <w:szCs w:val="19"/>
              </w:rPr>
              <w:t xml:space="preserve">Community detection</w:t>
            </w:r>
          </w:p>
        </w:tc>
        <w:tc>
          <w:tcPr>
            <w:tcW w:type="dxa" w:w="4800"/>
            <w:tcMar>
              <w:top w:type="dxa" w:w="90"/>
              <w:left w:type="dxa" w:w="120"/>
              <w:bottom w:type="dxa" w:w="90"/>
              <w:right w:type="dxa" w:w="120"/>
            </w:tcMar>
          </w:tcPr>
          <w:p>
            <w:pPr>
              <w:spacing w:after="0" w:line="260"/>
            </w:pPr>
            <w:r>
              <w:rPr>
                <w:b w:val="false"/>
                <w:bCs w:val="false"/>
                <w:color w:val="222222"/>
                <w:sz w:val="19"/>
                <w:szCs w:val="19"/>
              </w:rPr>
              <w:t xml:space="preserve">Hierarchical clustering of the graph into thematic communities</w:t>
            </w:r>
          </w:p>
        </w:tc>
        <w:tc>
          <w:tcPr>
            <w:tcW w:type="dxa" w:w="3338"/>
            <w:tcMar>
              <w:top w:type="dxa" w:w="90"/>
              <w:left w:type="dxa" w:w="120"/>
              <w:bottom w:type="dxa" w:w="90"/>
              <w:right w:type="dxa" w:w="120"/>
            </w:tcMar>
          </w:tcPr>
          <w:p>
            <w:pPr>
              <w:spacing w:after="0" w:line="260"/>
            </w:pPr>
            <w:r>
              <w:rPr>
                <w:b w:val="false"/>
                <w:bCs w:val="false"/>
                <w:color w:val="222222"/>
                <w:sz w:val="19"/>
                <w:szCs w:val="19"/>
              </w:rPr>
              <w:t xml:space="preserve">Leiden or equivalent; communities are what global retrieval summarises</w:t>
            </w:r>
          </w:p>
        </w:tc>
      </w:tr>
      <w:tr>
        <w:tc>
          <w:tcPr>
            <w:tcW w:type="dxa" w:w="1500"/>
            <w:tcMar>
              <w:top w:type="dxa" w:w="90"/>
              <w:left w:type="dxa" w:w="120"/>
              <w:bottom w:type="dxa" w:w="90"/>
              <w:right w:type="dxa" w:w="120"/>
            </w:tcMar>
          </w:tcPr>
          <w:p>
            <w:pPr>
              <w:spacing w:after="0" w:line="260"/>
            </w:pPr>
            <w:r>
              <w:rPr>
                <w:b/>
                <w:bCs/>
                <w:color w:val="222222"/>
                <w:sz w:val="19"/>
                <w:szCs w:val="19"/>
              </w:rPr>
              <w:t xml:space="preserve">Community summaries</w:t>
            </w:r>
          </w:p>
        </w:tc>
        <w:tc>
          <w:tcPr>
            <w:tcW w:type="dxa" w:w="4800"/>
            <w:tcMar>
              <w:top w:type="dxa" w:w="90"/>
              <w:left w:type="dxa" w:w="120"/>
              <w:bottom w:type="dxa" w:w="90"/>
              <w:right w:type="dxa" w:w="120"/>
            </w:tcMar>
          </w:tcPr>
          <w:p>
            <w:pPr>
              <w:spacing w:after="0" w:line="260"/>
            </w:pPr>
            <w:r>
              <w:rPr>
                <w:b w:val="false"/>
                <w:bCs w:val="false"/>
                <w:color w:val="222222"/>
                <w:sz w:val="19"/>
                <w:szCs w:val="19"/>
              </w:rPr>
              <w:t xml:space="preserve">A summary is generated per community at each level</w:t>
            </w:r>
          </w:p>
        </w:tc>
        <w:tc>
          <w:tcPr>
            <w:tcW w:type="dxa" w:w="3338"/>
            <w:tcMar>
              <w:top w:type="dxa" w:w="90"/>
              <w:left w:type="dxa" w:w="120"/>
              <w:bottom w:type="dxa" w:w="90"/>
              <w:right w:type="dxa" w:w="120"/>
            </w:tcMar>
          </w:tcPr>
          <w:p>
            <w:pPr>
              <w:spacing w:after="0" w:line="260"/>
            </w:pPr>
            <w:r>
              <w:rPr>
                <w:b w:val="false"/>
                <w:bCs w:val="false"/>
                <w:color w:val="222222"/>
                <w:sz w:val="19"/>
                <w:szCs w:val="19"/>
              </w:rPr>
              <w:t xml:space="preserve">Regenerated incrementally when member entities change</w:t>
            </w:r>
          </w:p>
        </w:tc>
      </w:tr>
      <w:tr>
        <w:tc>
          <w:tcPr>
            <w:tcW w:type="dxa" w:w="1500"/>
            <w:tcMar>
              <w:top w:type="dxa" w:w="90"/>
              <w:left w:type="dxa" w:w="120"/>
              <w:bottom w:type="dxa" w:w="90"/>
              <w:right w:type="dxa" w:w="120"/>
            </w:tcMar>
          </w:tcPr>
          <w:p>
            <w:pPr>
              <w:spacing w:after="0" w:line="260"/>
            </w:pPr>
            <w:r>
              <w:rPr>
                <w:b/>
                <w:bCs/>
                <w:color w:val="222222"/>
                <w:sz w:val="19"/>
                <w:szCs w:val="19"/>
              </w:rPr>
              <w:t xml:space="preserve">Embed</w:t>
            </w:r>
          </w:p>
        </w:tc>
        <w:tc>
          <w:tcPr>
            <w:tcW w:type="dxa" w:w="4800"/>
            <w:tcMar>
              <w:top w:type="dxa" w:w="90"/>
              <w:left w:type="dxa" w:w="120"/>
              <w:bottom w:type="dxa" w:w="90"/>
              <w:right w:type="dxa" w:w="120"/>
            </w:tcMar>
          </w:tcPr>
          <w:p>
            <w:pPr>
              <w:spacing w:after="0" w:line="260"/>
            </w:pPr>
            <w:r>
              <w:rPr>
                <w:b w:val="false"/>
                <w:bCs w:val="false"/>
                <w:color w:val="222222"/>
                <w:sz w:val="19"/>
                <w:szCs w:val="19"/>
              </w:rPr>
              <w:t xml:space="preserve">Chunks, entity summaries and community summaries are embedded</w:t>
            </w:r>
          </w:p>
        </w:tc>
        <w:tc>
          <w:tcPr>
            <w:tcW w:type="dxa" w:w="3338"/>
            <w:tcMar>
              <w:top w:type="dxa" w:w="90"/>
              <w:left w:type="dxa" w:w="120"/>
              <w:bottom w:type="dxa" w:w="90"/>
              <w:right w:type="dxa" w:w="120"/>
            </w:tcMar>
          </w:tcPr>
          <w:p>
            <w:pPr>
              <w:spacing w:after="0" w:line="260"/>
            </w:pPr>
            <w:r>
              <w:rPr>
                <w:b w:val="false"/>
                <w:bCs w:val="false"/>
                <w:color w:val="222222"/>
                <w:sz w:val="19"/>
                <w:szCs w:val="19"/>
              </w:rPr>
              <w:t xml:space="preserve">Embedding model is pinned to the index generation</w:t>
            </w:r>
          </w:p>
        </w:tc>
      </w:tr>
      <w:tr>
        <w:tc>
          <w:tcPr>
            <w:tcW w:type="dxa" w:w="1500"/>
            <w:tcMar>
              <w:top w:type="dxa" w:w="90"/>
              <w:left w:type="dxa" w:w="120"/>
              <w:bottom w:type="dxa" w:w="90"/>
              <w:right w:type="dxa" w:w="120"/>
            </w:tcMar>
          </w:tcPr>
          <w:p>
            <w:pPr>
              <w:spacing w:after="0" w:line="260"/>
            </w:pPr>
            <w:r>
              <w:rPr>
                <w:b/>
                <w:bCs/>
                <w:color w:val="222222"/>
                <w:sz w:val="19"/>
                <w:szCs w:val="19"/>
              </w:rPr>
              <w:t xml:space="preserve">Index</w:t>
            </w:r>
          </w:p>
        </w:tc>
        <w:tc>
          <w:tcPr>
            <w:tcW w:type="dxa" w:w="4800"/>
            <w:tcMar>
              <w:top w:type="dxa" w:w="90"/>
              <w:left w:type="dxa" w:w="120"/>
              <w:bottom w:type="dxa" w:w="90"/>
              <w:right w:type="dxa" w:w="120"/>
            </w:tcMar>
          </w:tcPr>
          <w:p>
            <w:pPr>
              <w:spacing w:after="0" w:line="260"/>
            </w:pPr>
            <w:r>
              <w:rPr>
                <w:b w:val="false"/>
                <w:bCs w:val="false"/>
                <w:color w:val="222222"/>
                <w:sz w:val="19"/>
                <w:szCs w:val="19"/>
              </w:rPr>
              <w:t xml:space="preserve">Vector index plus graph store, region-pinned per tenant</w:t>
            </w:r>
          </w:p>
        </w:tc>
        <w:tc>
          <w:tcPr>
            <w:tcW w:type="dxa" w:w="3338"/>
            <w:tcMar>
              <w:top w:type="dxa" w:w="90"/>
              <w:left w:type="dxa" w:w="120"/>
              <w:bottom w:type="dxa" w:w="90"/>
              <w:right w:type="dxa" w:w="120"/>
            </w:tcMar>
          </w:tcPr>
          <w:p>
            <w:pPr>
              <w:spacing w:after="0" w:line="260"/>
            </w:pPr>
            <w:r>
              <w:rPr>
                <w:b w:val="false"/>
                <w:bCs w:val="false"/>
                <w:color w:val="222222"/>
                <w:sz w:val="19"/>
                <w:szCs w:val="19"/>
              </w:rPr>
              <w:t xml:space="preserve">Honours Settings &gt; Retention and Residency</w:t>
            </w:r>
          </w:p>
        </w:tc>
      </w:tr>
    </w:tbl>
    <w:p>
      <w:pPr>
        <w:spacing w:after="200"/>
      </w:pPr>
    </w:p>
    <w:p>
      <w:pPr>
        <w:spacing w:after="60" w:before="120" w:line="240" w:lineRule="auto"/>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14575"/>
                    </a:xfrm>
                    <a:prstGeom prst="rect">
                      <a:avLst/>
                    </a:prstGeom>
                  </pic:spPr>
                </pic:pic>
              </a:graphicData>
            </a:graphic>
          </wp:inline>
        </w:drawing>
      </w:r>
    </w:p>
    <w:p>
      <w:pPr>
        <w:spacing w:after="240"/>
        <w:jc w:val="center"/>
      </w:pPr>
      <w:r>
        <w:rPr>
          <w:i/>
          <w:iCs/>
          <w:color w:val="6E6E6E"/>
          <w:sz w:val="17"/>
          <w:szCs w:val="17"/>
        </w:rPr>
        <w:t xml:space="preserve">Figure 3 — Knowledge collections with the ingestion pipeline for one collection. Index status distinguishes built, re-embedding and stale.</w:t>
      </w:r>
    </w:p>
    <w:tbl>
      <w:tblPr>
        <w:tblW w:type="dxa" w:w="9638"/>
        <w:tblBorders>
          <w:top w:val="single" w:color="E3DCC8" w:sz="2"/>
          <w:left w:val="single" w:color="E3DCC8" w:sz="2"/>
          <w:bottom w:val="single" w:color="E3DCC8" w:sz="2"/>
          <w:right w:val="single" w:color="E3DCC8" w:sz="2"/>
          <w:insideH w:val="none"/>
          <w:insideV w:val="none"/>
        </w:tblBorders>
      </w:tblPr>
      <w:tblGrid>
        <w:gridCol w:w="9638"/>
      </w:tblGrid>
      <w:tr>
        <w:tc>
          <w:tcPr>
            <w:tcW w:type="dxa" w:w="9638"/>
            <w:shd w:fill="FCFAF4" w:val="clear"/>
            <w:tcMar>
              <w:top w:type="dxa" w:w="150"/>
              <w:left w:type="dxa" w:w="170"/>
              <w:bottom w:type="dxa" w:w="150"/>
              <w:right w:type="dxa" w:w="170"/>
            </w:tcMar>
          </w:tcPr>
          <w:p>
            <w:pPr>
              <w:spacing w:after="80"/>
            </w:pPr>
            <w:r>
              <w:rPr>
                <w:b/>
                <w:bCs/>
                <w:color w:val="8A6D3B"/>
                <w:sz w:val="19"/>
                <w:szCs w:val="19"/>
              </w:rPr>
              <w:t xml:space="preserve">The embedding model is part of the index, not a setting</w:t>
            </w:r>
          </w:p>
          <w:p>
            <w:pPr>
              <w:spacing w:after="60" w:line="280"/>
            </w:pPr>
            <w:r>
              <w:rPr>
                <w:color w:val="5C5240"/>
                <w:sz w:val="19"/>
                <w:szCs w:val="19"/>
              </w:rPr>
              <w:t xml:space="preserve">A collection records provider, model and dimension from the Model Gateway catalogue at build time.</w:t>
            </w:r>
          </w:p>
          <w:p>
            <w:pPr>
              <w:spacing w:after="60" w:line="280"/>
            </w:pPr>
            <w:r>
              <w:rPr>
                <w:color w:val="5C5240"/>
                <w:sz w:val="19"/>
                <w:szCs w:val="19"/>
              </w:rPr>
              <w:t xml:space="preserve">Changing the embedding model invalidates the index and forces a full re-embed. It is never a silent swap, and the screen must say so before the change is accepted.</w:t>
            </w:r>
          </w:p>
          <w:p>
            <w:pPr>
              <w:spacing w:after="60" w:line="280"/>
            </w:pPr>
            <w:r>
              <w:rPr>
                <w:color w:val="5C5240"/>
                <w:sz w:val="19"/>
                <w:szCs w:val="19"/>
              </w:rPr>
              <w:t xml:space="preserve">This is the dependency that makes Model Gateway v2 a prerequisite for this module rather than a parallel workstream.</w:t>
            </w:r>
          </w:p>
        </w:tc>
      </w:tr>
    </w:tbl>
    <w:p>
      <w:pPr>
        <w:spacing w:after="220"/>
      </w:pPr>
    </w:p>
    <w:p>
      <w:pPr>
        <w:pStyle w:val="Heading2"/>
        <w:spacing w:after="150" w:before="300"/>
      </w:pPr>
      <w:r>
        <w:rPr>
          <w:b/>
          <w:bCs/>
          <w:color w:val="222222"/>
          <w:sz w:val="25"/>
          <w:szCs w:val="25"/>
        </w:rPr>
        <w:t xml:space="preserve">7.3 The graph explorer</w:t>
      </w:r>
    </w:p>
    <w:p>
      <w:pPr>
        <w:spacing w:after="140" w:line="300" w:lineRule="auto"/>
      </w:pPr>
      <w:r>
        <w:rPr>
          <w:color w:val="222222"/>
          <w:sz w:val="21"/>
          <w:szCs w:val="21"/>
        </w:rPr>
        <w:t xml:space="preserve">Curators need to see what was extracted, because extraction quality is the single largest determinant of retrieval quality and it is invisible in a pure vector system. The explorer shows entities, their relations, the community they belong to and — critically — the provenance of every relation, so a wrong answer can be traced to the sentence that produced the wrong edge.</w:t>
      </w:r>
    </w:p>
    <w:p>
      <w:pPr>
        <w:spacing w:after="60" w:before="120" w:line="240" w:lineRule="auto"/>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24175"/>
                    </a:xfrm>
                    <a:prstGeom prst="rect">
                      <a:avLst/>
                    </a:prstGeom>
                  </pic:spPr>
                </pic:pic>
              </a:graphicData>
            </a:graphic>
          </wp:inline>
        </w:drawing>
      </w:r>
    </w:p>
    <w:p>
      <w:pPr>
        <w:spacing w:after="240"/>
        <w:jc w:val="center"/>
      </w:pPr>
      <w:r>
        <w:rPr>
          <w:i/>
          <w:iCs/>
          <w:color w:val="6E6E6E"/>
          <w:sz w:val="17"/>
          <w:szCs w:val="17"/>
        </w:rPr>
        <w:t xml:space="preserve">Figure 4 — Graph explorer with an entity inspector. Every relation carries provenance back to the source chunk.</w:t>
      </w:r>
    </w:p>
    <w:p>
      <w:pPr>
        <w:pStyle w:val="Heading2"/>
        <w:spacing w:after="150" w:before="300"/>
      </w:pPr>
      <w:r>
        <w:rPr>
          <w:b/>
          <w:bCs/>
          <w:color w:val="222222"/>
          <w:sz w:val="25"/>
          <w:szCs w:val="25"/>
        </w:rPr>
        <w:t xml:space="preserve">7.4 Retrieval strategies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1500"/>
        <w:gridCol w:w="4200"/>
        <w:gridCol w:w="2438"/>
        <w:gridCol w:w="1500"/>
      </w:tblGrid>
      <w:tr>
        <w:trPr>
          <w:tblHeader/>
        </w:trPr>
        <w:tc>
          <w:tcPr>
            <w:tcW w:type="dxa" w:w="1500"/>
            <w:shd w:fill="F3F3F1" w:val="clear"/>
            <w:tcMar>
              <w:top w:type="dxa" w:w="90"/>
              <w:left w:type="dxa" w:w="120"/>
              <w:bottom w:type="dxa" w:w="90"/>
              <w:right w:type="dxa" w:w="120"/>
            </w:tcMar>
          </w:tcPr>
          <w:p>
            <w:pPr>
              <w:spacing w:after="0" w:line="260"/>
            </w:pPr>
            <w:r>
              <w:rPr>
                <w:b/>
                <w:bCs/>
                <w:color w:val="6E6E6E"/>
                <w:sz w:val="17"/>
                <w:szCs w:val="17"/>
              </w:rPr>
              <w:t xml:space="preserve">Strategy</w:t>
            </w:r>
          </w:p>
        </w:tc>
        <w:tc>
          <w:tcPr>
            <w:tcW w:type="dxa" w:w="4200"/>
            <w:shd w:fill="F3F3F1" w:val="clear"/>
            <w:tcMar>
              <w:top w:type="dxa" w:w="90"/>
              <w:left w:type="dxa" w:w="120"/>
              <w:bottom w:type="dxa" w:w="90"/>
              <w:right w:type="dxa" w:w="120"/>
            </w:tcMar>
          </w:tcPr>
          <w:p>
            <w:pPr>
              <w:spacing w:after="0" w:line="260"/>
            </w:pPr>
            <w:r>
              <w:rPr>
                <w:b/>
                <w:bCs/>
                <w:color w:val="6E6E6E"/>
                <w:sz w:val="17"/>
                <w:szCs w:val="17"/>
              </w:rPr>
              <w:t xml:space="preserve">How it works</w:t>
            </w:r>
          </w:p>
        </w:tc>
        <w:tc>
          <w:tcPr>
            <w:tcW w:type="dxa" w:w="2438"/>
            <w:shd w:fill="F3F3F1" w:val="clear"/>
            <w:tcMar>
              <w:top w:type="dxa" w:w="90"/>
              <w:left w:type="dxa" w:w="120"/>
              <w:bottom w:type="dxa" w:w="90"/>
              <w:right w:type="dxa" w:w="120"/>
            </w:tcMar>
          </w:tcPr>
          <w:p>
            <w:pPr>
              <w:spacing w:after="0" w:line="260"/>
            </w:pPr>
            <w:r>
              <w:rPr>
                <w:b/>
                <w:bCs/>
                <w:color w:val="6E6E6E"/>
                <w:sz w:val="17"/>
                <w:szCs w:val="17"/>
              </w:rPr>
              <w:t xml:space="preserve">Best for</w:t>
            </w:r>
          </w:p>
        </w:tc>
        <w:tc>
          <w:tcPr>
            <w:tcW w:type="dxa" w:w="1500"/>
            <w:shd w:fill="F3F3F1" w:val="clear"/>
            <w:tcMar>
              <w:top w:type="dxa" w:w="90"/>
              <w:left w:type="dxa" w:w="120"/>
              <w:bottom w:type="dxa" w:w="90"/>
              <w:right w:type="dxa" w:w="120"/>
            </w:tcMar>
          </w:tcPr>
          <w:p>
            <w:pPr>
              <w:spacing w:after="0" w:line="260"/>
            </w:pPr>
            <w:r>
              <w:rPr>
                <w:b/>
                <w:bCs/>
                <w:color w:val="6E6E6E"/>
                <w:sz w:val="17"/>
                <w:szCs w:val="17"/>
              </w:rPr>
              <w:t xml:space="preserve">Relative cost</w:t>
            </w:r>
          </w:p>
        </w:tc>
      </w:tr>
      <w:tr>
        <w:tc>
          <w:tcPr>
            <w:tcW w:type="dxa" w:w="1500"/>
            <w:tcMar>
              <w:top w:type="dxa" w:w="90"/>
              <w:left w:type="dxa" w:w="120"/>
              <w:bottom w:type="dxa" w:w="90"/>
              <w:right w:type="dxa" w:w="120"/>
            </w:tcMar>
          </w:tcPr>
          <w:p>
            <w:pPr>
              <w:spacing w:after="0" w:line="260"/>
            </w:pPr>
            <w:r>
              <w:rPr>
                <w:b/>
                <w:bCs/>
                <w:color w:val="222222"/>
                <w:sz w:val="19"/>
                <w:szCs w:val="19"/>
              </w:rPr>
              <w:t xml:space="preserve">Vector</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Top-k similarity over chunk embeddings</w:t>
            </w:r>
          </w:p>
        </w:tc>
        <w:tc>
          <w:tcPr>
            <w:tcW w:type="dxa" w:w="2438"/>
            <w:tcMar>
              <w:top w:type="dxa" w:w="90"/>
              <w:left w:type="dxa" w:w="120"/>
              <w:bottom w:type="dxa" w:w="90"/>
              <w:right w:type="dxa" w:w="120"/>
            </w:tcMar>
          </w:tcPr>
          <w:p>
            <w:pPr>
              <w:spacing w:after="0" w:line="260"/>
            </w:pPr>
            <w:r>
              <w:rPr>
                <w:b w:val="false"/>
                <w:bCs w:val="false"/>
                <w:color w:val="222222"/>
                <w:sz w:val="19"/>
                <w:szCs w:val="19"/>
              </w:rPr>
              <w:t xml:space="preserve">Lookup questions answered by a single passage</w:t>
            </w:r>
          </w:p>
        </w:tc>
        <w:tc>
          <w:tcPr>
            <w:tcW w:type="dxa" w:w="1500"/>
            <w:tcMar>
              <w:top w:type="dxa" w:w="90"/>
              <w:left w:type="dxa" w:w="120"/>
              <w:bottom w:type="dxa" w:w="90"/>
              <w:right w:type="dxa" w:w="120"/>
            </w:tcMar>
          </w:tcPr>
          <w:p>
            <w:pPr>
              <w:spacing w:after="0" w:line="260"/>
            </w:pPr>
            <w:r>
              <w:rPr>
                <w:b w:val="false"/>
                <w:bCs w:val="false"/>
                <w:color w:val="222222"/>
                <w:sz w:val="19"/>
                <w:szCs w:val="19"/>
              </w:rPr>
              <w:t xml:space="preserve">Lowest</w:t>
            </w:r>
          </w:p>
        </w:tc>
      </w:tr>
      <w:tr>
        <w:tc>
          <w:tcPr>
            <w:tcW w:type="dxa" w:w="1500"/>
            <w:tcMar>
              <w:top w:type="dxa" w:w="90"/>
              <w:left w:type="dxa" w:w="120"/>
              <w:bottom w:type="dxa" w:w="90"/>
              <w:right w:type="dxa" w:w="120"/>
            </w:tcMar>
          </w:tcPr>
          <w:p>
            <w:pPr>
              <w:spacing w:after="0" w:line="260"/>
            </w:pPr>
            <w:r>
              <w:rPr>
                <w:b/>
                <w:bCs/>
                <w:color w:val="222222"/>
                <w:sz w:val="19"/>
                <w:szCs w:val="19"/>
              </w:rPr>
              <w:t xml:space="preserve">Graph local</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Anchor on entities mentioned in the query, walk N hops, return neighbour chunks plus the relation path</w:t>
            </w:r>
          </w:p>
        </w:tc>
        <w:tc>
          <w:tcPr>
            <w:tcW w:type="dxa" w:w="2438"/>
            <w:tcMar>
              <w:top w:type="dxa" w:w="90"/>
              <w:left w:type="dxa" w:w="120"/>
              <w:bottom w:type="dxa" w:w="90"/>
              <w:right w:type="dxa" w:w="120"/>
            </w:tcMar>
          </w:tcPr>
          <w:p>
            <w:pPr>
              <w:spacing w:after="0" w:line="260"/>
            </w:pPr>
            <w:r>
              <w:rPr>
                <w:b w:val="false"/>
                <w:bCs w:val="false"/>
                <w:color w:val="222222"/>
                <w:sz w:val="19"/>
                <w:szCs w:val="19"/>
              </w:rPr>
              <w:t xml:space="preserve">Questions whose answer spans related concepts</w:t>
            </w:r>
          </w:p>
        </w:tc>
        <w:tc>
          <w:tcPr>
            <w:tcW w:type="dxa" w:w="1500"/>
            <w:tcMar>
              <w:top w:type="dxa" w:w="90"/>
              <w:left w:type="dxa" w:w="120"/>
              <w:bottom w:type="dxa" w:w="90"/>
              <w:right w:type="dxa" w:w="120"/>
            </w:tcMar>
          </w:tcPr>
          <w:p>
            <w:pPr>
              <w:spacing w:after="0" w:line="260"/>
            </w:pPr>
            <w:r>
              <w:rPr>
                <w:b w:val="false"/>
                <w:bCs w:val="false"/>
                <w:color w:val="222222"/>
                <w:sz w:val="19"/>
                <w:szCs w:val="19"/>
              </w:rPr>
              <w:t xml:space="preserve">Low to medium</w:t>
            </w:r>
          </w:p>
        </w:tc>
      </w:tr>
      <w:tr>
        <w:tc>
          <w:tcPr>
            <w:tcW w:type="dxa" w:w="1500"/>
            <w:tcMar>
              <w:top w:type="dxa" w:w="90"/>
              <w:left w:type="dxa" w:w="120"/>
              <w:bottom w:type="dxa" w:w="90"/>
              <w:right w:type="dxa" w:w="120"/>
            </w:tcMar>
          </w:tcPr>
          <w:p>
            <w:pPr>
              <w:spacing w:after="0" w:line="260"/>
            </w:pPr>
            <w:r>
              <w:rPr>
                <w:b/>
                <w:bCs/>
                <w:color w:val="222222"/>
                <w:sz w:val="19"/>
                <w:szCs w:val="19"/>
              </w:rPr>
              <w:t xml:space="preserve">Graph global</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Map over community summaries, reduce to an answer</w:t>
            </w:r>
          </w:p>
        </w:tc>
        <w:tc>
          <w:tcPr>
            <w:tcW w:type="dxa" w:w="2438"/>
            <w:tcMar>
              <w:top w:type="dxa" w:w="90"/>
              <w:left w:type="dxa" w:w="120"/>
              <w:bottom w:type="dxa" w:w="90"/>
              <w:right w:type="dxa" w:w="120"/>
            </w:tcMar>
          </w:tcPr>
          <w:p>
            <w:pPr>
              <w:spacing w:after="0" w:line="260"/>
            </w:pPr>
            <w:r>
              <w:rPr>
                <w:b w:val="false"/>
                <w:bCs w:val="false"/>
                <w:color w:val="222222"/>
                <w:sz w:val="19"/>
                <w:szCs w:val="19"/>
              </w:rPr>
              <w:t xml:space="preserve">Broad, thematic or "what does our policy cover" questions</w:t>
            </w:r>
          </w:p>
        </w:tc>
        <w:tc>
          <w:tcPr>
            <w:tcW w:type="dxa" w:w="1500"/>
            <w:tcMar>
              <w:top w:type="dxa" w:w="90"/>
              <w:left w:type="dxa" w:w="120"/>
              <w:bottom w:type="dxa" w:w="90"/>
              <w:right w:type="dxa" w:w="120"/>
            </w:tcMar>
          </w:tcPr>
          <w:p>
            <w:pPr>
              <w:spacing w:after="0" w:line="260"/>
            </w:pPr>
            <w:r>
              <w:rPr>
                <w:b w:val="false"/>
                <w:bCs w:val="false"/>
                <w:color w:val="222222"/>
                <w:sz w:val="19"/>
                <w:szCs w:val="19"/>
              </w:rPr>
              <w:t xml:space="preserve">Highest</w:t>
            </w:r>
          </w:p>
        </w:tc>
      </w:tr>
      <w:tr>
        <w:tc>
          <w:tcPr>
            <w:tcW w:type="dxa" w:w="1500"/>
            <w:tcMar>
              <w:top w:type="dxa" w:w="90"/>
              <w:left w:type="dxa" w:w="120"/>
              <w:bottom w:type="dxa" w:w="90"/>
              <w:right w:type="dxa" w:w="120"/>
            </w:tcMar>
          </w:tcPr>
          <w:p>
            <w:pPr>
              <w:spacing w:after="0" w:line="260"/>
            </w:pPr>
            <w:r>
              <w:rPr>
                <w:b/>
                <w:bCs/>
                <w:color w:val="222222"/>
                <w:sz w:val="19"/>
                <w:szCs w:val="19"/>
              </w:rPr>
              <w:t xml:space="preserve">Hybrid</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Vector recall, then graph expansion of the top entities, then rerank</w:t>
            </w:r>
          </w:p>
        </w:tc>
        <w:tc>
          <w:tcPr>
            <w:tcW w:type="dxa" w:w="2438"/>
            <w:tcMar>
              <w:top w:type="dxa" w:w="90"/>
              <w:left w:type="dxa" w:w="120"/>
              <w:bottom w:type="dxa" w:w="90"/>
              <w:right w:type="dxa" w:w="120"/>
            </w:tcMar>
          </w:tcPr>
          <w:p>
            <w:pPr>
              <w:spacing w:after="0" w:line="260"/>
            </w:pPr>
            <w:r>
              <w:rPr>
                <w:b w:val="false"/>
                <w:bCs w:val="false"/>
                <w:color w:val="222222"/>
                <w:sz w:val="19"/>
                <w:szCs w:val="19"/>
              </w:rPr>
              <w:t xml:space="preserve">Default when the query classifier is uncertain</w:t>
            </w:r>
          </w:p>
        </w:tc>
        <w:tc>
          <w:tcPr>
            <w:tcW w:type="dxa" w:w="1500"/>
            <w:tcMar>
              <w:top w:type="dxa" w:w="90"/>
              <w:left w:type="dxa" w:w="120"/>
              <w:bottom w:type="dxa" w:w="90"/>
              <w:right w:type="dxa" w:w="120"/>
            </w:tcMar>
          </w:tcPr>
          <w:p>
            <w:pPr>
              <w:spacing w:after="0" w:line="260"/>
            </w:pPr>
            <w:r>
              <w:rPr>
                <w:b w:val="false"/>
                <w:bCs w:val="false"/>
                <w:color w:val="222222"/>
                <w:sz w:val="19"/>
                <w:szCs w:val="19"/>
              </w:rPr>
              <w:t xml:space="preserve">Medium</w:t>
            </w:r>
          </w:p>
        </w:tc>
      </w:tr>
    </w:tbl>
    <w:p>
      <w:pPr>
        <w:spacing w:after="200"/>
      </w:pPr>
    </w:p>
    <w:p>
      <w:pPr>
        <w:spacing w:after="60" w:before="120" w:line="240" w:lineRule="auto"/>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00350"/>
                    </a:xfrm>
                    <a:prstGeom prst="rect">
                      <a:avLst/>
                    </a:prstGeom>
                  </pic:spPr>
                </pic:pic>
              </a:graphicData>
            </a:graphic>
          </wp:inline>
        </w:drawing>
      </w:r>
    </w:p>
    <w:p>
      <w:pPr>
        <w:spacing w:after="240"/>
        <w:jc w:val="center"/>
      </w:pPr>
      <w:r>
        <w:rPr>
          <w:i/>
          <w:iCs/>
          <w:color w:val="6E6E6E"/>
          <w:sz w:val="17"/>
          <w:szCs w:val="17"/>
        </w:rPr>
        <w:t xml:space="preserve">Figure 5 — Retrieval playground comparing three strategies on one query, with groundedness, latency and cost per strategy.</w:t>
      </w:r>
    </w:p>
    <w:p>
      <w:pPr>
        <w:pStyle w:val="Heading2"/>
        <w:spacing w:after="150" w:before="300"/>
      </w:pPr>
      <w:r>
        <w:rPr>
          <w:b/>
          <w:bCs/>
          <w:color w:val="222222"/>
          <w:sz w:val="25"/>
          <w:szCs w:val="25"/>
        </w:rPr>
        <w:t xml:space="preserve">7.5 The retrieval agent</w:t>
      </w:r>
    </w:p>
    <w:p>
      <w:pPr>
        <w:spacing w:after="140" w:line="300" w:lineRule="auto"/>
      </w:pPr>
      <w:r>
        <w:rPr>
          <w:color w:val="222222"/>
          <w:sz w:val="21"/>
          <w:szCs w:val="21"/>
        </w:rPr>
        <w:t xml:space="preserve">Retrieval is not a single call. An effective retrieval agent plans, retrieves, assesses whether what it has is sufficient, expands if not, and answers with citations — bounded so that it cannot loop.</w:t>
      </w:r>
    </w:p>
    <w:p>
      <w:pPr>
        <w:spacing w:after="60" w:line="300" w:lineRule="auto"/>
      </w:pPr>
      <w:r>
        <w:rPr>
          <w:i/>
          <w:iCs/>
          <w:color w:val="6E6E6E"/>
          <w:sz w:val="18"/>
          <w:szCs w:val="18"/>
        </w:rPr>
        <w:t xml:space="preserve">Retrieval configuration, expressed in the same version YAML as everything else.</w:t>
      </w:r>
    </w:p>
    <w:tbl>
      <w:tblPr>
        <w:tblW w:type="dxa" w:w="9638"/>
        <w:tblBorders>
          <w:top w:val="single" w:color="CFCFCF" w:sz="2"/>
          <w:left w:val="single" w:color="CFCFCF" w:sz="2"/>
          <w:bottom w:val="single" w:color="CFCFCF" w:sz="2"/>
          <w:right w:val="single" w:color="CFCFCF" w:sz="2"/>
          <w:insideH w:val="none"/>
          <w:insideV w:val="none"/>
        </w:tblBorders>
      </w:tblPr>
      <w:tblGrid>
        <w:gridCol w:w="9638"/>
      </w:tblGrid>
      <w:tr>
        <w:tc>
          <w:tcPr>
            <w:tcW w:type="dxa" w:w="9638"/>
            <w:shd w:fill="FAFAF8" w:val="clear"/>
            <w:tcMar>
              <w:top w:type="dxa" w:w="140"/>
              <w:left w:type="dxa" w:w="160"/>
              <w:bottom w:type="dxa" w:w="140"/>
              <w:right w:type="dxa" w:w="160"/>
            </w:tcMar>
          </w:tcPr>
          <w:p>
            <w:pPr>
              <w:spacing w:after="0" w:line="250"/>
            </w:pPr>
            <w:r>
              <w:rPr>
                <w:rFonts w:ascii="Consolas" w:cs="Consolas" w:eastAsia="Consolas" w:hAnsi="Consolas"/>
                <w:color w:val="3C3C3C"/>
                <w:sz w:val="17"/>
                <w:szCs w:val="17"/>
              </w:rPr>
              <w:t xml:space="preserve">kind: agentVersion</w:t>
            </w:r>
          </w:p>
          <w:p>
            <w:pPr>
              <w:spacing w:after="0" w:line="250"/>
            </w:pPr>
            <w:r>
              <w:rPr>
                <w:rFonts w:ascii="Consolas" w:cs="Consolas" w:eastAsia="Consolas" w:hAnsi="Consolas"/>
                <w:color w:val="3C3C3C"/>
                <w:sz w:val="17"/>
                <w:szCs w:val="17"/>
              </w:rPr>
              <w:t xml:space="preserve">name: retrieval_agent</w:t>
            </w:r>
          </w:p>
          <w:p>
            <w:pPr>
              <w:spacing w:after="0" w:line="250"/>
            </w:pPr>
            <w:r>
              <w:rPr>
                <w:rFonts w:ascii="Consolas" w:cs="Consolas" w:eastAsia="Consolas" w:hAnsi="Consolas"/>
                <w:color w:val="3C3C3C"/>
                <w:sz w:val="17"/>
                <w:szCs w:val="17"/>
              </w:rPr>
              <w:t xml:space="preserve">modelRoute: chat.primary          # answering</w:t>
            </w:r>
          </w:p>
          <w:p>
            <w:pPr>
              <w:spacing w:after="0" w:line="250"/>
            </w:pPr>
            <w:r>
              <w:rPr>
                <w:rFonts w:ascii="Consolas" w:cs="Consolas" w:eastAsia="Consolas" w:hAnsi="Consolas"/>
                <w:color w:val="3C3C3C"/>
                <w:sz w:val="17"/>
                <w:szCs w:val="17"/>
              </w:rPr>
              <w:t xml:space="preserve">plannerRoute: chat.router         # classification and sufficiency checks</w:t>
            </w:r>
          </w:p>
          <w:p>
            <w:pPr>
              <w:spacing w:after="0" w:line="250"/>
            </w:pPr>
            <w:r>
              <w:rPr>
                <w:rFonts w:ascii="Consolas" w:cs="Consolas" w:eastAsia="Consolas" w:hAnsi="Consolas"/>
                <w:color w:val="3C3C3C"/>
                <w:sz w:val="17"/>
                <w:szCs w:val="17"/>
              </w:rPr>
              <w:t xml:space="preserve">knowledge:</w:t>
            </w:r>
          </w:p>
          <w:p>
            <w:pPr>
              <w:spacing w:after="0" w:line="250"/>
            </w:pPr>
            <w:r>
              <w:rPr>
                <w:rFonts w:ascii="Consolas" w:cs="Consolas" w:eastAsia="Consolas" w:hAnsi="Consolas"/>
                <w:color w:val="3C3C3C"/>
                <w:sz w:val="17"/>
                <w:szCs w:val="17"/>
              </w:rPr>
              <w:t xml:space="preserve">  collections: [billing_policy@12, legal@4]</w:t>
            </w:r>
          </w:p>
          <w:p>
            <w:pPr>
              <w:spacing w:after="0" w:line="250"/>
            </w:pPr>
            <w:r>
              <w:rPr>
                <w:rFonts w:ascii="Consolas" w:cs="Consolas" w:eastAsia="Consolas" w:hAnsi="Consolas"/>
                <w:color w:val="3C3C3C"/>
                <w:sz w:val="17"/>
                <w:szCs w:val="17"/>
              </w:rPr>
              <w:t xml:space="preserve">  strategy: auto                  # vector | local | global | hybrid | auto</w:t>
            </w:r>
          </w:p>
          <w:p>
            <w:pPr>
              <w:spacing w:after="0" w:line="250"/>
            </w:pPr>
            <w:r>
              <w:rPr>
                <w:rFonts w:ascii="Consolas" w:cs="Consolas" w:eastAsia="Consolas" w:hAnsi="Consolas"/>
                <w:color w:val="3C3C3C"/>
                <w:sz w:val="17"/>
                <w:szCs w:val="17"/>
              </w:rPr>
              <w:t xml:space="preserve">  maxHops: 2</w:t>
            </w:r>
          </w:p>
          <w:p>
            <w:pPr>
              <w:spacing w:after="0" w:line="250"/>
            </w:pPr>
            <w:r>
              <w:rPr>
                <w:rFonts w:ascii="Consolas" w:cs="Consolas" w:eastAsia="Consolas" w:hAnsi="Consolas"/>
                <w:color w:val="3C3C3C"/>
                <w:sz w:val="17"/>
                <w:szCs w:val="17"/>
              </w:rPr>
              <w:t xml:space="preserve">  maxExpansions: 3</w:t>
            </w:r>
          </w:p>
          <w:p>
            <w:pPr>
              <w:spacing w:after="0" w:line="250"/>
            </w:pPr>
            <w:r>
              <w:rPr>
                <w:rFonts w:ascii="Consolas" w:cs="Consolas" w:eastAsia="Consolas" w:hAnsi="Consolas"/>
                <w:color w:val="3C3C3C"/>
                <w:sz w:val="17"/>
                <w:szCs w:val="17"/>
              </w:rPr>
              <w:t xml:space="preserve">  minCitations: 1</w:t>
            </w:r>
          </w:p>
          <w:p>
            <w:pPr>
              <w:spacing w:after="0" w:line="250"/>
            </w:pPr>
            <w:r>
              <w:rPr>
                <w:rFonts w:ascii="Consolas" w:cs="Consolas" w:eastAsia="Consolas" w:hAnsi="Consolas"/>
                <w:color w:val="3C3C3C"/>
                <w:sz w:val="17"/>
                <w:szCs w:val="17"/>
              </w:rPr>
              <w:t xml:space="preserve">  refuseWhenUngrounded: true</w:t>
            </w:r>
          </w:p>
          <w:p>
            <w:pPr>
              <w:spacing w:after="0" w:line="250"/>
            </w:pPr>
            <w:r>
              <w:rPr>
                <w:rFonts w:ascii="Consolas" w:cs="Consolas" w:eastAsia="Consolas" w:hAnsi="Consolas"/>
                <w:color w:val="3C3C3C"/>
                <w:sz w:val="17"/>
                <w:szCs w:val="17"/>
              </w:rPr>
              <w:t xml:space="preserve">budget:</w:t>
            </w:r>
          </w:p>
          <w:p>
            <w:pPr>
              <w:spacing w:after="0" w:line="250"/>
            </w:pPr>
            <w:r>
              <w:rPr>
                <w:rFonts w:ascii="Consolas" w:cs="Consolas" w:eastAsia="Consolas" w:hAnsi="Consolas"/>
                <w:color w:val="3C3C3C"/>
                <w:sz w:val="17"/>
                <w:szCs w:val="17"/>
              </w:rPr>
              <w:t xml:space="preserve">  usdPerTurn: 0.02</w:t>
            </w:r>
          </w:p>
          <w:p>
            <w:pPr>
              <w:spacing w:after="0" w:line="250"/>
            </w:pPr>
            <w:r>
              <w:rPr>
                <w:rFonts w:ascii="Consolas" w:cs="Consolas" w:eastAsia="Consolas" w:hAnsi="Consolas"/>
                <w:color w:val="3C3C3C"/>
                <w:sz w:val="17"/>
                <w:szCs w:val="17"/>
              </w:rPr>
              <w:t xml:space="preserve">  seconds: 8</w:t>
            </w:r>
          </w:p>
        </w:tc>
      </w:tr>
    </w:tbl>
    <w:p>
      <w:pPr>
        <w:spacing w:after="200"/>
      </w:pPr>
    </w:p>
    <w:p>
      <w:pPr>
        <w:pStyle w:val="ListParagraph"/>
        <w:numPr>
          <w:ilvl w:val="0"/>
          <w:numId w:val="2"/>
        </w:numPr>
        <w:spacing w:after="90" w:line="290" w:lineRule="auto"/>
      </w:pPr>
      <w:r>
        <w:rPr>
          <w:color w:val="222222"/>
          <w:sz w:val="21"/>
          <w:szCs w:val="21"/>
        </w:rPr>
        <w:t xml:space="preserve">Query classification chooses the strategy: narrow entity questions go local, broad thematic questions go global, and anything without a graph anchor falls back to vector.</w:t>
      </w:r>
    </w:p>
    <w:p>
      <w:pPr>
        <w:pStyle w:val="ListParagraph"/>
        <w:numPr>
          <w:ilvl w:val="0"/>
          <w:numId w:val="2"/>
        </w:numPr>
        <w:spacing w:after="90" w:line="290" w:lineRule="auto"/>
      </w:pPr>
      <w:r>
        <w:rPr>
          <w:color w:val="222222"/>
          <w:sz w:val="21"/>
          <w:szCs w:val="21"/>
        </w:rPr>
        <w:t xml:space="preserve">A sufficiency check after each retrieval decides whether to expand another hop or answer. Expansion is capped, so retrieval cannot loop indefinitely.</w:t>
      </w:r>
    </w:p>
    <w:p>
      <w:pPr>
        <w:pStyle w:val="ListParagraph"/>
        <w:numPr>
          <w:ilvl w:val="0"/>
          <w:numId w:val="2"/>
        </w:numPr>
        <w:spacing w:after="90" w:line="290" w:lineRule="auto"/>
      </w:pPr>
      <w:r>
        <w:rPr>
          <w:color w:val="222222"/>
          <w:sz w:val="21"/>
          <w:szCs w:val="21"/>
        </w:rPr>
        <w:t xml:space="preserve">refuseWhenUngrounded is the single most valuable setting in this block. An agent that says it does not know is worth more than one that fills the gap, and this is enforced by the runtime rejecting an answer with no citations, not by asking the model nicely.</w:t>
      </w:r>
    </w:p>
    <w:p>
      <w:pPr>
        <w:pStyle w:val="ListParagraph"/>
        <w:numPr>
          <w:ilvl w:val="0"/>
          <w:numId w:val="2"/>
        </w:numPr>
        <w:spacing w:after="90" w:line="290" w:lineRule="auto"/>
      </w:pPr>
      <w:r>
        <w:rPr>
          <w:color w:val="222222"/>
          <w:sz w:val="21"/>
          <w:szCs w:val="21"/>
        </w:rPr>
        <w:t xml:space="preserve">Citations are returned as structured references — collection, document, chunk and, for graph retrieval, the relation path — and rendered in Conversations, Runtime Traces and the customer widget.</w:t>
      </w:r>
    </w:p>
    <w:p>
      <w:pPr>
        <w:pStyle w:val="Heading2"/>
        <w:spacing w:after="150" w:before="300"/>
      </w:pPr>
      <w:r>
        <w:rPr>
          <w:b/>
          <w:bCs/>
          <w:color w:val="222222"/>
          <w:sz w:val="25"/>
          <w:szCs w:val="25"/>
        </w:rPr>
        <w:t xml:space="preserve">7.6 Governance</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1800"/>
        <w:gridCol w:w="7838"/>
      </w:tblGrid>
      <w:tr>
        <w:trPr>
          <w:tblHeader/>
        </w:trPr>
        <w:tc>
          <w:tcPr>
            <w:tcW w:type="dxa" w:w="1800"/>
            <w:shd w:fill="F3F3F1" w:val="clear"/>
            <w:tcMar>
              <w:top w:type="dxa" w:w="90"/>
              <w:left w:type="dxa" w:w="120"/>
              <w:bottom w:type="dxa" w:w="90"/>
              <w:right w:type="dxa" w:w="120"/>
            </w:tcMar>
          </w:tcPr>
          <w:p>
            <w:pPr>
              <w:spacing w:after="0" w:line="260"/>
            </w:pPr>
            <w:r>
              <w:rPr>
                <w:b/>
                <w:bCs/>
                <w:color w:val="6E6E6E"/>
                <w:sz w:val="17"/>
                <w:szCs w:val="17"/>
              </w:rPr>
              <w:t xml:space="preserve">Concern</w:t>
            </w:r>
          </w:p>
        </w:tc>
        <w:tc>
          <w:tcPr>
            <w:tcW w:type="dxa" w:w="7838"/>
            <w:shd w:fill="F3F3F1" w:val="clear"/>
            <w:tcMar>
              <w:top w:type="dxa" w:w="90"/>
              <w:left w:type="dxa" w:w="120"/>
              <w:bottom w:type="dxa" w:w="90"/>
              <w:right w:type="dxa" w:w="120"/>
            </w:tcMar>
          </w:tcPr>
          <w:p>
            <w:pPr>
              <w:spacing w:after="0" w:line="260"/>
            </w:pPr>
            <w:r>
              <w:rPr>
                <w:b/>
                <w:bCs/>
                <w:color w:val="6E6E6E"/>
                <w:sz w:val="17"/>
                <w:szCs w:val="17"/>
              </w:rPr>
              <w:t xml:space="preserve">Rule</w:t>
            </w:r>
          </w:p>
        </w:tc>
      </w:tr>
      <w:tr>
        <w:tc>
          <w:tcPr>
            <w:tcW w:type="dxa" w:w="1800"/>
            <w:tcMar>
              <w:top w:type="dxa" w:w="90"/>
              <w:left w:type="dxa" w:w="120"/>
              <w:bottom w:type="dxa" w:w="90"/>
              <w:right w:type="dxa" w:w="120"/>
            </w:tcMar>
          </w:tcPr>
          <w:p>
            <w:pPr>
              <w:spacing w:after="0" w:line="260"/>
            </w:pPr>
            <w:r>
              <w:rPr>
                <w:b/>
                <w:bCs/>
                <w:color w:val="222222"/>
                <w:sz w:val="19"/>
                <w:szCs w:val="19"/>
              </w:rPr>
              <w:t xml:space="preserve">Access control</w:t>
            </w:r>
          </w:p>
        </w:tc>
        <w:tc>
          <w:tcPr>
            <w:tcW w:type="dxa" w:w="7838"/>
            <w:tcMar>
              <w:top w:type="dxa" w:w="90"/>
              <w:left w:type="dxa" w:w="120"/>
              <w:bottom w:type="dxa" w:w="90"/>
              <w:right w:type="dxa" w:w="120"/>
            </w:tcMar>
          </w:tcPr>
          <w:p>
            <w:pPr>
              <w:spacing w:after="0" w:line="260"/>
            </w:pPr>
            <w:r>
              <w:rPr>
                <w:b w:val="false"/>
                <w:bCs w:val="false"/>
                <w:color w:val="222222"/>
                <w:sz w:val="19"/>
                <w:szCs w:val="19"/>
              </w:rPr>
              <w:t xml:space="preserve">Source ACLs are captured at ingestion and carried to every chunk, entity and edge. Retrieval filters by the requesting agent's scope before ranking, never after. A chunk the caller may not see must not influence the ranking of chunks it may.</w:t>
            </w:r>
          </w:p>
        </w:tc>
      </w:tr>
      <w:tr>
        <w:tc>
          <w:tcPr>
            <w:tcW w:type="dxa" w:w="1800"/>
            <w:tcMar>
              <w:top w:type="dxa" w:w="90"/>
              <w:left w:type="dxa" w:w="120"/>
              <w:bottom w:type="dxa" w:w="90"/>
              <w:right w:type="dxa" w:w="120"/>
            </w:tcMar>
          </w:tcPr>
          <w:p>
            <w:pPr>
              <w:spacing w:after="0" w:line="260"/>
            </w:pPr>
            <w:r>
              <w:rPr>
                <w:b/>
                <w:bCs/>
                <w:color w:val="222222"/>
                <w:sz w:val="19"/>
                <w:szCs w:val="19"/>
              </w:rPr>
              <w:t xml:space="preserve">PII</w:t>
            </w:r>
          </w:p>
        </w:tc>
        <w:tc>
          <w:tcPr>
            <w:tcW w:type="dxa" w:w="7838"/>
            <w:tcMar>
              <w:top w:type="dxa" w:w="90"/>
              <w:left w:type="dxa" w:w="120"/>
              <w:bottom w:type="dxa" w:w="90"/>
              <w:right w:type="dxa" w:w="120"/>
            </w:tcMar>
          </w:tcPr>
          <w:p>
            <w:pPr>
              <w:spacing w:after="0" w:line="260"/>
            </w:pPr>
            <w:r>
              <w:rPr>
                <w:b w:val="false"/>
                <w:bCs w:val="false"/>
                <w:color w:val="222222"/>
                <w:sz w:val="19"/>
                <w:szCs w:val="19"/>
              </w:rPr>
              <w:t xml:space="preserve">Tenant PII detection rules run at ingestion. Detected entities are masked at index time according to the masking-context matrix for the collection's trust level, and re-evaluated at read time for the requesting agent's trust level.</w:t>
            </w:r>
          </w:p>
        </w:tc>
      </w:tr>
      <w:tr>
        <w:tc>
          <w:tcPr>
            <w:tcW w:type="dxa" w:w="1800"/>
            <w:tcMar>
              <w:top w:type="dxa" w:w="90"/>
              <w:left w:type="dxa" w:w="120"/>
              <w:bottom w:type="dxa" w:w="90"/>
              <w:right w:type="dxa" w:w="120"/>
            </w:tcMar>
          </w:tcPr>
          <w:p>
            <w:pPr>
              <w:spacing w:after="0" w:line="260"/>
            </w:pPr>
            <w:r>
              <w:rPr>
                <w:b/>
                <w:bCs/>
                <w:color w:val="222222"/>
                <w:sz w:val="19"/>
                <w:szCs w:val="19"/>
              </w:rPr>
              <w:t xml:space="preserve">Residency</w:t>
            </w:r>
          </w:p>
        </w:tc>
        <w:tc>
          <w:tcPr>
            <w:tcW w:type="dxa" w:w="7838"/>
            <w:tcMar>
              <w:top w:type="dxa" w:w="90"/>
              <w:left w:type="dxa" w:w="120"/>
              <w:bottom w:type="dxa" w:w="90"/>
              <w:right w:type="dxa" w:w="120"/>
            </w:tcMar>
          </w:tcPr>
          <w:p>
            <w:pPr>
              <w:spacing w:after="0" w:line="260"/>
            </w:pPr>
            <w:r>
              <w:rPr>
                <w:b w:val="false"/>
                <w:bCs w:val="false"/>
                <w:color w:val="222222"/>
                <w:sz w:val="19"/>
                <w:szCs w:val="19"/>
              </w:rPr>
              <w:t xml:space="preserve">The index, the graph store and the embedding provider must all satisfy the tenant's storage region and out-of-region inference setting. A route that would send chunks out of region is rejected at collection configuration time.</w:t>
            </w:r>
          </w:p>
        </w:tc>
      </w:tr>
      <w:tr>
        <w:tc>
          <w:tcPr>
            <w:tcW w:type="dxa" w:w="1800"/>
            <w:tcMar>
              <w:top w:type="dxa" w:w="90"/>
              <w:left w:type="dxa" w:w="120"/>
              <w:bottom w:type="dxa" w:w="90"/>
              <w:right w:type="dxa" w:w="120"/>
            </w:tcMar>
          </w:tcPr>
          <w:p>
            <w:pPr>
              <w:spacing w:after="0" w:line="260"/>
            </w:pPr>
            <w:r>
              <w:rPr>
                <w:b/>
                <w:bCs/>
                <w:color w:val="222222"/>
                <w:sz w:val="19"/>
                <w:szCs w:val="19"/>
              </w:rPr>
              <w:t xml:space="preserve">Retention</w:t>
            </w:r>
          </w:p>
        </w:tc>
        <w:tc>
          <w:tcPr>
            <w:tcW w:type="dxa" w:w="7838"/>
            <w:tcMar>
              <w:top w:type="dxa" w:w="90"/>
              <w:left w:type="dxa" w:w="120"/>
              <w:bottom w:type="dxa" w:w="90"/>
              <w:right w:type="dxa" w:w="120"/>
            </w:tcMar>
          </w:tcPr>
          <w:p>
            <w:pPr>
              <w:spacing w:after="0" w:line="260"/>
            </w:pPr>
            <w:r>
              <w:rPr>
                <w:b w:val="false"/>
                <w:bCs w:val="false"/>
                <w:color w:val="222222"/>
                <w:sz w:val="19"/>
                <w:szCs w:val="19"/>
              </w:rPr>
              <w:t xml:space="preserve">Collections inherit the tenant retention policy. A purged source removes its chunks, its extracted entities where they have no other provenance, and triggers community re-summarisation.</w:t>
            </w:r>
          </w:p>
        </w:tc>
      </w:tr>
      <w:tr>
        <w:tc>
          <w:tcPr>
            <w:tcW w:type="dxa" w:w="1800"/>
            <w:tcMar>
              <w:top w:type="dxa" w:w="90"/>
              <w:left w:type="dxa" w:w="120"/>
              <w:bottom w:type="dxa" w:w="90"/>
              <w:right w:type="dxa" w:w="120"/>
            </w:tcMar>
          </w:tcPr>
          <w:p>
            <w:pPr>
              <w:spacing w:after="0" w:line="260"/>
            </w:pPr>
            <w:r>
              <w:rPr>
                <w:b/>
                <w:bCs/>
                <w:color w:val="222222"/>
                <w:sz w:val="19"/>
                <w:szCs w:val="19"/>
              </w:rPr>
              <w:t xml:space="preserve">Freshness</w:t>
            </w:r>
          </w:p>
        </w:tc>
        <w:tc>
          <w:tcPr>
            <w:tcW w:type="dxa" w:w="7838"/>
            <w:tcMar>
              <w:top w:type="dxa" w:w="90"/>
              <w:left w:type="dxa" w:w="120"/>
              <w:bottom w:type="dxa" w:w="90"/>
              <w:right w:type="dxa" w:w="120"/>
            </w:tcMar>
          </w:tcPr>
          <w:p>
            <w:pPr>
              <w:spacing w:after="0" w:line="260"/>
            </w:pPr>
            <w:r>
              <w:rPr>
                <w:b w:val="false"/>
                <w:bCs w:val="false"/>
                <w:color w:val="222222"/>
                <w:sz w:val="19"/>
                <w:szCs w:val="19"/>
              </w:rPr>
              <w:t xml:space="preserve">Incremental re-ingestion with delta entity resolution. Collections show a staleness badge; an agent version can declare a maximum acceptable staleness and refuse rather than answer from a stale index.</w:t>
            </w:r>
          </w:p>
        </w:tc>
      </w:tr>
      <w:tr>
        <w:tc>
          <w:tcPr>
            <w:tcW w:type="dxa" w:w="1800"/>
            <w:tcMar>
              <w:top w:type="dxa" w:w="90"/>
              <w:left w:type="dxa" w:w="120"/>
              <w:bottom w:type="dxa" w:w="90"/>
              <w:right w:type="dxa" w:w="120"/>
            </w:tcMar>
          </w:tcPr>
          <w:p>
            <w:pPr>
              <w:spacing w:after="0" w:line="260"/>
            </w:pPr>
            <w:r>
              <w:rPr>
                <w:b/>
                <w:bCs/>
                <w:color w:val="222222"/>
                <w:sz w:val="19"/>
                <w:szCs w:val="19"/>
              </w:rPr>
              <w:t xml:space="preserve">Coverage</w:t>
            </w:r>
          </w:p>
        </w:tc>
        <w:tc>
          <w:tcPr>
            <w:tcW w:type="dxa" w:w="7838"/>
            <w:tcMar>
              <w:top w:type="dxa" w:w="90"/>
              <w:left w:type="dxa" w:w="120"/>
              <w:bottom w:type="dxa" w:w="90"/>
              <w:right w:type="dxa" w:w="120"/>
            </w:tcMar>
          </w:tcPr>
          <w:p>
            <w:pPr>
              <w:spacing w:after="0" w:line="260"/>
            </w:pPr>
            <w:r>
              <w:rPr>
                <w:b w:val="false"/>
                <w:bCs w:val="false"/>
                <w:color w:val="222222"/>
                <w:sz w:val="19"/>
                <w:szCs w:val="19"/>
              </w:rPr>
              <w:t xml:space="preserve">A coverage tab reports questions asked in production that retrieved nothing above threshold — the content backlog, generated from real demand rather than guessed.</w:t>
            </w:r>
          </w:p>
        </w:tc>
      </w:tr>
    </w:tbl>
    <w:p>
      <w:pPr>
        <w:spacing w:after="200"/>
      </w:pPr>
    </w:p>
    <w:p>
      <w:pPr>
        <w:pStyle w:val="Heading2"/>
        <w:spacing w:after="150" w:before="300"/>
      </w:pPr>
      <w:r>
        <w:rPr>
          <w:b/>
          <w:bCs/>
          <w:color w:val="222222"/>
          <w:sz w:val="25"/>
          <w:szCs w:val="25"/>
        </w:rPr>
        <w:t xml:space="preserve">7.7 Data model additions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600"/>
        <w:gridCol w:w="7038"/>
      </w:tblGrid>
      <w:tr>
        <w:trPr>
          <w:tblHeader/>
        </w:trPr>
        <w:tc>
          <w:tcPr>
            <w:tcW w:type="dxa" w:w="2600"/>
            <w:shd w:fill="F3F3F1" w:val="clear"/>
            <w:tcMar>
              <w:top w:type="dxa" w:w="90"/>
              <w:left w:type="dxa" w:w="120"/>
              <w:bottom w:type="dxa" w:w="90"/>
              <w:right w:type="dxa" w:w="120"/>
            </w:tcMar>
          </w:tcPr>
          <w:p>
            <w:pPr>
              <w:spacing w:after="0" w:line="260"/>
            </w:pPr>
            <w:r>
              <w:rPr>
                <w:b/>
                <w:bCs/>
                <w:color w:val="6E6E6E"/>
                <w:sz w:val="17"/>
                <w:szCs w:val="17"/>
              </w:rPr>
              <w:t xml:space="preserve">Entity</w:t>
            </w:r>
          </w:p>
        </w:tc>
        <w:tc>
          <w:tcPr>
            <w:tcW w:type="dxa" w:w="7038"/>
            <w:shd w:fill="F3F3F1" w:val="clear"/>
            <w:tcMar>
              <w:top w:type="dxa" w:w="90"/>
              <w:left w:type="dxa" w:w="120"/>
              <w:bottom w:type="dxa" w:w="90"/>
              <w:right w:type="dxa" w:w="120"/>
            </w:tcMar>
          </w:tcPr>
          <w:p>
            <w:pPr>
              <w:spacing w:after="0" w:line="260"/>
            </w:pPr>
            <w:r>
              <w:rPr>
                <w:b/>
                <w:bCs/>
                <w:color w:val="6E6E6E"/>
                <w:sz w:val="17"/>
                <w:szCs w:val="17"/>
              </w:rPr>
              <w:t xml:space="preserve">Key fields</w:t>
            </w:r>
          </w:p>
        </w:tc>
      </w:tr>
      <w:tr>
        <w:tc>
          <w:tcPr>
            <w:tcW w:type="dxa" w:w="2600"/>
            <w:tcMar>
              <w:top w:type="dxa" w:w="90"/>
              <w:left w:type="dxa" w:w="120"/>
              <w:bottom w:type="dxa" w:w="90"/>
              <w:right w:type="dxa" w:w="120"/>
            </w:tcMar>
          </w:tcPr>
          <w:p>
            <w:pPr>
              <w:spacing w:after="0" w:line="260"/>
            </w:pPr>
            <w:r>
              <w:rPr>
                <w:b/>
                <w:bCs/>
                <w:color w:val="222222"/>
                <w:sz w:val="19"/>
                <w:szCs w:val="19"/>
              </w:rPr>
              <w:t xml:space="preserve">knowledge_collection</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tenant_id, name, region, retention_days, trust_level, status</w:t>
            </w:r>
          </w:p>
        </w:tc>
      </w:tr>
      <w:tr>
        <w:tc>
          <w:tcPr>
            <w:tcW w:type="dxa" w:w="2600"/>
            <w:tcMar>
              <w:top w:type="dxa" w:w="90"/>
              <w:left w:type="dxa" w:w="120"/>
              <w:bottom w:type="dxa" w:w="90"/>
              <w:right w:type="dxa" w:w="120"/>
            </w:tcMar>
          </w:tcPr>
          <w:p>
            <w:pPr>
              <w:spacing w:after="0" w:line="260"/>
            </w:pPr>
            <w:r>
              <w:rPr>
                <w:b/>
                <w:bCs/>
                <w:color w:val="222222"/>
                <w:sz w:val="19"/>
                <w:szCs w:val="19"/>
              </w:rPr>
              <w:t xml:space="preserve">knowledge_source</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collection_id, kind (upload|url|mcp_resource|connector), locator, acl_json, last_synced_at</w:t>
            </w:r>
          </w:p>
        </w:tc>
      </w:tr>
      <w:tr>
        <w:tc>
          <w:tcPr>
            <w:tcW w:type="dxa" w:w="2600"/>
            <w:tcMar>
              <w:top w:type="dxa" w:w="90"/>
              <w:left w:type="dxa" w:w="120"/>
              <w:bottom w:type="dxa" w:w="90"/>
              <w:right w:type="dxa" w:w="120"/>
            </w:tcMar>
          </w:tcPr>
          <w:p>
            <w:pPr>
              <w:spacing w:after="0" w:line="260"/>
            </w:pPr>
            <w:r>
              <w:rPr>
                <w:b/>
                <w:bCs/>
                <w:color w:val="222222"/>
                <w:sz w:val="19"/>
                <w:szCs w:val="19"/>
              </w:rPr>
              <w:t xml:space="preserve">knowledge_index_generation</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collection_id, generation, embedding_provider_id, embedding_model_id, dimension, built_at, status</w:t>
            </w:r>
          </w:p>
        </w:tc>
      </w:tr>
      <w:tr>
        <w:tc>
          <w:tcPr>
            <w:tcW w:type="dxa" w:w="2600"/>
            <w:tcMar>
              <w:top w:type="dxa" w:w="90"/>
              <w:left w:type="dxa" w:w="120"/>
              <w:bottom w:type="dxa" w:w="90"/>
              <w:right w:type="dxa" w:w="120"/>
            </w:tcMar>
          </w:tcPr>
          <w:p>
            <w:pPr>
              <w:spacing w:after="0" w:line="260"/>
            </w:pPr>
            <w:r>
              <w:rPr>
                <w:b/>
                <w:bCs/>
                <w:color w:val="222222"/>
                <w:sz w:val="19"/>
                <w:szCs w:val="19"/>
              </w:rPr>
              <w:t xml:space="preserve">knowledge_chunk</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generation_id, source_id, ordinal, text, acl_json, pii_mask_json, vector_ref</w:t>
            </w:r>
          </w:p>
        </w:tc>
      </w:tr>
      <w:tr>
        <w:tc>
          <w:tcPr>
            <w:tcW w:type="dxa" w:w="2600"/>
            <w:tcMar>
              <w:top w:type="dxa" w:w="90"/>
              <w:left w:type="dxa" w:w="120"/>
              <w:bottom w:type="dxa" w:w="90"/>
              <w:right w:type="dxa" w:w="120"/>
            </w:tcMar>
          </w:tcPr>
          <w:p>
            <w:pPr>
              <w:spacing w:after="0" w:line="260"/>
            </w:pPr>
            <w:r>
              <w:rPr>
                <w:b/>
                <w:bCs/>
                <w:color w:val="222222"/>
                <w:sz w:val="19"/>
                <w:szCs w:val="19"/>
              </w:rPr>
              <w:t xml:space="preserve">graph_entity</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generation_id, canonical_name, type, summary, community_id, degree</w:t>
            </w:r>
          </w:p>
        </w:tc>
      </w:tr>
      <w:tr>
        <w:tc>
          <w:tcPr>
            <w:tcW w:type="dxa" w:w="2600"/>
            <w:tcMar>
              <w:top w:type="dxa" w:w="90"/>
              <w:left w:type="dxa" w:w="120"/>
              <w:bottom w:type="dxa" w:w="90"/>
              <w:right w:type="dxa" w:w="120"/>
            </w:tcMar>
          </w:tcPr>
          <w:p>
            <w:pPr>
              <w:spacing w:after="0" w:line="260"/>
            </w:pPr>
            <w:r>
              <w:rPr>
                <w:b/>
                <w:bCs/>
                <w:color w:val="222222"/>
                <w:sz w:val="19"/>
                <w:szCs w:val="19"/>
              </w:rPr>
              <w:t xml:space="preserve">graph_edge</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generation_id, src_entity_id, dst_entity_id, relation, weight, provenance_chunk_id</w:t>
            </w:r>
          </w:p>
        </w:tc>
      </w:tr>
      <w:tr>
        <w:tc>
          <w:tcPr>
            <w:tcW w:type="dxa" w:w="2600"/>
            <w:tcMar>
              <w:top w:type="dxa" w:w="90"/>
              <w:left w:type="dxa" w:w="120"/>
              <w:bottom w:type="dxa" w:w="90"/>
              <w:right w:type="dxa" w:w="120"/>
            </w:tcMar>
          </w:tcPr>
          <w:p>
            <w:pPr>
              <w:spacing w:after="0" w:line="260"/>
            </w:pPr>
            <w:r>
              <w:rPr>
                <w:b/>
                <w:bCs/>
                <w:color w:val="222222"/>
                <w:sz w:val="19"/>
                <w:szCs w:val="19"/>
              </w:rPr>
              <w:t xml:space="preserve">graph_community</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generation_id, level, parent_id, title, summary, entity_count</w:t>
            </w:r>
          </w:p>
        </w:tc>
      </w:tr>
      <w:tr>
        <w:tc>
          <w:tcPr>
            <w:tcW w:type="dxa" w:w="2600"/>
            <w:tcMar>
              <w:top w:type="dxa" w:w="90"/>
              <w:left w:type="dxa" w:w="120"/>
              <w:bottom w:type="dxa" w:w="90"/>
              <w:right w:type="dxa" w:w="120"/>
            </w:tcMar>
          </w:tcPr>
          <w:p>
            <w:pPr>
              <w:spacing w:after="0" w:line="260"/>
            </w:pPr>
            <w:r>
              <w:rPr>
                <w:b/>
                <w:bCs/>
                <w:color w:val="222222"/>
                <w:sz w:val="19"/>
                <w:szCs w:val="19"/>
              </w:rPr>
              <w:t xml:space="preserve">retrieval_event</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conversation_id, agent_version_id, strategy, hops, chunk_ids, citation_ids, latency_ms, cost_usd, grounded</w:t>
            </w:r>
          </w:p>
        </w:tc>
      </w:tr>
    </w:tbl>
    <w:p>
      <w:pPr>
        <w:spacing w:after="200"/>
      </w:pPr>
    </w:p>
    <w:p>
      <w:r>
        <w:br w:type="page"/>
      </w:r>
    </w:p>
    <w:p>
      <w:pPr>
        <w:pStyle w:val="Heading1"/>
        <w:spacing w:after="200" w:before="360"/>
      </w:pPr>
      <w:r>
        <w:rPr>
          <w:b/>
          <w:bCs/>
          <w:color w:val="222222"/>
          <w:sz w:val="30"/>
          <w:szCs w:val="30"/>
        </w:rPr>
        <w:t xml:space="preserve">8. Module C — Skills and the Agent Design Studio</w:t>
      </w:r>
    </w:p>
    <w:p>
      <w:pPr>
        <w:pStyle w:val="Heading2"/>
        <w:spacing w:after="150" w:before="300"/>
      </w:pPr>
      <w:r>
        <w:rPr>
          <w:b/>
          <w:bCs/>
          <w:color w:val="222222"/>
          <w:sz w:val="25"/>
          <w:szCs w:val="25"/>
        </w:rPr>
        <w:t xml:space="preserve">8.1 Skills as the unit of composition</w:t>
      </w:r>
    </w:p>
    <w:p>
      <w:pPr>
        <w:spacing w:after="140" w:line="300" w:lineRule="auto"/>
      </w:pPr>
      <w:r>
        <w:rPr>
          <w:color w:val="222222"/>
          <w:sz w:val="21"/>
          <w:szCs w:val="21"/>
        </w:rPr>
        <w:t xml:space="preserve">Version authoring today offers Text mode, a raw YAML editor for the full definition, and Design mode, the same content as a structured form, with each mode re-derived from the other so the YAML underneath is always what is validated and saved. That is a good design and it is not the problem. The problem is that there is no reusable unit below a whole agent, so every version is authored from scratch and its eval cases are written separately from the behaviour they test.</w:t>
      </w:r>
    </w:p>
    <w:p>
      <w:pPr>
        <w:spacing w:after="140" w:line="300" w:lineRule="auto"/>
      </w:pPr>
      <w:r>
        <w:rPr>
          <w:color w:val="222222"/>
          <w:sz w:val="21"/>
          <w:szCs w:val="21"/>
        </w:rPr>
        <w:t xml:space="preserve">A skill is a named, versioned bundle of one capability: what triggers it, the tools and knowledge it needs, the instruction fragment that governs it, what success looks like, when to escalate, and the eval cases that prove it works.</w:t>
      </w:r>
    </w:p>
    <w:tbl>
      <w:tblPr>
        <w:tblW w:type="dxa" w:w="9638"/>
        <w:tblBorders>
          <w:top w:val="single" w:color="CFCFCF" w:sz="2"/>
          <w:left w:val="single" w:color="CFCFCF" w:sz="2"/>
          <w:bottom w:val="single" w:color="CFCFCF" w:sz="2"/>
          <w:right w:val="single" w:color="CFCFCF" w:sz="2"/>
          <w:insideH w:val="none"/>
          <w:insideV w:val="none"/>
        </w:tblBorders>
      </w:tblPr>
      <w:tblGrid>
        <w:gridCol w:w="9638"/>
      </w:tblGrid>
      <w:tr>
        <w:tc>
          <w:tcPr>
            <w:tcW w:type="dxa" w:w="9638"/>
            <w:shd w:fill="FAFAF8" w:val="clear"/>
            <w:tcMar>
              <w:top w:type="dxa" w:w="140"/>
              <w:left w:type="dxa" w:w="160"/>
              <w:bottom w:type="dxa" w:w="140"/>
              <w:right w:type="dxa" w:w="160"/>
            </w:tcMar>
          </w:tcPr>
          <w:p>
            <w:pPr>
              <w:spacing w:after="0" w:line="250"/>
            </w:pPr>
            <w:r>
              <w:rPr>
                <w:rFonts w:ascii="Consolas" w:cs="Consolas" w:eastAsia="Consolas" w:hAnsi="Consolas"/>
                <w:color w:val="3C3C3C"/>
                <w:sz w:val="17"/>
                <w:szCs w:val="17"/>
              </w:rPr>
              <w:t xml:space="preserve">kind: skill</w:t>
            </w:r>
          </w:p>
          <w:p>
            <w:pPr>
              <w:spacing w:after="0" w:line="250"/>
            </w:pPr>
            <w:r>
              <w:rPr>
                <w:rFonts w:ascii="Consolas" w:cs="Consolas" w:eastAsia="Consolas" w:hAnsi="Consolas"/>
                <w:color w:val="3C3C3C"/>
                <w:sz w:val="17"/>
                <w:szCs w:val="17"/>
              </w:rPr>
              <w:t xml:space="preserve">name: refund_request</w:t>
            </w:r>
          </w:p>
          <w:p>
            <w:pPr>
              <w:spacing w:after="0" w:line="250"/>
            </w:pPr>
            <w:r>
              <w:rPr>
                <w:rFonts w:ascii="Consolas" w:cs="Consolas" w:eastAsia="Consolas" w:hAnsi="Consolas"/>
                <w:color w:val="3C3C3C"/>
                <w:sz w:val="17"/>
                <w:szCs w:val="17"/>
              </w:rPr>
              <w:t xml:space="preserve">version: 3</w:t>
            </w:r>
          </w:p>
          <w:p>
            <w:pPr>
              <w:spacing w:after="0" w:line="250"/>
            </w:pPr>
            <w:r>
              <w:rPr>
                <w:rFonts w:ascii="Consolas" w:cs="Consolas" w:eastAsia="Consolas" w:hAnsi="Consolas"/>
                <w:color w:val="3C3C3C"/>
                <w:sz w:val="17"/>
                <w:szCs w:val="17"/>
              </w:rPr>
              <w:t xml:space="preserve">trigger: "customer asks to reverse a completed payment"</w:t>
            </w:r>
          </w:p>
          <w:p>
            <w:pPr>
              <w:spacing w:after="0" w:line="250"/>
            </w:pPr>
            <w:r>
              <w:rPr>
                <w:rFonts w:ascii="Consolas" w:cs="Consolas" w:eastAsia="Consolas" w:hAnsi="Consolas"/>
                <w:color w:val="3C3C3C"/>
                <w:sz w:val="17"/>
                <w:szCs w:val="17"/>
              </w:rPr>
              <w:t xml:space="preserve">scope:</w:t>
            </w:r>
          </w:p>
          <w:p>
            <w:pPr>
              <w:spacing w:after="0" w:line="250"/>
            </w:pPr>
            <w:r>
              <w:rPr>
                <w:rFonts w:ascii="Consolas" w:cs="Consolas" w:eastAsia="Consolas" w:hAnsi="Consolas"/>
                <w:color w:val="3C3C3C"/>
                <w:sz w:val="17"/>
                <w:szCs w:val="17"/>
              </w:rPr>
              <w:t xml:space="preserve">  capabilityGroups: [billing]</w:t>
            </w:r>
          </w:p>
          <w:p>
            <w:pPr>
              <w:spacing w:after="0" w:line="250"/>
            </w:pPr>
            <w:r>
              <w:rPr>
                <w:rFonts w:ascii="Consolas" w:cs="Consolas" w:eastAsia="Consolas" w:hAnsi="Consolas"/>
                <w:color w:val="3C3C3C"/>
                <w:sz w:val="17"/>
                <w:szCs w:val="17"/>
              </w:rPr>
              <w:t xml:space="preserve">  tools: [payment.refund@billing_core, invoice.get@billing_core]</w:t>
            </w:r>
          </w:p>
          <w:p>
            <w:pPr>
              <w:spacing w:after="0" w:line="250"/>
            </w:pPr>
            <w:r>
              <w:rPr>
                <w:rFonts w:ascii="Consolas" w:cs="Consolas" w:eastAsia="Consolas" w:hAnsi="Consolas"/>
                <w:color w:val="3C3C3C"/>
                <w:sz w:val="17"/>
                <w:szCs w:val="17"/>
              </w:rPr>
              <w:t xml:space="preserve">  knowledge: [billing_policy]</w:t>
            </w:r>
          </w:p>
          <w:p>
            <w:pPr>
              <w:spacing w:after="0" w:line="250"/>
            </w:pPr>
            <w:r>
              <w:rPr>
                <w:rFonts w:ascii="Consolas" w:cs="Consolas" w:eastAsia="Consolas" w:hAnsi="Consolas"/>
                <w:color w:val="3C3C3C"/>
                <w:sz w:val="17"/>
                <w:szCs w:val="17"/>
              </w:rPr>
              <w:t xml:space="preserve">instructions: |</w:t>
            </w:r>
          </w:p>
          <w:p>
            <w:pPr>
              <w:spacing w:after="0" w:line="250"/>
            </w:pPr>
            <w:r>
              <w:rPr>
                <w:rFonts w:ascii="Consolas" w:cs="Consolas" w:eastAsia="Consolas" w:hAnsi="Consolas"/>
                <w:color w:val="3C3C3C"/>
                <w:sz w:val="17"/>
                <w:szCs w:val="17"/>
              </w:rPr>
              <w:t xml:space="preserve">  Confirm the invoice and the amount before refunding. Never refund</w:t>
            </w:r>
          </w:p>
          <w:p>
            <w:pPr>
              <w:spacing w:after="0" w:line="250"/>
            </w:pPr>
            <w:r>
              <w:rPr>
                <w:rFonts w:ascii="Consolas" w:cs="Consolas" w:eastAsia="Consolas" w:hAnsi="Consolas"/>
                <w:color w:val="3C3C3C"/>
                <w:sz w:val="17"/>
                <w:szCs w:val="17"/>
              </w:rPr>
              <w:t xml:space="preserve">  more than the original charge. State the expected settlement time.</w:t>
            </w:r>
          </w:p>
          <w:p>
            <w:pPr>
              <w:spacing w:after="0" w:line="250"/>
            </w:pPr>
            <w:r>
              <w:rPr>
                <w:rFonts w:ascii="Consolas" w:cs="Consolas" w:eastAsia="Consolas" w:hAnsi="Consolas"/>
                <w:color w:val="3C3C3C"/>
                <w:sz w:val="17"/>
                <w:szCs w:val="17"/>
              </w:rPr>
              <w:t xml:space="preserve">successCriteria: "refund issued, or a stated reason why not"</w:t>
            </w:r>
          </w:p>
          <w:p>
            <w:pPr>
              <w:spacing w:after="0" w:line="250"/>
            </w:pPr>
            <w:r>
              <w:rPr>
                <w:rFonts w:ascii="Consolas" w:cs="Consolas" w:eastAsia="Consolas" w:hAnsi="Consolas"/>
                <w:color w:val="3C3C3C"/>
                <w:sz w:val="17"/>
                <w:szCs w:val="17"/>
              </w:rPr>
              <w:t xml:space="preserve">escalateWhen:</w:t>
            </w:r>
          </w:p>
          <w:p>
            <w:pPr>
              <w:spacing w:after="0" w:line="250"/>
            </w:pPr>
            <w:r>
              <w:rPr>
                <w:rFonts w:ascii="Consolas" w:cs="Consolas" w:eastAsia="Consolas" w:hAnsi="Consolas"/>
                <w:color w:val="3C3C3C"/>
                <w:sz w:val="17"/>
                <w:szCs w:val="17"/>
              </w:rPr>
              <w:t xml:space="preserve">  - "amount &gt; 500"</w:t>
            </w:r>
          </w:p>
          <w:p>
            <w:pPr>
              <w:spacing w:after="0" w:line="250"/>
            </w:pPr>
            <w:r>
              <w:rPr>
                <w:rFonts w:ascii="Consolas" w:cs="Consolas" w:eastAsia="Consolas" w:hAnsi="Consolas"/>
                <w:color w:val="3C3C3C"/>
                <w:sz w:val="17"/>
                <w:szCs w:val="17"/>
              </w:rPr>
              <w:t xml:space="preserve">  - "customer disputes a second time"</w:t>
            </w:r>
          </w:p>
          <w:p>
            <w:pPr>
              <w:spacing w:after="0" w:line="250"/>
            </w:pPr>
            <w:r>
              <w:rPr>
                <w:rFonts w:ascii="Consolas" w:cs="Consolas" w:eastAsia="Consolas" w:hAnsi="Consolas"/>
                <w:color w:val="3C3C3C"/>
                <w:sz w:val="17"/>
                <w:szCs w:val="17"/>
              </w:rPr>
              <w:t xml:space="preserve">evalCases: [ec_refund_happy, ec_refund_partial, ec_refund_refuse, ec_refund_escalate]</w:t>
            </w:r>
          </w:p>
        </w:tc>
      </w:tr>
    </w:tbl>
    <w:p>
      <w:pPr>
        <w:spacing w:after="200"/>
      </w:pPr>
    </w:p>
    <w:p>
      <w:pPr>
        <w:spacing w:after="140" w:line="300" w:lineRule="auto"/>
      </w:pPr>
      <w:r>
        <w:rPr>
          <w:color w:val="222222"/>
          <w:sz w:val="21"/>
          <w:szCs w:val="21"/>
        </w:rPr>
        <w:t xml:space="preserve">Three things follow immediately. Eval suites stop being a separate authoring chore, because composing five skills proposes five happy paths and five refusal cases. Tool scope becomes reviewable per capability rather than as one flat allow-list for a whole agent. And a where-used view makes the blast radius of a change visible before it is made.</w:t>
      </w:r>
    </w:p>
    <w:p>
      <w:pPr>
        <w:spacing w:after="60" w:before="120" w:line="240" w:lineRule="auto"/>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52725"/>
                    </a:xfrm>
                    <a:prstGeom prst="rect">
                      <a:avLst/>
                    </a:prstGeom>
                  </pic:spPr>
                </pic:pic>
              </a:graphicData>
            </a:graphic>
          </wp:inline>
        </w:drawing>
      </w:r>
    </w:p>
    <w:p>
      <w:pPr>
        <w:spacing w:after="240"/>
        <w:jc w:val="center"/>
      </w:pPr>
      <w:r>
        <w:rPr>
          <w:i/>
          <w:iCs/>
          <w:color w:val="6E6E6E"/>
          <w:sz w:val="17"/>
          <w:szCs w:val="17"/>
        </w:rPr>
        <w:t xml:space="preserve">Figure 6 — Skills library with a where-used panel. Consumers stay pinned to the skill version they were composed with.</w:t>
      </w:r>
    </w:p>
    <w:tbl>
      <w:tblPr>
        <w:tblW w:type="dxa" w:w="9638"/>
        <w:tblBorders>
          <w:top w:val="single" w:color="E3DCC8" w:sz="2"/>
          <w:left w:val="single" w:color="E3DCC8" w:sz="2"/>
          <w:bottom w:val="single" w:color="E3DCC8" w:sz="2"/>
          <w:right w:val="single" w:color="E3DCC8" w:sz="2"/>
          <w:insideH w:val="none"/>
          <w:insideV w:val="none"/>
        </w:tblBorders>
      </w:tblPr>
      <w:tblGrid>
        <w:gridCol w:w="9638"/>
      </w:tblGrid>
      <w:tr>
        <w:tc>
          <w:tcPr>
            <w:tcW w:type="dxa" w:w="9638"/>
            <w:shd w:fill="FCFAF4" w:val="clear"/>
            <w:tcMar>
              <w:top w:type="dxa" w:w="150"/>
              <w:left w:type="dxa" w:w="170"/>
              <w:bottom w:type="dxa" w:w="150"/>
              <w:right w:type="dxa" w:w="170"/>
            </w:tcMar>
          </w:tcPr>
          <w:p>
            <w:pPr>
              <w:spacing w:after="80"/>
            </w:pPr>
            <w:r>
              <w:rPr>
                <w:b/>
                <w:bCs/>
                <w:color w:val="8A6D3B"/>
                <w:sz w:val="19"/>
                <w:szCs w:val="19"/>
              </w:rPr>
              <w:t xml:space="preserve">Pinning is what protects immutability</w:t>
            </w:r>
          </w:p>
          <w:p>
            <w:pPr>
              <w:spacing w:after="60" w:line="280"/>
            </w:pPr>
            <w:r>
              <w:rPr>
                <w:color w:val="5C5240"/>
                <w:sz w:val="19"/>
                <w:szCs w:val="19"/>
              </w:rPr>
              <w:t xml:space="preserve">An agent version stores refund_request@3, never refund_request.</w:t>
            </w:r>
          </w:p>
          <w:p>
            <w:pPr>
              <w:spacing w:after="60" w:line="280"/>
            </w:pPr>
            <w:r>
              <w:rPr>
                <w:color w:val="5C5240"/>
                <w:sz w:val="19"/>
                <w:szCs w:val="19"/>
              </w:rPr>
              <w:t xml:space="preserve">Editing a skill creates version 4 and leaves every existing agent version untouched.</w:t>
            </w:r>
          </w:p>
          <w:p>
            <w:pPr>
              <w:spacing w:after="60" w:line="280"/>
            </w:pPr>
            <w:r>
              <w:rPr>
                <w:color w:val="5C5240"/>
                <w:sz w:val="19"/>
                <w:szCs w:val="19"/>
              </w:rPr>
              <w:t xml:space="preserve">The skill detail page offers an "upgrade consumers" action that generates new draft agent versions for each consumer, every one of which goes through the promotion gate normally.</w:t>
            </w:r>
          </w:p>
          <w:p>
            <w:pPr>
              <w:spacing w:after="60" w:line="280"/>
            </w:pPr>
            <w:r>
              <w:rPr>
                <w:color w:val="5C5240"/>
                <w:sz w:val="19"/>
                <w:szCs w:val="19"/>
              </w:rPr>
              <w:t xml:space="preserve">Without this rule, editing a shared skill silently changes the behaviour of agents already approved and running in production.</w:t>
            </w:r>
          </w:p>
        </w:tc>
      </w:tr>
    </w:tbl>
    <w:p>
      <w:pPr>
        <w:spacing w:after="220"/>
      </w:pPr>
    </w:p>
    <w:p>
      <w:pPr>
        <w:pStyle w:val="Heading2"/>
        <w:spacing w:after="150" w:before="300"/>
      </w:pPr>
      <w:r>
        <w:rPr>
          <w:b/>
          <w:bCs/>
          <w:color w:val="222222"/>
          <w:sz w:val="25"/>
          <w:szCs w:val="25"/>
        </w:rPr>
        <w:t xml:space="preserve">8.2 The Agent Design Studio</w:t>
      </w:r>
    </w:p>
    <w:p>
      <w:pPr>
        <w:spacing w:after="140" w:line="300" w:lineRule="auto"/>
      </w:pPr>
      <w:r>
        <w:rPr>
          <w:color w:val="222222"/>
          <w:sz w:val="21"/>
          <w:szCs w:val="21"/>
        </w:rPr>
        <w:t xml:space="preserve">The Studio is a third authoring mode alongside Text and Design, not a replacement for either. It must emit the same YAML, be validated by the same validator, and save the same immutable version. If the Studio can produce anything the schema cannot express, the architecture has been broken.</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100"/>
        <w:gridCol w:w="4400"/>
        <w:gridCol w:w="3138"/>
      </w:tblGrid>
      <w:tr>
        <w:trPr>
          <w:tblHeader/>
        </w:trPr>
        <w:tc>
          <w:tcPr>
            <w:tcW w:type="dxa" w:w="2100"/>
            <w:shd w:fill="F3F3F1" w:val="clear"/>
            <w:tcMar>
              <w:top w:type="dxa" w:w="90"/>
              <w:left w:type="dxa" w:w="120"/>
              <w:bottom w:type="dxa" w:w="90"/>
              <w:right w:type="dxa" w:w="120"/>
            </w:tcMar>
          </w:tcPr>
          <w:p>
            <w:pPr>
              <w:spacing w:after="0" w:line="260"/>
            </w:pPr>
            <w:r>
              <w:rPr>
                <w:b/>
                <w:bCs/>
                <w:color w:val="6E6E6E"/>
                <w:sz w:val="17"/>
                <w:szCs w:val="17"/>
              </w:rPr>
              <w:t xml:space="preserve">Step</w:t>
            </w:r>
          </w:p>
        </w:tc>
        <w:tc>
          <w:tcPr>
            <w:tcW w:type="dxa" w:w="4400"/>
            <w:shd w:fill="F3F3F1" w:val="clear"/>
            <w:tcMar>
              <w:top w:type="dxa" w:w="90"/>
              <w:left w:type="dxa" w:w="120"/>
              <w:bottom w:type="dxa" w:w="90"/>
              <w:right w:type="dxa" w:w="120"/>
            </w:tcMar>
          </w:tcPr>
          <w:p>
            <w:pPr>
              <w:spacing w:after="0" w:line="260"/>
            </w:pPr>
            <w:r>
              <w:rPr>
                <w:b/>
                <w:bCs/>
                <w:color w:val="6E6E6E"/>
                <w:sz w:val="17"/>
                <w:szCs w:val="17"/>
              </w:rPr>
              <w:t xml:space="preserve">Produces</w:t>
            </w:r>
          </w:p>
        </w:tc>
        <w:tc>
          <w:tcPr>
            <w:tcW w:type="dxa" w:w="3138"/>
            <w:shd w:fill="F3F3F1" w:val="clear"/>
            <w:tcMar>
              <w:top w:type="dxa" w:w="90"/>
              <w:left w:type="dxa" w:w="120"/>
              <w:bottom w:type="dxa" w:w="90"/>
              <w:right w:type="dxa" w:w="120"/>
            </w:tcMar>
          </w:tcPr>
          <w:p>
            <w:pPr>
              <w:spacing w:after="0" w:line="260"/>
            </w:pPr>
            <w:r>
              <w:rPr>
                <w:b/>
                <w:bCs/>
                <w:color w:val="6E6E6E"/>
                <w:sz w:val="17"/>
                <w:szCs w:val="17"/>
              </w:rPr>
              <w:t xml:space="preserve">Reuses</w:t>
            </w:r>
          </w:p>
        </w:tc>
      </w:tr>
      <w:tr>
        <w:tc>
          <w:tcPr>
            <w:tcW w:type="dxa" w:w="2100"/>
            <w:tcMar>
              <w:top w:type="dxa" w:w="90"/>
              <w:left w:type="dxa" w:w="120"/>
              <w:bottom w:type="dxa" w:w="90"/>
              <w:right w:type="dxa" w:w="120"/>
            </w:tcMar>
          </w:tcPr>
          <w:p>
            <w:pPr>
              <w:spacing w:after="0" w:line="260"/>
            </w:pPr>
            <w:r>
              <w:rPr>
                <w:b/>
                <w:bCs/>
                <w:color w:val="222222"/>
                <w:sz w:val="19"/>
                <w:szCs w:val="19"/>
              </w:rPr>
              <w:t xml:space="preserve">Purpose and persona</w:t>
            </w:r>
          </w:p>
        </w:tc>
        <w:tc>
          <w:tcPr>
            <w:tcW w:type="dxa" w:w="4400"/>
            <w:tcMar>
              <w:top w:type="dxa" w:w="90"/>
              <w:left w:type="dxa" w:w="120"/>
              <w:bottom w:type="dxa" w:w="90"/>
              <w:right w:type="dxa" w:w="120"/>
            </w:tcMar>
          </w:tcPr>
          <w:p>
            <w:pPr>
              <w:spacing w:after="0" w:line="260"/>
            </w:pPr>
            <w:r>
              <w:rPr>
                <w:b w:val="false"/>
                <w:bCs w:val="false"/>
                <w:color w:val="222222"/>
                <w:sz w:val="19"/>
                <w:szCs w:val="19"/>
              </w:rPr>
              <w:t xml:space="preserve">Name, role, tone, languages, explicit out-of-scope statements</w:t>
            </w:r>
          </w:p>
        </w:tc>
        <w:tc>
          <w:tcPr>
            <w:tcW w:type="dxa" w:w="3138"/>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2100"/>
            <w:tcMar>
              <w:top w:type="dxa" w:w="90"/>
              <w:left w:type="dxa" w:w="120"/>
              <w:bottom w:type="dxa" w:w="90"/>
              <w:right w:type="dxa" w:w="120"/>
            </w:tcMar>
          </w:tcPr>
          <w:p>
            <w:pPr>
              <w:spacing w:after="0" w:line="260"/>
            </w:pPr>
            <w:r>
              <w:rPr>
                <w:b/>
                <w:bCs/>
                <w:color w:val="222222"/>
                <w:sz w:val="19"/>
                <w:szCs w:val="19"/>
              </w:rPr>
              <w:t xml:space="preserve">Audience and channel</w:t>
            </w:r>
          </w:p>
        </w:tc>
        <w:tc>
          <w:tcPr>
            <w:tcW w:type="dxa" w:w="4400"/>
            <w:tcMar>
              <w:top w:type="dxa" w:w="90"/>
              <w:left w:type="dxa" w:w="120"/>
              <w:bottom w:type="dxa" w:w="90"/>
              <w:right w:type="dxa" w:w="120"/>
            </w:tcMar>
          </w:tcPr>
          <w:p>
            <w:pPr>
              <w:spacing w:after="0" w:line="260"/>
            </w:pPr>
            <w:r>
              <w:rPr>
                <w:b w:val="false"/>
                <w:bCs w:val="false"/>
                <w:color w:val="222222"/>
                <w:sz w:val="19"/>
                <w:szCs w:val="19"/>
              </w:rPr>
              <w:t xml:space="preserve">Declared trust level for this agent</w:t>
            </w:r>
          </w:p>
        </w:tc>
        <w:tc>
          <w:tcPr>
            <w:tcW w:type="dxa" w:w="3138"/>
            <w:tcMar>
              <w:top w:type="dxa" w:w="90"/>
              <w:left w:type="dxa" w:w="120"/>
              <w:bottom w:type="dxa" w:w="90"/>
              <w:right w:type="dxa" w:w="120"/>
            </w:tcMar>
          </w:tcPr>
          <w:p>
            <w:pPr>
              <w:spacing w:after="0" w:line="260"/>
            </w:pPr>
            <w:r>
              <w:rPr>
                <w:b w:val="false"/>
                <w:bCs w:val="false"/>
                <w:color w:val="222222"/>
                <w:sz w:val="19"/>
                <w:szCs w:val="19"/>
              </w:rPr>
              <w:t xml:space="preserve">Feeds the PII masking-context matrix</w:t>
            </w:r>
          </w:p>
        </w:tc>
      </w:tr>
      <w:tr>
        <w:tc>
          <w:tcPr>
            <w:tcW w:type="dxa" w:w="2100"/>
            <w:tcMar>
              <w:top w:type="dxa" w:w="90"/>
              <w:left w:type="dxa" w:w="120"/>
              <w:bottom w:type="dxa" w:w="90"/>
              <w:right w:type="dxa" w:w="120"/>
            </w:tcMar>
          </w:tcPr>
          <w:p>
            <w:pPr>
              <w:spacing w:after="0" w:line="260"/>
            </w:pPr>
            <w:r>
              <w:rPr>
                <w:b/>
                <w:bCs/>
                <w:color w:val="222222"/>
                <w:sz w:val="19"/>
                <w:szCs w:val="19"/>
              </w:rPr>
              <w:t xml:space="preserve">Skills</w:t>
            </w:r>
          </w:p>
        </w:tc>
        <w:tc>
          <w:tcPr>
            <w:tcW w:type="dxa" w:w="4400"/>
            <w:tcMar>
              <w:top w:type="dxa" w:w="90"/>
              <w:left w:type="dxa" w:w="120"/>
              <w:bottom w:type="dxa" w:w="90"/>
              <w:right w:type="dxa" w:w="120"/>
            </w:tcMar>
          </w:tcPr>
          <w:p>
            <w:pPr>
              <w:spacing w:after="0" w:line="260"/>
            </w:pPr>
            <w:r>
              <w:rPr>
                <w:b w:val="false"/>
                <w:bCs w:val="false"/>
                <w:color w:val="222222"/>
                <w:sz w:val="19"/>
                <w:szCs w:val="19"/>
              </w:rPr>
              <w:t xml:space="preserve">Composed skill list, pinned by version</w:t>
            </w:r>
          </w:p>
        </w:tc>
        <w:tc>
          <w:tcPr>
            <w:tcW w:type="dxa" w:w="3138"/>
            <w:tcMar>
              <w:top w:type="dxa" w:w="90"/>
              <w:left w:type="dxa" w:w="120"/>
              <w:bottom w:type="dxa" w:w="90"/>
              <w:right w:type="dxa" w:w="120"/>
            </w:tcMar>
          </w:tcPr>
          <w:p>
            <w:pPr>
              <w:spacing w:after="0" w:line="260"/>
            </w:pPr>
            <w:r>
              <w:rPr>
                <w:b w:val="false"/>
                <w:bCs w:val="false"/>
                <w:color w:val="222222"/>
                <w:sz w:val="19"/>
                <w:szCs w:val="19"/>
              </w:rPr>
              <w:t xml:space="preserve">Skills library</w:t>
            </w:r>
          </w:p>
        </w:tc>
      </w:tr>
      <w:tr>
        <w:tc>
          <w:tcPr>
            <w:tcW w:type="dxa" w:w="2100"/>
            <w:tcMar>
              <w:top w:type="dxa" w:w="90"/>
              <w:left w:type="dxa" w:w="120"/>
              <w:bottom w:type="dxa" w:w="90"/>
              <w:right w:type="dxa" w:w="120"/>
            </w:tcMar>
          </w:tcPr>
          <w:p>
            <w:pPr>
              <w:spacing w:after="0" w:line="260"/>
            </w:pPr>
            <w:r>
              <w:rPr>
                <w:b/>
                <w:bCs/>
                <w:color w:val="222222"/>
                <w:sz w:val="19"/>
                <w:szCs w:val="19"/>
              </w:rPr>
              <w:t xml:space="preserve">Tools</w:t>
            </w:r>
          </w:p>
        </w:tc>
        <w:tc>
          <w:tcPr>
            <w:tcW w:type="dxa" w:w="4400"/>
            <w:tcMar>
              <w:top w:type="dxa" w:w="90"/>
              <w:left w:type="dxa" w:w="120"/>
              <w:bottom w:type="dxa" w:w="90"/>
              <w:right w:type="dxa" w:w="120"/>
            </w:tcMar>
          </w:tcPr>
          <w:p>
            <w:pPr>
              <w:spacing w:after="0" w:line="260"/>
            </w:pPr>
            <w:r>
              <w:rPr>
                <w:b w:val="false"/>
                <w:bCs w:val="false"/>
                <w:color w:val="222222"/>
                <w:sz w:val="19"/>
                <w:szCs w:val="19"/>
              </w:rPr>
              <w:t xml:space="preserve">Capability groups and explicit allow/deny rules</w:t>
            </w:r>
          </w:p>
        </w:tc>
        <w:tc>
          <w:tcPr>
            <w:tcW w:type="dxa" w:w="3138"/>
            <w:tcMar>
              <w:top w:type="dxa" w:w="90"/>
              <w:left w:type="dxa" w:w="120"/>
              <w:bottom w:type="dxa" w:w="90"/>
              <w:right w:type="dxa" w:w="120"/>
            </w:tcMar>
          </w:tcPr>
          <w:p>
            <w:pPr>
              <w:spacing w:after="0" w:line="260"/>
            </w:pPr>
            <w:r>
              <w:rPr>
                <w:b w:val="false"/>
                <w:bCs w:val="false"/>
                <w:color w:val="222222"/>
                <w:sz w:val="19"/>
                <w:szCs w:val="19"/>
              </w:rPr>
              <w:t xml:space="preserve">The existing simulate preview from the tool permissions screen</w:t>
            </w:r>
          </w:p>
        </w:tc>
      </w:tr>
      <w:tr>
        <w:tc>
          <w:tcPr>
            <w:tcW w:type="dxa" w:w="2100"/>
            <w:tcMar>
              <w:top w:type="dxa" w:w="90"/>
              <w:left w:type="dxa" w:w="120"/>
              <w:bottom w:type="dxa" w:w="90"/>
              <w:right w:type="dxa" w:w="120"/>
            </w:tcMar>
          </w:tcPr>
          <w:p>
            <w:pPr>
              <w:spacing w:after="0" w:line="260"/>
            </w:pPr>
            <w:r>
              <w:rPr>
                <w:b/>
                <w:bCs/>
                <w:color w:val="222222"/>
                <w:sz w:val="19"/>
                <w:szCs w:val="19"/>
              </w:rPr>
              <w:t xml:space="preserve">Knowledge</w:t>
            </w:r>
          </w:p>
        </w:tc>
        <w:tc>
          <w:tcPr>
            <w:tcW w:type="dxa" w:w="4400"/>
            <w:tcMar>
              <w:top w:type="dxa" w:w="90"/>
              <w:left w:type="dxa" w:w="120"/>
              <w:bottom w:type="dxa" w:w="90"/>
              <w:right w:type="dxa" w:w="120"/>
            </w:tcMar>
          </w:tcPr>
          <w:p>
            <w:pPr>
              <w:spacing w:after="0" w:line="260"/>
            </w:pPr>
            <w:r>
              <w:rPr>
                <w:b w:val="false"/>
                <w:bCs w:val="false"/>
                <w:color w:val="222222"/>
                <w:sz w:val="19"/>
                <w:szCs w:val="19"/>
              </w:rPr>
              <w:t xml:space="preserve">Collection scopes, retrieval strategy, grounding policy</w:t>
            </w:r>
          </w:p>
        </w:tc>
        <w:tc>
          <w:tcPr>
            <w:tcW w:type="dxa" w:w="3138"/>
            <w:tcMar>
              <w:top w:type="dxa" w:w="90"/>
              <w:left w:type="dxa" w:w="120"/>
              <w:bottom w:type="dxa" w:w="90"/>
              <w:right w:type="dxa" w:w="120"/>
            </w:tcMar>
          </w:tcPr>
          <w:p>
            <w:pPr>
              <w:spacing w:after="0" w:line="260"/>
            </w:pPr>
            <w:r>
              <w:rPr>
                <w:b w:val="false"/>
                <w:bCs w:val="false"/>
                <w:color w:val="222222"/>
                <w:sz w:val="19"/>
                <w:szCs w:val="19"/>
              </w:rPr>
              <w:t xml:space="preserve">Module B</w:t>
            </w:r>
          </w:p>
        </w:tc>
      </w:tr>
      <w:tr>
        <w:tc>
          <w:tcPr>
            <w:tcW w:type="dxa" w:w="2100"/>
            <w:tcMar>
              <w:top w:type="dxa" w:w="90"/>
              <w:left w:type="dxa" w:w="120"/>
              <w:bottom w:type="dxa" w:w="90"/>
              <w:right w:type="dxa" w:w="120"/>
            </w:tcMar>
          </w:tcPr>
          <w:p>
            <w:pPr>
              <w:spacing w:after="0" w:line="260"/>
            </w:pPr>
            <w:r>
              <w:rPr>
                <w:b/>
                <w:bCs/>
                <w:color w:val="222222"/>
                <w:sz w:val="19"/>
                <w:szCs w:val="19"/>
              </w:rPr>
              <w:t xml:space="preserve">Guardrails and escalation</w:t>
            </w:r>
          </w:p>
        </w:tc>
        <w:tc>
          <w:tcPr>
            <w:tcW w:type="dxa" w:w="4400"/>
            <w:tcMar>
              <w:top w:type="dxa" w:w="90"/>
              <w:left w:type="dxa" w:w="120"/>
              <w:bottom w:type="dxa" w:w="90"/>
              <w:right w:type="dxa" w:w="120"/>
            </w:tcMar>
          </w:tcPr>
          <w:p>
            <w:pPr>
              <w:spacing w:after="0" w:line="260"/>
            </w:pPr>
            <w:r>
              <w:rPr>
                <w:b w:val="false"/>
                <w:bCs w:val="false"/>
                <w:color w:val="222222"/>
                <w:sz w:val="19"/>
                <w:szCs w:val="19"/>
              </w:rPr>
              <w:t xml:space="preserve">Thresholds, escalation triggers, output policy</w:t>
            </w:r>
          </w:p>
        </w:tc>
        <w:tc>
          <w:tcPr>
            <w:tcW w:type="dxa" w:w="3138"/>
            <w:tcMar>
              <w:top w:type="dxa" w:w="90"/>
              <w:left w:type="dxa" w:w="120"/>
              <w:bottom w:type="dxa" w:w="90"/>
              <w:right w:type="dxa" w:w="120"/>
            </w:tcMar>
          </w:tcPr>
          <w:p>
            <w:pPr>
              <w:spacing w:after="0" w:line="260"/>
            </w:pPr>
            <w:r>
              <w:rPr>
                <w:b w:val="false"/>
                <w:bCs w:val="false"/>
                <w:color w:val="222222"/>
                <w:sz w:val="19"/>
                <w:szCs w:val="19"/>
              </w:rPr>
              <w:t xml:space="preserve">Tenant PII and Guardrails settings</w:t>
            </w:r>
          </w:p>
        </w:tc>
      </w:tr>
      <w:tr>
        <w:tc>
          <w:tcPr>
            <w:tcW w:type="dxa" w:w="2100"/>
            <w:tcMar>
              <w:top w:type="dxa" w:w="90"/>
              <w:left w:type="dxa" w:w="120"/>
              <w:bottom w:type="dxa" w:w="90"/>
              <w:right w:type="dxa" w:w="120"/>
            </w:tcMar>
          </w:tcPr>
          <w:p>
            <w:pPr>
              <w:spacing w:after="0" w:line="260"/>
            </w:pPr>
            <w:r>
              <w:rPr>
                <w:b/>
                <w:bCs/>
                <w:color w:val="222222"/>
                <w:sz w:val="19"/>
                <w:szCs w:val="19"/>
              </w:rPr>
              <w:t xml:space="preserve">Model and budgets</w:t>
            </w:r>
          </w:p>
        </w:tc>
        <w:tc>
          <w:tcPr>
            <w:tcW w:type="dxa" w:w="4400"/>
            <w:tcMar>
              <w:top w:type="dxa" w:w="90"/>
              <w:left w:type="dxa" w:w="120"/>
              <w:bottom w:type="dxa" w:w="90"/>
              <w:right w:type="dxa" w:w="120"/>
            </w:tcMar>
          </w:tcPr>
          <w:p>
            <w:pPr>
              <w:spacing w:after="0" w:line="260"/>
            </w:pPr>
            <w:r>
              <w:rPr>
                <w:b w:val="false"/>
                <w:bCs w:val="false"/>
                <w:color w:val="222222"/>
                <w:sz w:val="19"/>
                <w:szCs w:val="19"/>
              </w:rPr>
              <w:t xml:space="preserve">Model routes and cost/latency ceilings</w:t>
            </w:r>
          </w:p>
        </w:tc>
        <w:tc>
          <w:tcPr>
            <w:tcW w:type="dxa" w:w="3138"/>
            <w:tcMar>
              <w:top w:type="dxa" w:w="90"/>
              <w:left w:type="dxa" w:w="120"/>
              <w:bottom w:type="dxa" w:w="90"/>
              <w:right w:type="dxa" w:w="120"/>
            </w:tcMar>
          </w:tcPr>
          <w:p>
            <w:pPr>
              <w:spacing w:after="0" w:line="260"/>
            </w:pPr>
            <w:r>
              <w:rPr>
                <w:b w:val="false"/>
                <w:bCs w:val="false"/>
                <w:color w:val="222222"/>
                <w:sz w:val="19"/>
                <w:szCs w:val="19"/>
              </w:rPr>
              <w:t xml:space="preserve">Model Gateway v2 routes</w:t>
            </w:r>
          </w:p>
        </w:tc>
      </w:tr>
      <w:tr>
        <w:tc>
          <w:tcPr>
            <w:tcW w:type="dxa" w:w="2100"/>
            <w:tcMar>
              <w:top w:type="dxa" w:w="90"/>
              <w:left w:type="dxa" w:w="120"/>
              <w:bottom w:type="dxa" w:w="90"/>
              <w:right w:type="dxa" w:w="120"/>
            </w:tcMar>
          </w:tcPr>
          <w:p>
            <w:pPr>
              <w:spacing w:after="0" w:line="260"/>
            </w:pPr>
            <w:r>
              <w:rPr>
                <w:b/>
                <w:bCs/>
                <w:color w:val="222222"/>
                <w:sz w:val="19"/>
                <w:szCs w:val="19"/>
              </w:rPr>
              <w:t xml:space="preserve">Memory</w:t>
            </w:r>
          </w:p>
        </w:tc>
        <w:tc>
          <w:tcPr>
            <w:tcW w:type="dxa" w:w="4400"/>
            <w:tcMar>
              <w:top w:type="dxa" w:w="90"/>
              <w:left w:type="dxa" w:w="120"/>
              <w:bottom w:type="dxa" w:w="90"/>
              <w:right w:type="dxa" w:w="120"/>
            </w:tcMar>
          </w:tcPr>
          <w:p>
            <w:pPr>
              <w:spacing w:after="0" w:line="260"/>
            </w:pPr>
            <w:r>
              <w:rPr>
                <w:b w:val="false"/>
                <w:bCs w:val="false"/>
                <w:color w:val="222222"/>
                <w:sz w:val="19"/>
                <w:szCs w:val="19"/>
              </w:rPr>
              <w:t xml:space="preserve">Memory strategy and retention window</w:t>
            </w:r>
          </w:p>
        </w:tc>
        <w:tc>
          <w:tcPr>
            <w:tcW w:type="dxa" w:w="3138"/>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2100"/>
            <w:tcMar>
              <w:top w:type="dxa" w:w="90"/>
              <w:left w:type="dxa" w:w="120"/>
              <w:bottom w:type="dxa" w:w="90"/>
              <w:right w:type="dxa" w:w="120"/>
            </w:tcMar>
          </w:tcPr>
          <w:p>
            <w:pPr>
              <w:spacing w:after="0" w:line="260"/>
            </w:pPr>
            <w:r>
              <w:rPr>
                <w:b/>
                <w:bCs/>
                <w:color w:val="222222"/>
                <w:sz w:val="19"/>
                <w:szCs w:val="19"/>
              </w:rPr>
              <w:t xml:space="preserve">Evals</w:t>
            </w:r>
          </w:p>
        </w:tc>
        <w:tc>
          <w:tcPr>
            <w:tcW w:type="dxa" w:w="4400"/>
            <w:tcMar>
              <w:top w:type="dxa" w:w="90"/>
              <w:left w:type="dxa" w:w="120"/>
              <w:bottom w:type="dxa" w:w="90"/>
              <w:right w:type="dxa" w:w="120"/>
            </w:tcMar>
          </w:tcPr>
          <w:p>
            <w:pPr>
              <w:spacing w:after="0" w:line="260"/>
            </w:pPr>
            <w:r>
              <w:rPr>
                <w:b w:val="false"/>
                <w:bCs w:val="false"/>
                <w:color w:val="222222"/>
                <w:sz w:val="19"/>
                <w:szCs w:val="19"/>
              </w:rPr>
              <w:t xml:space="preserve">A suite generated from the composed skills, editable</w:t>
            </w:r>
          </w:p>
        </w:tc>
        <w:tc>
          <w:tcPr>
            <w:tcW w:type="dxa" w:w="3138"/>
            <w:tcMar>
              <w:top w:type="dxa" w:w="90"/>
              <w:left w:type="dxa" w:w="120"/>
              <w:bottom w:type="dxa" w:w="90"/>
              <w:right w:type="dxa" w:w="120"/>
            </w:tcMar>
          </w:tcPr>
          <w:p>
            <w:pPr>
              <w:spacing w:after="0" w:line="260"/>
            </w:pPr>
            <w:r>
              <w:rPr>
                <w:b w:val="false"/>
                <w:bCs w:val="false"/>
                <w:color w:val="222222"/>
                <w:sz w:val="19"/>
                <w:szCs w:val="19"/>
              </w:rPr>
              <w:t xml:space="preserve">Eval suites</w:t>
            </w:r>
          </w:p>
        </w:tc>
      </w:tr>
      <w:tr>
        <w:tc>
          <w:tcPr>
            <w:tcW w:type="dxa" w:w="2100"/>
            <w:tcMar>
              <w:top w:type="dxa" w:w="90"/>
              <w:left w:type="dxa" w:w="120"/>
              <w:bottom w:type="dxa" w:w="90"/>
              <w:right w:type="dxa" w:w="120"/>
            </w:tcMar>
          </w:tcPr>
          <w:p>
            <w:pPr>
              <w:spacing w:after="0" w:line="260"/>
            </w:pPr>
            <w:r>
              <w:rPr>
                <w:b/>
                <w:bCs/>
                <w:color w:val="222222"/>
                <w:sz w:val="19"/>
                <w:szCs w:val="19"/>
              </w:rPr>
              <w:t xml:space="preserve">Review</w:t>
            </w:r>
          </w:p>
        </w:tc>
        <w:tc>
          <w:tcPr>
            <w:tcW w:type="dxa" w:w="4400"/>
            <w:tcMar>
              <w:top w:type="dxa" w:w="90"/>
              <w:left w:type="dxa" w:w="120"/>
              <w:bottom w:type="dxa" w:w="90"/>
              <w:right w:type="dxa" w:w="120"/>
            </w:tcMar>
          </w:tcPr>
          <w:p>
            <w:pPr>
              <w:spacing w:after="0" w:line="260"/>
            </w:pPr>
            <w:r>
              <w:rPr>
                <w:b w:val="false"/>
                <w:bCs w:val="false"/>
                <w:color w:val="222222"/>
                <w:sz w:val="19"/>
                <w:szCs w:val="19"/>
              </w:rPr>
              <w:t xml:space="preserve">Full YAML preview, then a Draft version</w:t>
            </w:r>
          </w:p>
        </w:tc>
        <w:tc>
          <w:tcPr>
            <w:tcW w:type="dxa" w:w="3138"/>
            <w:tcMar>
              <w:top w:type="dxa" w:w="90"/>
              <w:left w:type="dxa" w:w="120"/>
              <w:bottom w:type="dxa" w:w="90"/>
              <w:right w:type="dxa" w:w="120"/>
            </w:tcMar>
          </w:tcPr>
          <w:p>
            <w:pPr>
              <w:spacing w:after="0" w:line="260"/>
            </w:pPr>
            <w:r>
              <w:rPr>
                <w:b w:val="false"/>
                <w:bCs w:val="false"/>
                <w:color w:val="222222"/>
                <w:sz w:val="19"/>
                <w:szCs w:val="19"/>
              </w:rPr>
              <w:t xml:space="preserve">The same validator as Text and Design mode</w:t>
            </w:r>
          </w:p>
        </w:tc>
      </w:tr>
    </w:tbl>
    <w:p>
      <w:pPr>
        <w:spacing w:after="200"/>
      </w:pPr>
    </w:p>
    <w:p>
      <w:pPr>
        <w:spacing w:after="60" w:before="120" w:line="240" w:lineRule="auto"/>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19375"/>
                    </a:xfrm>
                    <a:prstGeom prst="rect">
                      <a:avLst/>
                    </a:prstGeom>
                  </pic:spPr>
                </pic:pic>
              </a:graphicData>
            </a:graphic>
          </wp:inline>
        </w:drawing>
      </w:r>
    </w:p>
    <w:p>
      <w:pPr>
        <w:spacing w:after="240"/>
        <w:jc w:val="center"/>
      </w:pPr>
      <w:r>
        <w:rPr>
          <w:i/>
          <w:iCs/>
          <w:color w:val="6E6E6E"/>
          <w:sz w:val="17"/>
          <w:szCs w:val="17"/>
        </w:rPr>
        <w:t xml:space="preserve">Figure 7 — Agent Design Studio, skills step. The derived scope panel shows what the composition actually grants, and the YAML preview shows what will be saved.</w:t>
      </w:r>
    </w:p>
    <w:p>
      <w:pPr>
        <w:pStyle w:val="Heading2"/>
        <w:spacing w:after="150" w:before="300"/>
      </w:pPr>
      <w:r>
        <w:rPr>
          <w:b/>
          <w:bCs/>
          <w:color w:val="222222"/>
          <w:sz w:val="25"/>
          <w:szCs w:val="25"/>
        </w:rPr>
        <w:t xml:space="preserve">8.3 Two invariants the Studio must not break</w:t>
      </w:r>
    </w:p>
    <w:p>
      <w:pPr>
        <w:pStyle w:val="ListParagraph"/>
        <w:numPr>
          <w:ilvl w:val="0"/>
          <w:numId w:val="2"/>
        </w:numPr>
        <w:spacing w:after="90" w:line="290" w:lineRule="auto"/>
      </w:pPr>
      <w:r>
        <w:rPr>
          <w:color w:val="222222"/>
          <w:sz w:val="21"/>
          <w:szCs w:val="21"/>
        </w:rPr>
        <w:t xml:space="preserve">Tenant guardrails may be tightened by an agent version and never loosened. A version that relaxes tenant PII masking is rejected by the validator, not merely disabled in the interface.</w:t>
      </w:r>
    </w:p>
    <w:p>
      <w:pPr>
        <w:pStyle w:val="ListParagraph"/>
        <w:numPr>
          <w:ilvl w:val="0"/>
          <w:numId w:val="2"/>
        </w:numPr>
        <w:spacing w:after="90" w:line="290" w:lineRule="auto"/>
      </w:pPr>
      <w:r>
        <w:rPr>
          <w:color w:val="222222"/>
          <w:sz w:val="21"/>
          <w:szCs w:val="21"/>
        </w:rPr>
        <w:t xml:space="preserve">The Studio always lands in Draft. It never bypasses the eval, reviewer-not-author and sandbox gates. A wizard that produces production agents is how an unreviewed agent ends up talking to customers.</w:t>
      </w:r>
    </w:p>
    <w:p>
      <w:pPr>
        <w:spacing w:after="140" w:line="300" w:lineRule="auto"/>
      </w:pPr>
      <w:r>
        <w:rPr>
          <w:color w:val="222222"/>
          <w:sz w:val="21"/>
          <w:szCs w:val="21"/>
        </w:rPr>
        <w:t xml:space="preserve">A blueprints gallery should sit alongside the Studio: pre-composed skill sets for common shapes such as support triage, order status and IT helpdesk, so a new tenant reaches a working Draft in minutes rather than authoring YAML cold.</w:t>
      </w:r>
    </w:p>
    <w:p>
      <w:pPr>
        <w:pStyle w:val="Heading2"/>
        <w:spacing w:after="150" w:before="300"/>
      </w:pPr>
      <w:r>
        <w:rPr>
          <w:b/>
          <w:bCs/>
          <w:color w:val="222222"/>
          <w:sz w:val="25"/>
          <w:szCs w:val="25"/>
        </w:rPr>
        <w:t xml:space="preserve">8.4 Closing the eval gap</w:t>
      </w:r>
    </w:p>
    <w:p>
      <w:pPr>
        <w:spacing w:after="140" w:line="300" w:lineRule="auto"/>
      </w:pPr>
      <w:r>
        <w:rPr>
          <w:color w:val="222222"/>
          <w:sz w:val="21"/>
          <w:szCs w:val="21"/>
        </w:rPr>
        <w:t xml:space="preserve">Eval suites today are hand-authored scripted mini-conversations with an expected-response pattern, a pass threshold and a cost budget, run to gate promotion. Four additions make them a quality system rather than a checkpoint.</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400"/>
        <w:gridCol w:w="7238"/>
      </w:tblGrid>
      <w:tr>
        <w:trPr>
          <w:tblHeader/>
        </w:trPr>
        <w:tc>
          <w:tcPr>
            <w:tcW w:type="dxa" w:w="2400"/>
            <w:shd w:fill="F3F3F1" w:val="clear"/>
            <w:tcMar>
              <w:top w:type="dxa" w:w="90"/>
              <w:left w:type="dxa" w:w="120"/>
              <w:bottom w:type="dxa" w:w="90"/>
              <w:right w:type="dxa" w:w="120"/>
            </w:tcMar>
          </w:tcPr>
          <w:p>
            <w:pPr>
              <w:spacing w:after="0" w:line="260"/>
            </w:pPr>
            <w:r>
              <w:rPr>
                <w:b/>
                <w:bCs/>
                <w:color w:val="6E6E6E"/>
                <w:sz w:val="17"/>
                <w:szCs w:val="17"/>
              </w:rPr>
              <w:t xml:space="preserve">Addition</w:t>
            </w:r>
          </w:p>
        </w:tc>
        <w:tc>
          <w:tcPr>
            <w:tcW w:type="dxa" w:w="7238"/>
            <w:shd w:fill="F3F3F1" w:val="clear"/>
            <w:tcMar>
              <w:top w:type="dxa" w:w="90"/>
              <w:left w:type="dxa" w:w="120"/>
              <w:bottom w:type="dxa" w:w="90"/>
              <w:right w:type="dxa" w:w="120"/>
            </w:tcMar>
          </w:tcPr>
          <w:p>
            <w:pPr>
              <w:spacing w:after="0" w:line="260"/>
            </w:pPr>
            <w:r>
              <w:rPr>
                <w:b/>
                <w:bCs/>
                <w:color w:val="6E6E6E"/>
                <w:sz w:val="17"/>
                <w:szCs w:val="17"/>
              </w:rPr>
              <w:t xml:space="preserve">Why</w:t>
            </w:r>
          </w:p>
        </w:tc>
      </w:tr>
      <w:tr>
        <w:tc>
          <w:tcPr>
            <w:tcW w:type="dxa" w:w="2400"/>
            <w:tcMar>
              <w:top w:type="dxa" w:w="90"/>
              <w:left w:type="dxa" w:w="120"/>
              <w:bottom w:type="dxa" w:w="90"/>
              <w:right w:type="dxa" w:w="120"/>
            </w:tcMar>
          </w:tcPr>
          <w:p>
            <w:pPr>
              <w:spacing w:after="0" w:line="260"/>
            </w:pPr>
            <w:r>
              <w:rPr>
                <w:b/>
                <w:bCs/>
                <w:color w:val="222222"/>
                <w:sz w:val="19"/>
                <w:szCs w:val="19"/>
              </w:rPr>
              <w:t xml:space="preserve">Harvest from production</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A conversation, an escalation or a denied Tier-3 approval can be promoted into an eval case in one action. The highest-value eval source in the platform is already sitting in the Conversations list.</w:t>
            </w:r>
          </w:p>
        </w:tc>
      </w:tr>
      <w:tr>
        <w:tc>
          <w:tcPr>
            <w:tcW w:type="dxa" w:w="2400"/>
            <w:tcMar>
              <w:top w:type="dxa" w:w="90"/>
              <w:left w:type="dxa" w:w="120"/>
              <w:bottom w:type="dxa" w:w="90"/>
              <w:right w:type="dxa" w:w="120"/>
            </w:tcMar>
          </w:tcPr>
          <w:p>
            <w:pPr>
              <w:spacing w:after="0" w:line="260"/>
            </w:pPr>
            <w:r>
              <w:rPr>
                <w:b/>
                <w:bCs/>
                <w:color w:val="222222"/>
                <w:sz w:val="19"/>
                <w:szCs w:val="19"/>
              </w:rPr>
              <w:t xml:space="preserve">Continuous runs against production</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Model routes point at external providers whose behaviour changes. A version that passed in March is not guaranteed to pass in August. Scheduled runs on the deployed version catch provider drift.</w:t>
            </w:r>
          </w:p>
        </w:tc>
      </w:tr>
      <w:tr>
        <w:tc>
          <w:tcPr>
            <w:tcW w:type="dxa" w:w="2400"/>
            <w:tcMar>
              <w:top w:type="dxa" w:w="90"/>
              <w:left w:type="dxa" w:w="120"/>
              <w:bottom w:type="dxa" w:w="90"/>
              <w:right w:type="dxa" w:w="120"/>
            </w:tcMar>
          </w:tcPr>
          <w:p>
            <w:pPr>
              <w:spacing w:after="0" w:line="260"/>
            </w:pPr>
            <w:r>
              <w:rPr>
                <w:b/>
                <w:bCs/>
                <w:color w:val="222222"/>
                <w:sz w:val="19"/>
                <w:szCs w:val="19"/>
              </w:rPr>
              <w:t xml:space="preserve">Rubric and judge grading</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Expected-response pattern matching is brittle for generative output. A judge model scored against a rubric, plus groundedness and citation-precision metrics for retrieval agents, measures what actually matters.</w:t>
            </w:r>
          </w:p>
        </w:tc>
      </w:tr>
      <w:tr>
        <w:tc>
          <w:tcPr>
            <w:tcW w:type="dxa" w:w="2400"/>
            <w:tcMar>
              <w:top w:type="dxa" w:w="90"/>
              <w:left w:type="dxa" w:w="120"/>
              <w:bottom w:type="dxa" w:w="90"/>
              <w:right w:type="dxa" w:w="120"/>
            </w:tcMar>
          </w:tcPr>
          <w:p>
            <w:pPr>
              <w:spacing w:after="0" w:line="260"/>
            </w:pPr>
            <w:r>
              <w:rPr>
                <w:b/>
                <w:bCs/>
                <w:color w:val="222222"/>
                <w:sz w:val="19"/>
                <w:szCs w:val="19"/>
              </w:rPr>
              <w:t xml:space="preserve">Regression baselines</w:t>
            </w:r>
          </w:p>
        </w:tc>
        <w:tc>
          <w:tcPr>
            <w:tcW w:type="dxa" w:w="7238"/>
            <w:tcMar>
              <w:top w:type="dxa" w:w="90"/>
              <w:left w:type="dxa" w:w="120"/>
              <w:bottom w:type="dxa" w:w="90"/>
              <w:right w:type="dxa" w:w="120"/>
            </w:tcMar>
          </w:tcPr>
          <w:p>
            <w:pPr>
              <w:spacing w:after="0" w:line="260"/>
            </w:pPr>
            <w:r>
              <w:rPr>
                <w:b w:val="false"/>
                <w:bCs w:val="false"/>
                <w:color w:val="222222"/>
                <w:sz w:val="19"/>
                <w:szCs w:val="19"/>
              </w:rPr>
              <w:t xml:space="preserve">Gate on "no worse than the currently deployed version" rather than only on an absolute threshold, so a slow decline cannot pass repeatedly.</w:t>
            </w:r>
          </w:p>
        </w:tc>
      </w:tr>
    </w:tbl>
    <w:p>
      <w:pPr>
        <w:spacing w:after="200"/>
      </w:pPr>
    </w:p>
    <w:p>
      <w:pPr>
        <w:pStyle w:val="Heading2"/>
        <w:spacing w:after="150" w:before="300"/>
      </w:pPr>
      <w:r>
        <w:rPr>
          <w:b/>
          <w:bCs/>
          <w:color w:val="222222"/>
          <w:sz w:val="25"/>
          <w:szCs w:val="25"/>
        </w:rPr>
        <w:t xml:space="preserve">8.5 Diff and Git</w:t>
      </w:r>
    </w:p>
    <w:p>
      <w:pPr>
        <w:spacing w:after="140" w:line="300" w:lineRule="auto"/>
      </w:pPr>
      <w:r>
        <w:rPr>
          <w:color w:val="222222"/>
          <w:sz w:val="21"/>
          <w:szCs w:val="21"/>
        </w:rPr>
        <w:t xml:space="preserve">Version comparison currently requires both versions to have a real Git commit, because it is a genuine Git-provider diff API call. But versions can be authored without ever connecting Git, so the majority path has no diff capability at all on a platform whose core artifact is a YAML document. The fix is to implement a structural YAML diff that works unconditionally and keep the Git diff as the enriched view when a repository is connected. This becomes more urgent, not less, once skills and workflow graphs are also YAML artifacts.</w:t>
      </w:r>
    </w:p>
    <w:p>
      <w:pPr>
        <w:spacing w:after="140" w:line="300" w:lineRule="auto"/>
      </w:pPr>
      <w:r>
        <w:rPr>
          <w:color w:val="222222"/>
          <w:sz w:val="21"/>
          <w:szCs w:val="21"/>
        </w:rPr>
        <w:t xml:space="preserve">The one-Git-connection-per-tenant constraint should also be relaxed to one connection per definition or per team, since a large tenant with separate engineering groups cannot share a single repository across all agent definitions.</w:t>
      </w:r>
    </w:p>
    <w:p>
      <w:r>
        <w:br w:type="page"/>
      </w:r>
    </w:p>
    <w:p>
      <w:pPr>
        <w:pStyle w:val="Heading1"/>
        <w:spacing w:after="200" w:before="360"/>
      </w:pPr>
      <w:r>
        <w:rPr>
          <w:b/>
          <w:bCs/>
          <w:color w:val="222222"/>
          <w:sz w:val="30"/>
          <w:szCs w:val="30"/>
        </w:rPr>
        <w:t xml:space="preserve">9. Module D — Workflow Designer</w:t>
      </w:r>
    </w:p>
    <w:p>
      <w:pPr>
        <w:pStyle w:val="Heading2"/>
        <w:spacing w:after="150" w:before="300"/>
      </w:pPr>
      <w:r>
        <w:rPr>
          <w:b/>
          <w:bCs/>
          <w:color w:val="222222"/>
          <w:sz w:val="25"/>
          <w:szCs w:val="25"/>
        </w:rPr>
        <w:t xml:space="preserve">9.1 Static orchestration versus dynamic delegation</w:t>
      </w:r>
    </w:p>
    <w:p>
      <w:pPr>
        <w:spacing w:after="140" w:line="300" w:lineRule="auto"/>
      </w:pPr>
      <w:r>
        <w:rPr>
          <w:color w:val="222222"/>
          <w:sz w:val="21"/>
          <w:szCs w:val="21"/>
        </w:rPr>
        <w:t xml:space="preserve">Two mechanisms are needed and they must not be conflated, because they require different governance. Static orchestration means the path is authored, reviewable and diffable before deployment: a human can look at the graph and know every route the system can take. Dynamic delegation, covered in §10, means a supervisor decides at runtime which specialist handles a turn — strictly more capable and strictly less predictable.</w:t>
      </w:r>
    </w:p>
    <w:p>
      <w:pPr>
        <w:spacing w:after="140" w:line="300" w:lineRule="auto"/>
      </w:pPr>
      <w:r>
        <w:rPr>
          <w:color w:val="222222"/>
          <w:sz w:val="21"/>
          <w:szCs w:val="21"/>
        </w:rPr>
        <w:t xml:space="preserve">Because the platform's entire posture rests on reviewability, the rule is: use static orchestration whenever the process is knowable, and constrain dynamic delegation with declarative policy that is itself reviewable even though the path is not.</w:t>
      </w:r>
    </w:p>
    <w:p>
      <w:pPr>
        <w:pStyle w:val="Heading2"/>
        <w:spacing w:after="150" w:before="300"/>
      </w:pPr>
      <w:r>
        <w:rPr>
          <w:b/>
          <w:bCs/>
          <w:color w:val="222222"/>
          <w:sz w:val="25"/>
          <w:szCs w:val="25"/>
        </w:rPr>
        <w:t xml:space="preserve">9.2 Node types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1500"/>
        <w:gridCol w:w="4200"/>
        <w:gridCol w:w="3938"/>
      </w:tblGrid>
      <w:tr>
        <w:trPr>
          <w:tblHeader/>
        </w:trPr>
        <w:tc>
          <w:tcPr>
            <w:tcW w:type="dxa" w:w="1500"/>
            <w:shd w:fill="F3F3F1" w:val="clear"/>
            <w:tcMar>
              <w:top w:type="dxa" w:w="90"/>
              <w:left w:type="dxa" w:w="120"/>
              <w:bottom w:type="dxa" w:w="90"/>
              <w:right w:type="dxa" w:w="120"/>
            </w:tcMar>
          </w:tcPr>
          <w:p>
            <w:pPr>
              <w:spacing w:after="0" w:line="260"/>
            </w:pPr>
            <w:r>
              <w:rPr>
                <w:b/>
                <w:bCs/>
                <w:color w:val="6E6E6E"/>
                <w:sz w:val="17"/>
                <w:szCs w:val="17"/>
              </w:rPr>
              <w:t xml:space="preserve">Node</w:t>
            </w:r>
          </w:p>
        </w:tc>
        <w:tc>
          <w:tcPr>
            <w:tcW w:type="dxa" w:w="4200"/>
            <w:shd w:fill="F3F3F1" w:val="clear"/>
            <w:tcMar>
              <w:top w:type="dxa" w:w="90"/>
              <w:left w:type="dxa" w:w="120"/>
              <w:bottom w:type="dxa" w:w="90"/>
              <w:right w:type="dxa" w:w="120"/>
            </w:tcMar>
          </w:tcPr>
          <w:p>
            <w:pPr>
              <w:spacing w:after="0" w:line="260"/>
            </w:pPr>
            <w:r>
              <w:rPr>
                <w:b/>
                <w:bCs/>
                <w:color w:val="6E6E6E"/>
                <w:sz w:val="17"/>
                <w:szCs w:val="17"/>
              </w:rPr>
              <w:t xml:space="preserve">Purpose</w:t>
            </w:r>
          </w:p>
        </w:tc>
        <w:tc>
          <w:tcPr>
            <w:tcW w:type="dxa" w:w="3938"/>
            <w:shd w:fill="F3F3F1" w:val="clear"/>
            <w:tcMar>
              <w:top w:type="dxa" w:w="90"/>
              <w:left w:type="dxa" w:w="120"/>
              <w:bottom w:type="dxa" w:w="90"/>
              <w:right w:type="dxa" w:w="120"/>
            </w:tcMar>
          </w:tcPr>
          <w:p>
            <w:pPr>
              <w:spacing w:after="0" w:line="260"/>
            </w:pPr>
            <w:r>
              <w:rPr>
                <w:b/>
                <w:bCs/>
                <w:color w:val="6E6E6E"/>
                <w:sz w:val="17"/>
                <w:szCs w:val="17"/>
              </w:rPr>
              <w:t xml:space="preserve">Notes</w:t>
            </w:r>
          </w:p>
        </w:tc>
      </w:tr>
      <w:tr>
        <w:tc>
          <w:tcPr>
            <w:tcW w:type="dxa" w:w="1500"/>
            <w:tcMar>
              <w:top w:type="dxa" w:w="90"/>
              <w:left w:type="dxa" w:w="120"/>
              <w:bottom w:type="dxa" w:w="90"/>
              <w:right w:type="dxa" w:w="120"/>
            </w:tcMar>
          </w:tcPr>
          <w:p>
            <w:pPr>
              <w:spacing w:after="0" w:line="260"/>
            </w:pPr>
            <w:r>
              <w:rPr>
                <w:b/>
                <w:bCs/>
                <w:color w:val="222222"/>
                <w:sz w:val="19"/>
                <w:szCs w:val="19"/>
              </w:rPr>
              <w:t xml:space="preserve">Trigger</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Channel event, inbound webhook or schedule</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A workflow may be bound to a channel exactly as an agent version is today</w:t>
            </w:r>
          </w:p>
        </w:tc>
      </w:tr>
      <w:tr>
        <w:tc>
          <w:tcPr>
            <w:tcW w:type="dxa" w:w="1500"/>
            <w:tcMar>
              <w:top w:type="dxa" w:w="90"/>
              <w:left w:type="dxa" w:w="120"/>
              <w:bottom w:type="dxa" w:w="90"/>
              <w:right w:type="dxa" w:w="120"/>
            </w:tcMar>
          </w:tcPr>
          <w:p>
            <w:pPr>
              <w:spacing w:after="0" w:line="260"/>
            </w:pPr>
            <w:r>
              <w:rPr>
                <w:b/>
                <w:bCs/>
                <w:color w:val="222222"/>
                <w:sz w:val="19"/>
                <w:szCs w:val="19"/>
              </w:rPr>
              <w:t xml:space="preserve">Agent</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Invoke a pinned definition@version</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The agent runs with its own scope, intersected with the workflow's</w:t>
            </w:r>
          </w:p>
        </w:tc>
      </w:tr>
      <w:tr>
        <w:tc>
          <w:tcPr>
            <w:tcW w:type="dxa" w:w="1500"/>
            <w:tcMar>
              <w:top w:type="dxa" w:w="90"/>
              <w:left w:type="dxa" w:w="120"/>
              <w:bottom w:type="dxa" w:w="90"/>
              <w:right w:type="dxa" w:w="120"/>
            </w:tcMar>
          </w:tcPr>
          <w:p>
            <w:pPr>
              <w:spacing w:after="0" w:line="260"/>
            </w:pPr>
            <w:r>
              <w:rPr>
                <w:b/>
                <w:bCs/>
                <w:color w:val="222222"/>
                <w:sz w:val="19"/>
                <w:szCs w:val="19"/>
              </w:rPr>
              <w:t xml:space="preserve">Skill</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Invoke a single skill without a whole agent</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Cheaper than a full agent turn for narrow tasks</w:t>
            </w:r>
          </w:p>
        </w:tc>
      </w:tr>
      <w:tr>
        <w:tc>
          <w:tcPr>
            <w:tcW w:type="dxa" w:w="1500"/>
            <w:tcMar>
              <w:top w:type="dxa" w:w="90"/>
              <w:left w:type="dxa" w:w="120"/>
              <w:bottom w:type="dxa" w:w="90"/>
              <w:right w:type="dxa" w:w="120"/>
            </w:tcMar>
          </w:tcPr>
          <w:p>
            <w:pPr>
              <w:spacing w:after="0" w:line="260"/>
            </w:pPr>
            <w:r>
              <w:rPr>
                <w:b/>
                <w:bCs/>
                <w:color w:val="222222"/>
                <w:sz w:val="19"/>
                <w:szCs w:val="19"/>
              </w:rPr>
              <w:t xml:space="preserve">Tool call</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A deterministic MCP call with no model in the loop</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Faster, cheaper and fully auditable — the right choice for "look up the order"</w:t>
            </w:r>
          </w:p>
        </w:tc>
      </w:tr>
      <w:tr>
        <w:tc>
          <w:tcPr>
            <w:tcW w:type="dxa" w:w="1500"/>
            <w:tcMar>
              <w:top w:type="dxa" w:w="90"/>
              <w:left w:type="dxa" w:w="120"/>
              <w:bottom w:type="dxa" w:w="90"/>
              <w:right w:type="dxa" w:w="120"/>
            </w:tcMar>
          </w:tcPr>
          <w:p>
            <w:pPr>
              <w:spacing w:after="0" w:line="260"/>
            </w:pPr>
            <w:r>
              <w:rPr>
                <w:b/>
                <w:bCs/>
                <w:color w:val="222222"/>
                <w:sz w:val="19"/>
                <w:szCs w:val="19"/>
              </w:rPr>
              <w:t xml:space="preserve">Router</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Rule-based or classifier-based branch</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Rules are preferred where the condition is expressible</w:t>
            </w:r>
          </w:p>
        </w:tc>
      </w:tr>
      <w:tr>
        <w:tc>
          <w:tcPr>
            <w:tcW w:type="dxa" w:w="1500"/>
            <w:tcMar>
              <w:top w:type="dxa" w:w="90"/>
              <w:left w:type="dxa" w:w="120"/>
              <w:bottom w:type="dxa" w:w="90"/>
              <w:right w:type="dxa" w:w="120"/>
            </w:tcMar>
          </w:tcPr>
          <w:p>
            <w:pPr>
              <w:spacing w:after="0" w:line="260"/>
            </w:pPr>
            <w:r>
              <w:rPr>
                <w:b/>
                <w:bCs/>
                <w:color w:val="222222"/>
                <w:sz w:val="19"/>
                <w:szCs w:val="19"/>
              </w:rPr>
              <w:t xml:space="preserve">Human task</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Route into the existing Approval Queue or Escalation Queue</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Never a third queue</w:t>
            </w:r>
          </w:p>
        </w:tc>
      </w:tr>
      <w:tr>
        <w:tc>
          <w:tcPr>
            <w:tcW w:type="dxa" w:w="1500"/>
            <w:tcMar>
              <w:top w:type="dxa" w:w="90"/>
              <w:left w:type="dxa" w:w="120"/>
              <w:bottom w:type="dxa" w:w="90"/>
              <w:right w:type="dxa" w:w="120"/>
            </w:tcMar>
          </w:tcPr>
          <w:p>
            <w:pPr>
              <w:spacing w:after="0" w:line="260"/>
            </w:pPr>
            <w:r>
              <w:rPr>
                <w:b/>
                <w:bCs/>
                <w:color w:val="222222"/>
                <w:sz w:val="19"/>
                <w:szCs w:val="19"/>
              </w:rPr>
              <w:t xml:space="preserve">Parallel / join</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Fan out and reduce</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Fan-out is capped by the run limits</w:t>
            </w:r>
          </w:p>
        </w:tc>
      </w:tr>
      <w:tr>
        <w:tc>
          <w:tcPr>
            <w:tcW w:type="dxa" w:w="1500"/>
            <w:tcMar>
              <w:top w:type="dxa" w:w="90"/>
              <w:left w:type="dxa" w:w="120"/>
              <w:bottom w:type="dxa" w:w="90"/>
              <w:right w:type="dxa" w:w="120"/>
            </w:tcMar>
          </w:tcPr>
          <w:p>
            <w:pPr>
              <w:spacing w:after="0" w:line="260"/>
            </w:pPr>
            <w:r>
              <w:rPr>
                <w:b/>
                <w:bCs/>
                <w:color w:val="222222"/>
                <w:sz w:val="19"/>
                <w:szCs w:val="19"/>
              </w:rPr>
              <w:t xml:space="preserve">Loop</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Bounded iteration</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A hard maximum-iteration cap is mandatory, not optional</w:t>
            </w:r>
          </w:p>
        </w:tc>
      </w:tr>
      <w:tr>
        <w:tc>
          <w:tcPr>
            <w:tcW w:type="dxa" w:w="1500"/>
            <w:tcMar>
              <w:top w:type="dxa" w:w="90"/>
              <w:left w:type="dxa" w:w="120"/>
              <w:bottom w:type="dxa" w:w="90"/>
              <w:right w:type="dxa" w:w="120"/>
            </w:tcMar>
          </w:tcPr>
          <w:p>
            <w:pPr>
              <w:spacing w:after="0" w:line="260"/>
            </w:pPr>
            <w:r>
              <w:rPr>
                <w:b/>
                <w:bCs/>
                <w:color w:val="222222"/>
                <w:sz w:val="19"/>
                <w:szCs w:val="19"/>
              </w:rPr>
              <w:t xml:space="preserve">Sub-workflow</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Invoke another workflow version</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Depth-capped</w:t>
            </w:r>
          </w:p>
        </w:tc>
      </w:tr>
      <w:tr>
        <w:tc>
          <w:tcPr>
            <w:tcW w:type="dxa" w:w="1500"/>
            <w:tcMar>
              <w:top w:type="dxa" w:w="90"/>
              <w:left w:type="dxa" w:w="120"/>
              <w:bottom w:type="dxa" w:w="90"/>
              <w:right w:type="dxa" w:w="120"/>
            </w:tcMar>
          </w:tcPr>
          <w:p>
            <w:pPr>
              <w:spacing w:after="0" w:line="260"/>
            </w:pPr>
            <w:r>
              <w:rPr>
                <w:b/>
                <w:bCs/>
                <w:color w:val="222222"/>
                <w:sz w:val="19"/>
                <w:szCs w:val="19"/>
              </w:rPr>
              <w:t xml:space="preserve">Wait</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Timer or external event</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Requires durable execution</w:t>
            </w:r>
          </w:p>
        </w:tc>
      </w:tr>
      <w:tr>
        <w:tc>
          <w:tcPr>
            <w:tcW w:type="dxa" w:w="1500"/>
            <w:tcMar>
              <w:top w:type="dxa" w:w="90"/>
              <w:left w:type="dxa" w:w="120"/>
              <w:bottom w:type="dxa" w:w="90"/>
              <w:right w:type="dxa" w:w="120"/>
            </w:tcMar>
          </w:tcPr>
          <w:p>
            <w:pPr>
              <w:spacing w:after="0" w:line="260"/>
            </w:pPr>
            <w:r>
              <w:rPr>
                <w:b/>
                <w:bCs/>
                <w:color w:val="222222"/>
                <w:sz w:val="19"/>
                <w:szCs w:val="19"/>
              </w:rPr>
              <w:t xml:space="preserve">End</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Resolve, escalate or transfer</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Terminal outcomes are explicit, never implicit</w:t>
            </w:r>
          </w:p>
        </w:tc>
      </w:tr>
    </w:tbl>
    <w:p>
      <w:pPr>
        <w:spacing w:after="200"/>
      </w:pPr>
    </w:p>
    <w:p>
      <w:pPr>
        <w:spacing w:after="60" w:before="120" w:line="240" w:lineRule="auto"/>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09850"/>
                    </a:xfrm>
                    <a:prstGeom prst="rect">
                      <a:avLst/>
                    </a:prstGeom>
                  </pic:spPr>
                </pic:pic>
              </a:graphicData>
            </a:graphic>
          </wp:inline>
        </w:drawing>
      </w:r>
    </w:p>
    <w:p>
      <w:pPr>
        <w:spacing w:after="240"/>
        <w:jc w:val="center"/>
      </w:pPr>
      <w:r>
        <w:rPr>
          <w:i/>
          <w:iCs/>
          <w:color w:val="6E6E6E"/>
          <w:sz w:val="17"/>
          <w:szCs w:val="17"/>
        </w:rPr>
        <w:t xml:space="preserve">Figure 8 — Workflow canvas. The graph is a rendering of the version YAML; run limits are enforced by the runtime, not by the model.</w:t>
      </w:r>
    </w:p>
    <w:p>
      <w:pPr>
        <w:pStyle w:val="Heading2"/>
        <w:spacing w:after="150" w:before="300"/>
      </w:pPr>
      <w:r>
        <w:rPr>
          <w:b/>
          <w:bCs/>
          <w:color w:val="222222"/>
          <w:sz w:val="25"/>
          <w:szCs w:val="25"/>
        </w:rPr>
        <w:t xml:space="preserve">9.3 Rules</w:t>
      </w:r>
    </w:p>
    <w:tbl>
      <w:tblPr>
        <w:tblW w:type="dxa" w:w="9638"/>
        <w:tblBorders>
          <w:top w:val="single" w:color="E3DCC8" w:sz="2"/>
          <w:left w:val="single" w:color="E3DCC8" w:sz="2"/>
          <w:bottom w:val="single" w:color="E3DCC8" w:sz="2"/>
          <w:right w:val="single" w:color="E3DCC8" w:sz="2"/>
          <w:insideH w:val="none"/>
          <w:insideV w:val="none"/>
        </w:tblBorders>
      </w:tblPr>
      <w:tblGrid>
        <w:gridCol w:w="9638"/>
      </w:tblGrid>
      <w:tr>
        <w:tc>
          <w:tcPr>
            <w:tcW w:type="dxa" w:w="9638"/>
            <w:shd w:fill="FCFAF4" w:val="clear"/>
            <w:tcMar>
              <w:top w:type="dxa" w:w="150"/>
              <w:left w:type="dxa" w:w="170"/>
              <w:bottom w:type="dxa" w:w="150"/>
              <w:right w:type="dxa" w:w="170"/>
            </w:tcMar>
          </w:tcPr>
          <w:p>
            <w:pPr>
              <w:spacing w:after="80"/>
            </w:pPr>
            <w:r>
              <w:rPr>
                <w:b/>
                <w:bCs/>
                <w:color w:val="8A6D3B"/>
                <w:sz w:val="19"/>
                <w:szCs w:val="19"/>
              </w:rPr>
              <w:t xml:space="preserve">Orchestration must not become a way around the existing controls</w:t>
            </w:r>
          </w:p>
          <w:p>
            <w:pPr>
              <w:spacing w:after="60" w:line="280"/>
            </w:pPr>
            <w:r>
              <w:rPr>
                <w:color w:val="5C5240"/>
                <w:sz w:val="19"/>
                <w:szCs w:val="19"/>
              </w:rPr>
              <w:t xml:space="preserve">The graph is YAML. The canvas is a renderer, so workflows inherit immutability, diffability and the promotion gate for free.</w:t>
            </w:r>
          </w:p>
          <w:p>
            <w:pPr>
              <w:spacing w:after="60" w:line="280"/>
            </w:pPr>
            <w:r>
              <w:rPr>
                <w:color w:val="5C5240"/>
                <w:sz w:val="19"/>
                <w:szCs w:val="19"/>
              </w:rPr>
              <w:t xml:space="preserve">The promotion gate applies unchanged: a passing eval run, an approver who is not the author, and at least one sandbox run of the whole graph — not of individual nodes.</w:t>
            </w:r>
          </w:p>
          <w:p>
            <w:pPr>
              <w:spacing w:after="60" w:line="280"/>
            </w:pPr>
            <w:r>
              <w:rPr>
                <w:color w:val="5C5240"/>
                <w:sz w:val="19"/>
                <w:szCs w:val="19"/>
              </w:rPr>
              <w:t xml:space="preserve">Tool tiering survives orchestration. A Tier-3 tool invoked from inside any node still stops at the Approval Queue. This is the most likely way to accidentally undermine an existing control.</w:t>
            </w:r>
          </w:p>
          <w:p>
            <w:pPr>
              <w:spacing w:after="60" w:line="280"/>
            </w:pPr>
            <w:r>
              <w:rPr>
                <w:color w:val="5C5240"/>
                <w:sz w:val="19"/>
                <w:szCs w:val="19"/>
              </w:rPr>
              <w:t xml:space="preserve">Every write-classified tool node declares an idempotency key and a compensating action, or the workflow is a distributed transaction with no rollback.</w:t>
            </w:r>
          </w:p>
        </w:tc>
      </w:tr>
    </w:tbl>
    <w:p>
      <w:pPr>
        <w:spacing w:after="220"/>
      </w:pPr>
    </w:p>
    <w:p>
      <w:pPr>
        <w:pStyle w:val="ListParagraph"/>
        <w:numPr>
          <w:ilvl w:val="0"/>
          <w:numId w:val="2"/>
        </w:numPr>
        <w:spacing w:after="90" w:line="290" w:lineRule="auto"/>
      </w:pPr>
      <w:r>
        <w:rPr>
          <w:color w:val="222222"/>
          <w:sz w:val="21"/>
          <w:szCs w:val="21"/>
        </w:rPr>
        <w:t xml:space="preserve">Durable execution is required. A workflow suspended on a human task may sit for hours, so state must be checkpointed, resumable after a restart, and subject to a defined expiry behaviour.</w:t>
      </w:r>
    </w:p>
    <w:p>
      <w:pPr>
        <w:pStyle w:val="ListParagraph"/>
        <w:numPr>
          <w:ilvl w:val="0"/>
          <w:numId w:val="2"/>
        </w:numPr>
        <w:spacing w:after="90" w:line="290" w:lineRule="auto"/>
      </w:pPr>
      <w:r>
        <w:rPr>
          <w:color w:val="222222"/>
          <w:sz w:val="21"/>
          <w:szCs w:val="21"/>
        </w:rPr>
        <w:t xml:space="preserve">Run-level budgets — maximum steps, cost, wall-clock and loop iterations — are enforced by the executor.</w:t>
      </w:r>
    </w:p>
    <w:p>
      <w:pPr>
        <w:pStyle w:val="ListParagraph"/>
        <w:numPr>
          <w:ilvl w:val="0"/>
          <w:numId w:val="2"/>
        </w:numPr>
        <w:spacing w:after="90" w:line="290" w:lineRule="auto"/>
      </w:pPr>
      <w:r>
        <w:rPr>
          <w:color w:val="222222"/>
          <w:sz w:val="21"/>
          <w:szCs w:val="21"/>
        </w:rPr>
        <w:t xml:space="preserve">Runtime Traces render the executed path over the graph rather than as a flat list, and a separate trace viewer is not built.</w:t>
      </w:r>
    </w:p>
    <w:p>
      <w:pPr>
        <w:pStyle w:val="Heading2"/>
        <w:spacing w:after="150" w:before="300"/>
      </w:pPr>
      <w:r>
        <w:rPr>
          <w:b/>
          <w:bCs/>
          <w:color w:val="222222"/>
          <w:sz w:val="25"/>
          <w:szCs w:val="25"/>
        </w:rPr>
        <w:t xml:space="preserve">9.4 Data model additions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600"/>
        <w:gridCol w:w="7038"/>
      </w:tblGrid>
      <w:tr>
        <w:trPr>
          <w:tblHeader/>
        </w:trPr>
        <w:tc>
          <w:tcPr>
            <w:tcW w:type="dxa" w:w="2600"/>
            <w:shd w:fill="F3F3F1" w:val="clear"/>
            <w:tcMar>
              <w:top w:type="dxa" w:w="90"/>
              <w:left w:type="dxa" w:w="120"/>
              <w:bottom w:type="dxa" w:w="90"/>
              <w:right w:type="dxa" w:w="120"/>
            </w:tcMar>
          </w:tcPr>
          <w:p>
            <w:pPr>
              <w:spacing w:after="0" w:line="260"/>
            </w:pPr>
            <w:r>
              <w:rPr>
                <w:b/>
                <w:bCs/>
                <w:color w:val="6E6E6E"/>
                <w:sz w:val="17"/>
                <w:szCs w:val="17"/>
              </w:rPr>
              <w:t xml:space="preserve">Entity</w:t>
            </w:r>
          </w:p>
        </w:tc>
        <w:tc>
          <w:tcPr>
            <w:tcW w:type="dxa" w:w="7038"/>
            <w:shd w:fill="F3F3F1" w:val="clear"/>
            <w:tcMar>
              <w:top w:type="dxa" w:w="90"/>
              <w:left w:type="dxa" w:w="120"/>
              <w:bottom w:type="dxa" w:w="90"/>
              <w:right w:type="dxa" w:w="120"/>
            </w:tcMar>
          </w:tcPr>
          <w:p>
            <w:pPr>
              <w:spacing w:after="0" w:line="260"/>
            </w:pPr>
            <w:r>
              <w:rPr>
                <w:b/>
                <w:bCs/>
                <w:color w:val="6E6E6E"/>
                <w:sz w:val="17"/>
                <w:szCs w:val="17"/>
              </w:rPr>
              <w:t xml:space="preserve">Key fields</w:t>
            </w:r>
          </w:p>
        </w:tc>
      </w:tr>
      <w:tr>
        <w:tc>
          <w:tcPr>
            <w:tcW w:type="dxa" w:w="2600"/>
            <w:tcMar>
              <w:top w:type="dxa" w:w="90"/>
              <w:left w:type="dxa" w:w="120"/>
              <w:bottom w:type="dxa" w:w="90"/>
              <w:right w:type="dxa" w:w="120"/>
            </w:tcMar>
          </w:tcPr>
          <w:p>
            <w:pPr>
              <w:spacing w:after="0" w:line="260"/>
            </w:pPr>
            <w:r>
              <w:rPr>
                <w:b/>
                <w:bCs/>
                <w:color w:val="222222"/>
                <w:sz w:val="19"/>
                <w:szCs w:val="19"/>
              </w:rPr>
              <w:t xml:space="preserve">workflow</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tenant_id, name, description, status</w:t>
            </w:r>
          </w:p>
        </w:tc>
      </w:tr>
      <w:tr>
        <w:tc>
          <w:tcPr>
            <w:tcW w:type="dxa" w:w="2600"/>
            <w:tcMar>
              <w:top w:type="dxa" w:w="90"/>
              <w:left w:type="dxa" w:w="120"/>
              <w:bottom w:type="dxa" w:w="90"/>
              <w:right w:type="dxa" w:w="120"/>
            </w:tcMar>
          </w:tcPr>
          <w:p>
            <w:pPr>
              <w:spacing w:after="0" w:line="260"/>
            </w:pPr>
            <w:r>
              <w:rPr>
                <w:b/>
                <w:bCs/>
                <w:color w:val="222222"/>
                <w:sz w:val="19"/>
                <w:szCs w:val="19"/>
              </w:rPr>
              <w:t xml:space="preserve">workflow_version</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workflow_id, version, yaml, graph_json, status, created_by, approved_by, eval_run_id, sandbox_run_id</w:t>
            </w:r>
          </w:p>
        </w:tc>
      </w:tr>
      <w:tr>
        <w:tc>
          <w:tcPr>
            <w:tcW w:type="dxa" w:w="2600"/>
            <w:tcMar>
              <w:top w:type="dxa" w:w="90"/>
              <w:left w:type="dxa" w:w="120"/>
              <w:bottom w:type="dxa" w:w="90"/>
              <w:right w:type="dxa" w:w="120"/>
            </w:tcMar>
          </w:tcPr>
          <w:p>
            <w:pPr>
              <w:spacing w:after="0" w:line="260"/>
            </w:pPr>
            <w:r>
              <w:rPr>
                <w:b/>
                <w:bCs/>
                <w:color w:val="222222"/>
                <w:sz w:val="19"/>
                <w:szCs w:val="19"/>
              </w:rPr>
              <w:t xml:space="preserve">workflow_run</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workflow_version_id, conversation_id, state, checkpoint_json, started_at, ended_at, cost_usd, outcome</w:t>
            </w:r>
          </w:p>
        </w:tc>
      </w:tr>
      <w:tr>
        <w:tc>
          <w:tcPr>
            <w:tcW w:type="dxa" w:w="2600"/>
            <w:tcMar>
              <w:top w:type="dxa" w:w="90"/>
              <w:left w:type="dxa" w:w="120"/>
              <w:bottom w:type="dxa" w:w="90"/>
              <w:right w:type="dxa" w:w="120"/>
            </w:tcMar>
          </w:tcPr>
          <w:p>
            <w:pPr>
              <w:spacing w:after="0" w:line="260"/>
            </w:pPr>
            <w:r>
              <w:rPr>
                <w:b/>
                <w:bCs/>
                <w:color w:val="222222"/>
                <w:sz w:val="19"/>
                <w:szCs w:val="19"/>
              </w:rPr>
              <w:t xml:space="preserve">workflow_run_step</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run_id, node_id, node_kind, ref_version, started_at, ended_at, status, cost_usd, trace_span_id</w:t>
            </w:r>
          </w:p>
        </w:tc>
      </w:tr>
    </w:tbl>
    <w:p>
      <w:pPr>
        <w:spacing w:after="200"/>
      </w:pPr>
    </w:p>
    <w:p>
      <w:r>
        <w:br w:type="page"/>
      </w:r>
    </w:p>
    <w:p>
      <w:pPr>
        <w:pStyle w:val="Heading1"/>
        <w:spacing w:after="200" w:before="360"/>
      </w:pPr>
      <w:r>
        <w:rPr>
          <w:b/>
          <w:bCs/>
          <w:color w:val="222222"/>
          <w:sz w:val="30"/>
          <w:szCs w:val="30"/>
        </w:rPr>
        <w:t xml:space="preserve">10. Module E — Multi-agent orchestration</w:t>
      </w:r>
    </w:p>
    <w:p>
      <w:pPr>
        <w:pStyle w:val="Heading2"/>
        <w:spacing w:after="150" w:before="300"/>
      </w:pPr>
      <w:r>
        <w:rPr>
          <w:b/>
          <w:bCs/>
          <w:color w:val="222222"/>
          <w:sz w:val="25"/>
          <w:szCs w:val="25"/>
        </w:rPr>
        <w:t xml:space="preserve">10.1 The central design move: agent as tool</w:t>
      </w:r>
    </w:p>
    <w:p>
      <w:pPr>
        <w:spacing w:after="140" w:line="300" w:lineRule="auto"/>
      </w:pPr>
      <w:r>
        <w:rPr>
          <w:color w:val="222222"/>
          <w:sz w:val="21"/>
          <w:szCs w:val="21"/>
        </w:rPr>
        <w:t xml:space="preserve">The temptation is to build a second invocation path for delegation. The better decision is to register a specialist agent version as an entry in the Tool Catalog, with its own read/write classification and approval tier, exactly like an MCP tool.</w:t>
      </w:r>
    </w:p>
    <w:p>
      <w:pPr>
        <w:spacing w:after="140" w:line="300" w:lineRule="auto"/>
      </w:pPr>
      <w:r>
        <w:rPr>
          <w:color w:val="222222"/>
          <w:sz w:val="21"/>
          <w:szCs w:val="21"/>
        </w:rPr>
        <w:t xml:space="preserve">That single decision buys almost everything. Delegation flows through the existing per-tool permission rules with their simulate preview. A specialist can be classified Tier 3, so a proposed hand-off lands in the Approval Queue with no new interface. The agent_tool_config module already controls whether a tool is visible to agents and its priority weight when several could serve the same request, which is precisely the routing-preference control a supervisor needs. And Runtime Traces already record tool calls with arguments and results, so a delegation is a trace entry by construction.</w:t>
      </w:r>
    </w:p>
    <w:p>
      <w:pPr>
        <w:spacing w:after="140" w:line="300" w:lineRule="auto"/>
      </w:pPr>
      <w:r>
        <w:rPr>
          <w:color w:val="222222"/>
          <w:sz w:val="21"/>
          <w:szCs w:val="21"/>
        </w:rPr>
        <w:t xml:space="preserve">The alternative means duplicating tiering, permissions, audit and trace rendering, and those duplicates will drift apart.</w:t>
      </w:r>
    </w:p>
    <w:p>
      <w:pPr>
        <w:pStyle w:val="Heading2"/>
        <w:spacing w:after="150" w:before="300"/>
      </w:pPr>
      <w:r>
        <w:rPr>
          <w:b/>
          <w:bCs/>
          <w:color w:val="222222"/>
          <w:sz w:val="25"/>
          <w:szCs w:val="25"/>
        </w:rPr>
        <w:t xml:space="preserve">10.2 Supported topologies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100"/>
        <w:gridCol w:w="3600"/>
        <w:gridCol w:w="3938"/>
      </w:tblGrid>
      <w:tr>
        <w:trPr>
          <w:tblHeader/>
        </w:trPr>
        <w:tc>
          <w:tcPr>
            <w:tcW w:type="dxa" w:w="2100"/>
            <w:shd w:fill="F3F3F1" w:val="clear"/>
            <w:tcMar>
              <w:top w:type="dxa" w:w="90"/>
              <w:left w:type="dxa" w:w="120"/>
              <w:bottom w:type="dxa" w:w="90"/>
              <w:right w:type="dxa" w:w="120"/>
            </w:tcMar>
          </w:tcPr>
          <w:p>
            <w:pPr>
              <w:spacing w:after="0" w:line="260"/>
            </w:pPr>
            <w:r>
              <w:rPr>
                <w:b/>
                <w:bCs/>
                <w:color w:val="6E6E6E"/>
                <w:sz w:val="17"/>
                <w:szCs w:val="17"/>
              </w:rPr>
              <w:t xml:space="preserve">Pattern</w:t>
            </w:r>
          </w:p>
        </w:tc>
        <w:tc>
          <w:tcPr>
            <w:tcW w:type="dxa" w:w="3600"/>
            <w:shd w:fill="F3F3F1" w:val="clear"/>
            <w:tcMar>
              <w:top w:type="dxa" w:w="90"/>
              <w:left w:type="dxa" w:w="120"/>
              <w:bottom w:type="dxa" w:w="90"/>
              <w:right w:type="dxa" w:w="120"/>
            </w:tcMar>
          </w:tcPr>
          <w:p>
            <w:pPr>
              <w:spacing w:after="0" w:line="260"/>
            </w:pPr>
            <w:r>
              <w:rPr>
                <w:b/>
                <w:bCs/>
                <w:color w:val="6E6E6E"/>
                <w:sz w:val="17"/>
                <w:szCs w:val="17"/>
              </w:rPr>
              <w:t xml:space="preserve">When to use</w:t>
            </w:r>
          </w:p>
        </w:tc>
        <w:tc>
          <w:tcPr>
            <w:tcW w:type="dxa" w:w="3938"/>
            <w:shd w:fill="F3F3F1" w:val="clear"/>
            <w:tcMar>
              <w:top w:type="dxa" w:w="90"/>
              <w:left w:type="dxa" w:w="120"/>
              <w:bottom w:type="dxa" w:w="90"/>
              <w:right w:type="dxa" w:w="120"/>
            </w:tcMar>
          </w:tcPr>
          <w:p>
            <w:pPr>
              <w:spacing w:after="0" w:line="260"/>
            </w:pPr>
            <w:r>
              <w:rPr>
                <w:b/>
                <w:bCs/>
                <w:color w:val="6E6E6E"/>
                <w:sz w:val="17"/>
                <w:szCs w:val="17"/>
              </w:rPr>
              <w:t xml:space="preserve">Governance note</w:t>
            </w:r>
          </w:p>
        </w:tc>
      </w:tr>
      <w:tr>
        <w:tc>
          <w:tcPr>
            <w:tcW w:type="dxa" w:w="2100"/>
            <w:tcMar>
              <w:top w:type="dxa" w:w="90"/>
              <w:left w:type="dxa" w:w="120"/>
              <w:bottom w:type="dxa" w:w="90"/>
              <w:right w:type="dxa" w:w="120"/>
            </w:tcMar>
          </w:tcPr>
          <w:p>
            <w:pPr>
              <w:spacing w:after="0" w:line="260"/>
            </w:pPr>
            <w:r>
              <w:rPr>
                <w:b/>
                <w:bCs/>
                <w:color w:val="222222"/>
                <w:sz w:val="19"/>
                <w:szCs w:val="19"/>
              </w:rPr>
              <w:t xml:space="preserve">Supervisor and specialists</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Triage into scoped domains</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The default. The supervisor holds no tools of its own, only the ability to delegate</w:t>
            </w:r>
          </w:p>
        </w:tc>
      </w:tr>
      <w:tr>
        <w:tc>
          <w:tcPr>
            <w:tcW w:type="dxa" w:w="2100"/>
            <w:tcMar>
              <w:top w:type="dxa" w:w="90"/>
              <w:left w:type="dxa" w:w="120"/>
              <w:bottom w:type="dxa" w:w="90"/>
              <w:right w:type="dxa" w:w="120"/>
            </w:tcMar>
          </w:tcPr>
          <w:p>
            <w:pPr>
              <w:spacing w:after="0" w:line="260"/>
            </w:pPr>
            <w:r>
              <w:rPr>
                <w:b/>
                <w:bCs/>
                <w:color w:val="222222"/>
                <w:sz w:val="19"/>
                <w:szCs w:val="19"/>
              </w:rPr>
              <w:t xml:space="preserve">Sequential pipeline</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Draft, then verify, then format</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Belongs in the workflow graph, not in dynamic delegation</w:t>
            </w:r>
          </w:p>
        </w:tc>
      </w:tr>
      <w:tr>
        <w:tc>
          <w:tcPr>
            <w:tcW w:type="dxa" w:w="2100"/>
            <w:tcMar>
              <w:top w:type="dxa" w:w="90"/>
              <w:left w:type="dxa" w:w="120"/>
              <w:bottom w:type="dxa" w:w="90"/>
              <w:right w:type="dxa" w:w="120"/>
            </w:tcMar>
          </w:tcPr>
          <w:p>
            <w:pPr>
              <w:spacing w:after="0" w:line="260"/>
            </w:pPr>
            <w:r>
              <w:rPr>
                <w:b/>
                <w:bCs/>
                <w:color w:val="222222"/>
                <w:sz w:val="19"/>
                <w:szCs w:val="19"/>
              </w:rPr>
              <w:t xml:space="preserve">Parallel fan-out and reduce</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Query several systems and merge</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Hard fan-out cap and a shared run budget</w:t>
            </w:r>
          </w:p>
        </w:tc>
      </w:tr>
      <w:tr>
        <w:tc>
          <w:tcPr>
            <w:tcW w:type="dxa" w:w="2100"/>
            <w:tcMar>
              <w:top w:type="dxa" w:w="90"/>
              <w:left w:type="dxa" w:w="120"/>
              <w:bottom w:type="dxa" w:w="90"/>
              <w:right w:type="dxa" w:w="120"/>
            </w:tcMar>
          </w:tcPr>
          <w:p>
            <w:pPr>
              <w:spacing w:after="0" w:line="260"/>
            </w:pPr>
            <w:r>
              <w:rPr>
                <w:b/>
                <w:bCs/>
                <w:color w:val="222222"/>
                <w:sz w:val="19"/>
                <w:szCs w:val="19"/>
              </w:rPr>
              <w:t xml:space="preserve">Critic or verifier</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A second agent checks the first agent's output</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Cheap, high value, and pairs directly with the missing output-guardrail control</w:t>
            </w:r>
          </w:p>
        </w:tc>
      </w:tr>
      <w:tr>
        <w:tc>
          <w:tcPr>
            <w:tcW w:type="dxa" w:w="2100"/>
            <w:tcMar>
              <w:top w:type="dxa" w:w="90"/>
              <w:left w:type="dxa" w:w="120"/>
              <w:bottom w:type="dxa" w:w="90"/>
              <w:right w:type="dxa" w:w="120"/>
            </w:tcMar>
          </w:tcPr>
          <w:p>
            <w:pPr>
              <w:spacing w:after="0" w:line="260"/>
            </w:pPr>
            <w:r>
              <w:rPr>
                <w:b/>
                <w:bCs/>
                <w:color w:val="222222"/>
                <w:sz w:val="19"/>
                <w:szCs w:val="19"/>
              </w:rPr>
              <w:t xml:space="preserve">Peer hand-off</w:t>
            </w:r>
          </w:p>
        </w:tc>
        <w:tc>
          <w:tcPr>
            <w:tcW w:type="dxa" w:w="3600"/>
            <w:tcMar>
              <w:top w:type="dxa" w:w="90"/>
              <w:left w:type="dxa" w:w="120"/>
              <w:bottom w:type="dxa" w:w="90"/>
              <w:right w:type="dxa" w:w="120"/>
            </w:tcMar>
          </w:tcPr>
          <w:p>
            <w:pPr>
              <w:spacing w:after="0" w:line="260"/>
            </w:pPr>
            <w:r>
              <w:rPr>
                <w:b w:val="false"/>
                <w:bCs w:val="false"/>
                <w:color w:val="222222"/>
                <w:sz w:val="19"/>
                <w:szCs w:val="19"/>
              </w:rPr>
              <w:t xml:space="preserve">Full transfer of the conversation</w:t>
            </w:r>
          </w:p>
        </w:tc>
        <w:tc>
          <w:tcPr>
            <w:tcW w:type="dxa" w:w="3938"/>
            <w:tcMar>
              <w:top w:type="dxa" w:w="90"/>
              <w:left w:type="dxa" w:w="120"/>
              <w:bottom w:type="dxa" w:w="90"/>
              <w:right w:type="dxa" w:w="120"/>
            </w:tcMar>
          </w:tcPr>
          <w:p>
            <w:pPr>
              <w:spacing w:after="0" w:line="260"/>
            </w:pPr>
            <w:r>
              <w:rPr>
                <w:b w:val="false"/>
                <w:bCs w:val="false"/>
                <w:color w:val="222222"/>
                <w:sz w:val="19"/>
                <w:szCs w:val="19"/>
              </w:rPr>
              <w:t xml:space="preserve">Permitted only where the receiving agent's scope is a subset of the sender's</w:t>
            </w:r>
          </w:p>
        </w:tc>
      </w:tr>
    </w:tbl>
    <w:p>
      <w:pPr>
        <w:spacing w:after="200"/>
      </w:pPr>
    </w:p>
    <w:p>
      <w:pPr>
        <w:spacing w:after="140" w:line="300" w:lineRule="auto"/>
      </w:pPr>
      <w:r>
        <w:rPr>
          <w:color w:val="222222"/>
          <w:sz w:val="21"/>
          <w:szCs w:val="21"/>
        </w:rPr>
        <w:t xml:space="preserve">Free-form agent-to-agent messaging with no declared topology is explicitly not supported. It cannot be reviewed, cannot be capped, and produces an audit graph nobody can read.</w:t>
      </w:r>
    </w:p>
    <w:p>
      <w:pPr>
        <w:pStyle w:val="Heading2"/>
        <w:spacing w:after="150" w:before="300"/>
      </w:pPr>
      <w:r>
        <w:rPr>
          <w:b/>
          <w:bCs/>
          <w:color w:val="222222"/>
          <w:sz w:val="25"/>
          <w:szCs w:val="25"/>
        </w:rPr>
        <w:t xml:space="preserve">10.3 Team definition</w:t>
      </w:r>
    </w:p>
    <w:tbl>
      <w:tblPr>
        <w:tblW w:type="dxa" w:w="9638"/>
        <w:tblBorders>
          <w:top w:val="single" w:color="CFCFCF" w:sz="2"/>
          <w:left w:val="single" w:color="CFCFCF" w:sz="2"/>
          <w:bottom w:val="single" w:color="CFCFCF" w:sz="2"/>
          <w:right w:val="single" w:color="CFCFCF" w:sz="2"/>
          <w:insideH w:val="none"/>
          <w:insideV w:val="none"/>
        </w:tblBorders>
      </w:tblPr>
      <w:tblGrid>
        <w:gridCol w:w="9638"/>
      </w:tblGrid>
      <w:tr>
        <w:tc>
          <w:tcPr>
            <w:tcW w:type="dxa" w:w="9638"/>
            <w:shd w:fill="FAFAF8" w:val="clear"/>
            <w:tcMar>
              <w:top w:type="dxa" w:w="140"/>
              <w:left w:type="dxa" w:w="160"/>
              <w:bottom w:type="dxa" w:w="140"/>
              <w:right w:type="dxa" w:w="160"/>
            </w:tcMar>
          </w:tcPr>
          <w:p>
            <w:pPr>
              <w:spacing w:after="0" w:line="250"/>
            </w:pPr>
            <w:r>
              <w:rPr>
                <w:rFonts w:ascii="Consolas" w:cs="Consolas" w:eastAsia="Consolas" w:hAnsi="Consolas"/>
                <w:color w:val="3C3C3C"/>
                <w:sz w:val="17"/>
                <w:szCs w:val="17"/>
              </w:rPr>
              <w:t xml:space="preserve">kind: team</w:t>
            </w:r>
          </w:p>
          <w:p>
            <w:pPr>
              <w:spacing w:after="0" w:line="250"/>
            </w:pPr>
            <w:r>
              <w:rPr>
                <w:rFonts w:ascii="Consolas" w:cs="Consolas" w:eastAsia="Consolas" w:hAnsi="Consolas"/>
                <w:color w:val="3C3C3C"/>
                <w:sz w:val="17"/>
                <w:szCs w:val="17"/>
              </w:rPr>
              <w:t xml:space="preserve">name: support_team</w:t>
            </w:r>
          </w:p>
          <w:p>
            <w:pPr>
              <w:spacing w:after="0" w:line="250"/>
            </w:pPr>
            <w:r>
              <w:rPr>
                <w:rFonts w:ascii="Consolas" w:cs="Consolas" w:eastAsia="Consolas" w:hAnsi="Consolas"/>
                <w:color w:val="3C3C3C"/>
                <w:sz w:val="17"/>
                <w:szCs w:val="17"/>
              </w:rPr>
              <w:t xml:space="preserve">version: 3</w:t>
            </w:r>
          </w:p>
          <w:p>
            <w:pPr>
              <w:spacing w:after="0" w:line="250"/>
            </w:pPr>
            <w:r>
              <w:rPr>
                <w:rFonts w:ascii="Consolas" w:cs="Consolas" w:eastAsia="Consolas" w:hAnsi="Consolas"/>
                <w:color w:val="3C3C3C"/>
                <w:sz w:val="17"/>
                <w:szCs w:val="17"/>
              </w:rPr>
              <w:t xml:space="preserve">supervisor:</w:t>
            </w:r>
          </w:p>
          <w:p>
            <w:pPr>
              <w:spacing w:after="0" w:line="250"/>
            </w:pPr>
            <w:r>
              <w:rPr>
                <w:rFonts w:ascii="Consolas" w:cs="Consolas" w:eastAsia="Consolas" w:hAnsi="Consolas"/>
                <w:color w:val="3C3C3C"/>
                <w:sz w:val="17"/>
                <w:szCs w:val="17"/>
              </w:rPr>
              <w:t xml:space="preserve">  definition: triage@14</w:t>
            </w:r>
          </w:p>
          <w:p>
            <w:pPr>
              <w:spacing w:after="0" w:line="250"/>
            </w:pPr>
            <w:r>
              <w:rPr>
                <w:rFonts w:ascii="Consolas" w:cs="Consolas" w:eastAsia="Consolas" w:hAnsi="Consolas"/>
                <w:color w:val="3C3C3C"/>
                <w:sz w:val="17"/>
                <w:szCs w:val="17"/>
              </w:rPr>
              <w:t xml:space="preserve">  modelRoute: chat.router          # routing is classification — do not spend a frontier model on it</w:t>
            </w:r>
          </w:p>
          <w:p>
            <w:pPr>
              <w:spacing w:after="0" w:line="250"/>
            </w:pPr>
            <w:r>
              <w:rPr>
                <w:rFonts w:ascii="Consolas" w:cs="Consolas" w:eastAsia="Consolas" w:hAnsi="Consolas"/>
                <w:color w:val="3C3C3C"/>
                <w:sz w:val="17"/>
                <w:szCs w:val="17"/>
              </w:rPr>
              <w:t xml:space="preserve">members:</w:t>
            </w:r>
          </w:p>
          <w:p>
            <w:pPr>
              <w:spacing w:after="0" w:line="250"/>
            </w:pPr>
            <w:r>
              <w:rPr>
                <w:rFonts w:ascii="Consolas" w:cs="Consolas" w:eastAsia="Consolas" w:hAnsi="Consolas"/>
                <w:color w:val="3C3C3C"/>
                <w:sz w:val="17"/>
                <w:szCs w:val="17"/>
              </w:rPr>
              <w:t xml:space="preserve">  - definition: billing_agent@9</w:t>
            </w:r>
          </w:p>
          <w:p>
            <w:pPr>
              <w:spacing w:after="0" w:line="250"/>
            </w:pPr>
            <w:r>
              <w:rPr>
                <w:rFonts w:ascii="Consolas" w:cs="Consolas" w:eastAsia="Consolas" w:hAnsi="Consolas"/>
                <w:color w:val="3C3C3C"/>
                <w:sz w:val="17"/>
                <w:szCs w:val="17"/>
              </w:rPr>
              <w:t xml:space="preserve">    delegationTier: 2</w:t>
            </w:r>
          </w:p>
          <w:p>
            <w:pPr>
              <w:spacing w:after="0" w:line="250"/>
            </w:pPr>
            <w:r>
              <w:rPr>
                <w:rFonts w:ascii="Consolas" w:cs="Consolas" w:eastAsia="Consolas" w:hAnsi="Consolas"/>
                <w:color w:val="3C3C3C"/>
                <w:sz w:val="17"/>
                <w:szCs w:val="17"/>
              </w:rPr>
              <w:t xml:space="preserve">    invokeWhen: "billing, invoices, refunds, duplicate charges"</w:t>
            </w:r>
          </w:p>
          <w:p>
            <w:pPr>
              <w:spacing w:after="0" w:line="250"/>
            </w:pPr>
            <w:r>
              <w:rPr>
                <w:rFonts w:ascii="Consolas" w:cs="Consolas" w:eastAsia="Consolas" w:hAnsi="Consolas"/>
                <w:color w:val="3C3C3C"/>
                <w:sz w:val="17"/>
                <w:szCs w:val="17"/>
              </w:rPr>
              <w:t xml:space="preserve">  - definition: orders_agent@5</w:t>
            </w:r>
          </w:p>
          <w:p>
            <w:pPr>
              <w:spacing w:after="0" w:line="250"/>
            </w:pPr>
            <w:r>
              <w:rPr>
                <w:rFonts w:ascii="Consolas" w:cs="Consolas" w:eastAsia="Consolas" w:hAnsi="Consolas"/>
                <w:color w:val="3C3C3C"/>
                <w:sz w:val="17"/>
                <w:szCs w:val="17"/>
              </w:rPr>
              <w:t xml:space="preserve">    delegationTier: 1</w:t>
            </w:r>
          </w:p>
          <w:p>
            <w:pPr>
              <w:spacing w:after="0" w:line="250"/>
            </w:pPr>
            <w:r>
              <w:rPr>
                <w:rFonts w:ascii="Consolas" w:cs="Consolas" w:eastAsia="Consolas" w:hAnsi="Consolas"/>
                <w:color w:val="3C3C3C"/>
                <w:sz w:val="17"/>
                <w:szCs w:val="17"/>
              </w:rPr>
              <w:t xml:space="preserve">  - definition: policy_agent@4</w:t>
            </w:r>
          </w:p>
          <w:p>
            <w:pPr>
              <w:spacing w:after="0" w:line="250"/>
            </w:pPr>
            <w:r>
              <w:rPr>
                <w:rFonts w:ascii="Consolas" w:cs="Consolas" w:eastAsia="Consolas" w:hAnsi="Consolas"/>
                <w:color w:val="3C3C3C"/>
                <w:sz w:val="17"/>
                <w:szCs w:val="17"/>
              </w:rPr>
              <w:t xml:space="preserve">    delegationTier: 1</w:t>
            </w:r>
          </w:p>
          <w:p>
            <w:pPr>
              <w:spacing w:after="0" w:line="250"/>
            </w:pPr>
            <w:r>
              <w:rPr>
                <w:rFonts w:ascii="Consolas" w:cs="Consolas" w:eastAsia="Consolas" w:hAnsi="Consolas"/>
                <w:color w:val="3C3C3C"/>
                <w:sz w:val="17"/>
                <w:szCs w:val="17"/>
              </w:rPr>
              <w:t xml:space="preserve">limits:</w:t>
            </w:r>
          </w:p>
          <w:p>
            <w:pPr>
              <w:spacing w:after="0" w:line="250"/>
            </w:pPr>
            <w:r>
              <w:rPr>
                <w:rFonts w:ascii="Consolas" w:cs="Consolas" w:eastAsia="Consolas" w:hAnsi="Consolas"/>
                <w:color w:val="3C3C3C"/>
                <w:sz w:val="17"/>
                <w:szCs w:val="17"/>
              </w:rPr>
              <w:t xml:space="preserve">  maxDepth: 2</w:t>
            </w:r>
          </w:p>
          <w:p>
            <w:pPr>
              <w:spacing w:after="0" w:line="250"/>
            </w:pPr>
            <w:r>
              <w:rPr>
                <w:rFonts w:ascii="Consolas" w:cs="Consolas" w:eastAsia="Consolas" w:hAnsi="Consolas"/>
                <w:color w:val="3C3C3C"/>
                <w:sz w:val="17"/>
                <w:szCs w:val="17"/>
              </w:rPr>
              <w:t xml:space="preserve">  maxFanOut: 3</w:t>
            </w:r>
          </w:p>
          <w:p>
            <w:pPr>
              <w:spacing w:after="0" w:line="250"/>
            </w:pPr>
            <w:r>
              <w:rPr>
                <w:rFonts w:ascii="Consolas" w:cs="Consolas" w:eastAsia="Consolas" w:hAnsi="Consolas"/>
                <w:color w:val="3C3C3C"/>
                <w:sz w:val="17"/>
                <w:szCs w:val="17"/>
              </w:rPr>
              <w:t xml:space="preserve">  maxDelegations: 6</w:t>
            </w:r>
          </w:p>
          <w:p>
            <w:pPr>
              <w:spacing w:after="0" w:line="250"/>
            </w:pPr>
            <w:r>
              <w:rPr>
                <w:rFonts w:ascii="Consolas" w:cs="Consolas" w:eastAsia="Consolas" w:hAnsi="Consolas"/>
                <w:color w:val="3C3C3C"/>
                <w:sz w:val="17"/>
                <w:szCs w:val="17"/>
              </w:rPr>
              <w:t xml:space="preserve">  runBudget: { usd: 0.40, seconds: 45 }</w:t>
            </w:r>
          </w:p>
          <w:p>
            <w:pPr>
              <w:spacing w:after="0" w:line="250"/>
            </w:pPr>
            <w:r>
              <w:rPr>
                <w:rFonts w:ascii="Consolas" w:cs="Consolas" w:eastAsia="Consolas" w:hAnsi="Consolas"/>
                <w:color w:val="3C3C3C"/>
                <w:sz w:val="17"/>
                <w:szCs w:val="17"/>
              </w:rPr>
              <w:t xml:space="preserve">failureMode: escalate              # never silently degrade</w:t>
            </w:r>
          </w:p>
        </w:tc>
      </w:tr>
    </w:tbl>
    <w:p>
      <w:pPr>
        <w:spacing w:after="200"/>
      </w:pPr>
    </w:p>
    <w:p>
      <w:pPr>
        <w:spacing w:after="60" w:before="120" w:line="240" w:lineRule="auto"/>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14650"/>
                    </a:xfrm>
                    <a:prstGeom prst="rect">
                      <a:avLst/>
                    </a:prstGeom>
                  </pic:spPr>
                </pic:pic>
              </a:graphicData>
            </a:graphic>
          </wp:inline>
        </w:drawing>
      </w:r>
    </w:p>
    <w:p>
      <w:pPr>
        <w:spacing w:after="240"/>
        <w:jc w:val="center"/>
      </w:pPr>
      <w:r>
        <w:rPr>
          <w:i/>
          <w:iCs/>
          <w:color w:val="6E6E6E"/>
          <w:sz w:val="17"/>
          <w:szCs w:val="17"/>
        </w:rPr>
        <w:t xml:space="preserve">Figure 9 — Team definition with a routing simulator. Delegation preview shows depth, cost and the highest tier the route would reach before anything runs.</w:t>
      </w:r>
    </w:p>
    <w:p>
      <w:pPr>
        <w:pStyle w:val="Heading2"/>
        <w:spacing w:after="150" w:before="300"/>
      </w:pPr>
      <w:r>
        <w:rPr>
          <w:b/>
          <w:bCs/>
          <w:color w:val="222222"/>
          <w:sz w:val="25"/>
          <w:szCs w:val="25"/>
        </w:rPr>
        <w:t xml:space="preserve">10.4 Six invariants the runtime must enforce</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400"/>
        <w:gridCol w:w="4200"/>
        <w:gridCol w:w="5038"/>
      </w:tblGrid>
      <w:tr>
        <w:trPr>
          <w:tblHeader/>
        </w:trPr>
        <w:tc>
          <w:tcPr>
            <w:tcW w:type="dxa" w:w="400"/>
            <w:shd w:fill="F3F3F1" w:val="clear"/>
            <w:tcMar>
              <w:top w:type="dxa" w:w="90"/>
              <w:left w:type="dxa" w:w="120"/>
              <w:bottom w:type="dxa" w:w="90"/>
              <w:right w:type="dxa" w:w="120"/>
            </w:tcMar>
          </w:tcPr>
          <w:p>
            <w:pPr>
              <w:spacing w:after="0" w:line="260"/>
            </w:pPr>
            <w:r>
              <w:rPr>
                <w:b/>
                <w:bCs/>
                <w:color w:val="6E6E6E"/>
                <w:sz w:val="17"/>
                <w:szCs w:val="17"/>
              </w:rPr>
              <w:t xml:space="preserve">#</w:t>
            </w:r>
          </w:p>
        </w:tc>
        <w:tc>
          <w:tcPr>
            <w:tcW w:type="dxa" w:w="4200"/>
            <w:shd w:fill="F3F3F1" w:val="clear"/>
            <w:tcMar>
              <w:top w:type="dxa" w:w="90"/>
              <w:left w:type="dxa" w:w="120"/>
              <w:bottom w:type="dxa" w:w="90"/>
              <w:right w:type="dxa" w:w="120"/>
            </w:tcMar>
          </w:tcPr>
          <w:p>
            <w:pPr>
              <w:spacing w:after="0" w:line="260"/>
            </w:pPr>
            <w:r>
              <w:rPr>
                <w:b/>
                <w:bCs/>
                <w:color w:val="6E6E6E"/>
                <w:sz w:val="17"/>
                <w:szCs w:val="17"/>
              </w:rPr>
              <w:t xml:space="preserve">Invariant</w:t>
            </w:r>
          </w:p>
        </w:tc>
        <w:tc>
          <w:tcPr>
            <w:tcW w:type="dxa" w:w="5038"/>
            <w:shd w:fill="F3F3F1" w:val="clear"/>
            <w:tcMar>
              <w:top w:type="dxa" w:w="90"/>
              <w:left w:type="dxa" w:w="120"/>
              <w:bottom w:type="dxa" w:w="90"/>
              <w:right w:type="dxa" w:w="120"/>
            </w:tcMar>
          </w:tcPr>
          <w:p>
            <w:pPr>
              <w:spacing w:after="0" w:line="260"/>
            </w:pPr>
            <w:r>
              <w:rPr>
                <w:b/>
                <w:bCs/>
                <w:color w:val="6E6E6E"/>
                <w:sz w:val="17"/>
                <w:szCs w:val="17"/>
              </w:rPr>
              <w:t xml:space="preserve">Why it matters</w:t>
            </w:r>
          </w:p>
        </w:tc>
      </w:tr>
      <w:tr>
        <w:tc>
          <w:tcPr>
            <w:tcW w:type="dxa" w:w="400"/>
            <w:tcMar>
              <w:top w:type="dxa" w:w="90"/>
              <w:left w:type="dxa" w:w="120"/>
              <w:bottom w:type="dxa" w:w="90"/>
              <w:right w:type="dxa" w:w="120"/>
            </w:tcMar>
          </w:tcPr>
          <w:p>
            <w:pPr>
              <w:spacing w:after="0" w:line="260"/>
            </w:pPr>
            <w:r>
              <w:rPr>
                <w:color w:val="222222"/>
                <w:sz w:val="19"/>
                <w:szCs w:val="19"/>
              </w:rPr>
              <w:t xml:space="preserve">1</w:t>
            </w:r>
          </w:p>
        </w:tc>
        <w:tc>
          <w:tcPr>
            <w:tcW w:type="dxa" w:w="4200"/>
            <w:tcMar>
              <w:top w:type="dxa" w:w="90"/>
              <w:left w:type="dxa" w:w="120"/>
              <w:bottom w:type="dxa" w:w="90"/>
              <w:right w:type="dxa" w:w="120"/>
            </w:tcMar>
          </w:tcPr>
          <w:p>
            <w:pPr>
              <w:spacing w:after="0" w:line="260"/>
            </w:pPr>
            <w:r>
              <w:rPr>
                <w:color w:val="222222"/>
                <w:sz w:val="19"/>
                <w:szCs w:val="19"/>
              </w:rPr>
              <w:t xml:space="preserve">Permissions compose by intersection, never union. Effective scope equals member scope intersected with supervisor scope intersected with tenant policy.</w:t>
            </w:r>
          </w:p>
        </w:tc>
        <w:tc>
          <w:tcPr>
            <w:tcW w:type="dxa" w:w="5038"/>
            <w:tcMar>
              <w:top w:type="dxa" w:w="90"/>
              <w:left w:type="dxa" w:w="120"/>
              <w:bottom w:type="dxa" w:w="90"/>
              <w:right w:type="dxa" w:w="120"/>
            </w:tcMar>
          </w:tcPr>
          <w:p>
            <w:pPr>
              <w:spacing w:after="0" w:line="260"/>
            </w:pPr>
            <w:r>
              <w:rPr>
                <w:color w:val="222222"/>
                <w:sz w:val="19"/>
                <w:szCs w:val="19"/>
              </w:rPr>
              <w:t xml:space="preserve">Without this, a low-privilege supervisor delegating to a high-privilege specialist is a privilege-escalation primitive.</w:t>
            </w:r>
          </w:p>
        </w:tc>
      </w:tr>
      <w:tr>
        <w:tc>
          <w:tcPr>
            <w:tcW w:type="dxa" w:w="400"/>
            <w:tcMar>
              <w:top w:type="dxa" w:w="90"/>
              <w:left w:type="dxa" w:w="120"/>
              <w:bottom w:type="dxa" w:w="90"/>
              <w:right w:type="dxa" w:w="120"/>
            </w:tcMar>
          </w:tcPr>
          <w:p>
            <w:pPr>
              <w:spacing w:after="0" w:line="260"/>
            </w:pPr>
            <w:r>
              <w:rPr>
                <w:color w:val="222222"/>
                <w:sz w:val="19"/>
                <w:szCs w:val="19"/>
              </w:rPr>
              <w:t xml:space="preserve">2</w:t>
            </w:r>
          </w:p>
        </w:tc>
        <w:tc>
          <w:tcPr>
            <w:tcW w:type="dxa" w:w="4200"/>
            <w:tcMar>
              <w:top w:type="dxa" w:w="90"/>
              <w:left w:type="dxa" w:w="120"/>
              <w:bottom w:type="dxa" w:w="90"/>
              <w:right w:type="dxa" w:w="120"/>
            </w:tcMar>
          </w:tcPr>
          <w:p>
            <w:pPr>
              <w:spacing w:after="0" w:line="260"/>
            </w:pPr>
            <w:r>
              <w:rPr>
                <w:color w:val="222222"/>
                <w:sz w:val="19"/>
                <w:szCs w:val="19"/>
              </w:rPr>
              <w:t xml:space="preserve">Tier 3 survives every hop, and the Approval Queue displays the delegation chain that produced the request.</w:t>
            </w:r>
          </w:p>
        </w:tc>
        <w:tc>
          <w:tcPr>
            <w:tcW w:type="dxa" w:w="5038"/>
            <w:tcMar>
              <w:top w:type="dxa" w:w="90"/>
              <w:left w:type="dxa" w:w="120"/>
              <w:bottom w:type="dxa" w:w="90"/>
              <w:right w:type="dxa" w:w="120"/>
            </w:tcMar>
          </w:tcPr>
          <w:p>
            <w:pPr>
              <w:spacing w:after="0" w:line="260"/>
            </w:pPr>
            <w:r>
              <w:rPr>
                <w:color w:val="222222"/>
                <w:sz w:val="19"/>
                <w:szCs w:val="19"/>
              </w:rPr>
              <w:t xml:space="preserve">An approver looking at "refund 2,400" with no idea which agent asked, on whose behalf, cannot make a real decision — and this is the only human checkpoint.</w:t>
            </w:r>
          </w:p>
        </w:tc>
      </w:tr>
      <w:tr>
        <w:tc>
          <w:tcPr>
            <w:tcW w:type="dxa" w:w="400"/>
            <w:tcMar>
              <w:top w:type="dxa" w:w="90"/>
              <w:left w:type="dxa" w:w="120"/>
              <w:bottom w:type="dxa" w:w="90"/>
              <w:right w:type="dxa" w:w="120"/>
            </w:tcMar>
          </w:tcPr>
          <w:p>
            <w:pPr>
              <w:spacing w:after="0" w:line="260"/>
            </w:pPr>
            <w:r>
              <w:rPr>
                <w:color w:val="222222"/>
                <w:sz w:val="19"/>
                <w:szCs w:val="19"/>
              </w:rPr>
              <w:t xml:space="preserve">3</w:t>
            </w:r>
          </w:p>
        </w:tc>
        <w:tc>
          <w:tcPr>
            <w:tcW w:type="dxa" w:w="4200"/>
            <w:tcMar>
              <w:top w:type="dxa" w:w="90"/>
              <w:left w:type="dxa" w:w="120"/>
              <w:bottom w:type="dxa" w:w="90"/>
              <w:right w:type="dxa" w:w="120"/>
            </w:tcMar>
          </w:tcPr>
          <w:p>
            <w:pPr>
              <w:spacing w:after="0" w:line="260"/>
            </w:pPr>
            <w:r>
              <w:rPr>
                <w:color w:val="222222"/>
                <w:sz w:val="19"/>
                <w:szCs w:val="19"/>
              </w:rPr>
              <w:t xml:space="preserve">The PII masking-context matrix is re-evaluated at every agent boundary.</w:t>
            </w:r>
          </w:p>
        </w:tc>
        <w:tc>
          <w:tcPr>
            <w:tcW w:type="dxa" w:w="5038"/>
            <w:tcMar>
              <w:top w:type="dxa" w:w="90"/>
              <w:left w:type="dxa" w:w="120"/>
              <w:bottom w:type="dxa" w:w="90"/>
              <w:right w:type="dxa" w:w="120"/>
            </w:tcMar>
          </w:tcPr>
          <w:p>
            <w:pPr>
              <w:spacing w:after="0" w:line="260"/>
            </w:pPr>
            <w:r>
              <w:rPr>
                <w:color w:val="222222"/>
                <w:sz w:val="19"/>
                <w:szCs w:val="19"/>
              </w:rPr>
              <w:t xml:space="preserve">A hand-off is a context change. A supervisor holding unmasked PII passing a full transcript to a lower-trust specialist bypasses masking by composition.</w:t>
            </w:r>
          </w:p>
        </w:tc>
      </w:tr>
      <w:tr>
        <w:tc>
          <w:tcPr>
            <w:tcW w:type="dxa" w:w="400"/>
            <w:tcMar>
              <w:top w:type="dxa" w:w="90"/>
              <w:left w:type="dxa" w:w="120"/>
              <w:bottom w:type="dxa" w:w="90"/>
              <w:right w:type="dxa" w:w="120"/>
            </w:tcMar>
          </w:tcPr>
          <w:p>
            <w:pPr>
              <w:spacing w:after="0" w:line="260"/>
            </w:pPr>
            <w:r>
              <w:rPr>
                <w:color w:val="222222"/>
                <w:sz w:val="19"/>
                <w:szCs w:val="19"/>
              </w:rPr>
              <w:t xml:space="preserve">4</w:t>
            </w:r>
          </w:p>
        </w:tc>
        <w:tc>
          <w:tcPr>
            <w:tcW w:type="dxa" w:w="4200"/>
            <w:tcMar>
              <w:top w:type="dxa" w:w="90"/>
              <w:left w:type="dxa" w:w="120"/>
              <w:bottom w:type="dxa" w:w="90"/>
              <w:right w:type="dxa" w:w="120"/>
            </w:tcMar>
          </w:tcPr>
          <w:p>
            <w:pPr>
              <w:spacing w:after="0" w:line="260"/>
            </w:pPr>
            <w:r>
              <w:rPr>
                <w:color w:val="222222"/>
                <w:sz w:val="19"/>
                <w:szCs w:val="19"/>
              </w:rPr>
              <w:t xml:space="preserve">One conversation raises one escalation, against the parent, with the chain attached.</w:t>
            </w:r>
          </w:p>
        </w:tc>
        <w:tc>
          <w:tcPr>
            <w:tcW w:type="dxa" w:w="5038"/>
            <w:tcMar>
              <w:top w:type="dxa" w:w="90"/>
              <w:left w:type="dxa" w:w="120"/>
              <w:bottom w:type="dxa" w:w="90"/>
              <w:right w:type="dxa" w:w="120"/>
            </w:tcMar>
          </w:tcPr>
          <w:p>
            <w:pPr>
              <w:spacing w:after="0" w:line="260"/>
            </w:pPr>
            <w:r>
              <w:rPr>
                <w:color w:val="222222"/>
                <w:sz w:val="19"/>
                <w:szCs w:val="19"/>
              </w:rPr>
              <w:t xml:space="preserve">Two specialists tripping an escalation condition must not put the customer into two queues, and the takeover panel must show the whole tree.</w:t>
            </w:r>
          </w:p>
        </w:tc>
      </w:tr>
      <w:tr>
        <w:tc>
          <w:tcPr>
            <w:tcW w:type="dxa" w:w="400"/>
            <w:tcMar>
              <w:top w:type="dxa" w:w="90"/>
              <w:left w:type="dxa" w:w="120"/>
              <w:bottom w:type="dxa" w:w="90"/>
              <w:right w:type="dxa" w:w="120"/>
            </w:tcMar>
          </w:tcPr>
          <w:p>
            <w:pPr>
              <w:spacing w:after="0" w:line="260"/>
            </w:pPr>
            <w:r>
              <w:rPr>
                <w:color w:val="222222"/>
                <w:sz w:val="19"/>
                <w:szCs w:val="19"/>
              </w:rPr>
              <w:t xml:space="preserve">5</w:t>
            </w:r>
          </w:p>
        </w:tc>
        <w:tc>
          <w:tcPr>
            <w:tcW w:type="dxa" w:w="4200"/>
            <w:tcMar>
              <w:top w:type="dxa" w:w="90"/>
              <w:left w:type="dxa" w:w="120"/>
              <w:bottom w:type="dxa" w:w="90"/>
              <w:right w:type="dxa" w:w="120"/>
            </w:tcMar>
          </w:tcPr>
          <w:p>
            <w:pPr>
              <w:spacing w:after="0" w:line="260"/>
            </w:pPr>
            <w:r>
              <w:rPr>
                <w:color w:val="222222"/>
                <w:sz w:val="19"/>
                <w:szCs w:val="19"/>
              </w:rPr>
              <w:t xml:space="preserve">Budgets are shared and enforced at run level: depth, fan-out, delegation count, cumulative cost and wall-clock.</w:t>
            </w:r>
          </w:p>
        </w:tc>
        <w:tc>
          <w:tcPr>
            <w:tcW w:type="dxa" w:w="5038"/>
            <w:tcMar>
              <w:top w:type="dxa" w:w="90"/>
              <w:left w:type="dxa" w:w="120"/>
              <w:bottom w:type="dxa" w:w="90"/>
              <w:right w:type="dxa" w:w="120"/>
            </w:tcMar>
          </w:tcPr>
          <w:p>
            <w:pPr>
              <w:spacing w:after="0" w:line="260"/>
            </w:pPr>
            <w:r>
              <w:rPr>
                <w:color w:val="222222"/>
                <w:sz w:val="19"/>
                <w:szCs w:val="19"/>
              </w:rPr>
              <w:t xml:space="preserve">A supervisor that can re-delegate on failure is an unbounded loop unless the executor stops it.</w:t>
            </w:r>
          </w:p>
        </w:tc>
      </w:tr>
      <w:tr>
        <w:tc>
          <w:tcPr>
            <w:tcW w:type="dxa" w:w="400"/>
            <w:tcMar>
              <w:top w:type="dxa" w:w="90"/>
              <w:left w:type="dxa" w:w="120"/>
              <w:bottom w:type="dxa" w:w="90"/>
              <w:right w:type="dxa" w:w="120"/>
            </w:tcMar>
          </w:tcPr>
          <w:p>
            <w:pPr>
              <w:spacing w:after="0" w:line="260"/>
            </w:pPr>
            <w:r>
              <w:rPr>
                <w:color w:val="222222"/>
                <w:sz w:val="19"/>
                <w:szCs w:val="19"/>
              </w:rPr>
              <w:t xml:space="preserve">6</w:t>
            </w:r>
          </w:p>
        </w:tc>
        <w:tc>
          <w:tcPr>
            <w:tcW w:type="dxa" w:w="4200"/>
            <w:tcMar>
              <w:top w:type="dxa" w:w="90"/>
              <w:left w:type="dxa" w:w="120"/>
              <w:bottom w:type="dxa" w:w="90"/>
              <w:right w:type="dxa" w:w="120"/>
            </w:tcMar>
          </w:tcPr>
          <w:p>
            <w:pPr>
              <w:spacing w:after="0" w:line="260"/>
            </w:pPr>
            <w:r>
              <w:rPr>
                <w:color w:val="222222"/>
                <w:sz w:val="19"/>
                <w:szCs w:val="19"/>
              </w:rPr>
              <w:t xml:space="preserve">Members are pinned by version.</w:t>
            </w:r>
          </w:p>
        </w:tc>
        <w:tc>
          <w:tcPr>
            <w:tcW w:type="dxa" w:w="5038"/>
            <w:tcMar>
              <w:top w:type="dxa" w:w="90"/>
              <w:left w:type="dxa" w:w="120"/>
              <w:bottom w:type="dxa" w:w="90"/>
              <w:right w:type="dxa" w:w="120"/>
            </w:tcMar>
          </w:tcPr>
          <w:p>
            <w:pPr>
              <w:spacing w:after="0" w:line="260"/>
            </w:pPr>
            <w:r>
              <w:rPr>
                <w:color w:val="222222"/>
                <w:sz w:val="19"/>
                <w:szCs w:val="19"/>
              </w:rPr>
              <w:t xml:space="preserve">Promoting a member to a new version must not silently change a production team's behaviour after it was reviewed.</w:t>
            </w:r>
          </w:p>
        </w:tc>
      </w:tr>
    </w:tbl>
    <w:p>
      <w:pPr>
        <w:spacing w:after="200"/>
      </w:pPr>
    </w:p>
    <w:p>
      <w:pPr>
        <w:pStyle w:val="Heading2"/>
        <w:spacing w:after="150" w:before="300"/>
      </w:pPr>
      <w:r>
        <w:rPr>
          <w:b/>
          <w:bCs/>
          <w:color w:val="222222"/>
          <w:sz w:val="25"/>
          <w:szCs w:val="25"/>
        </w:rPr>
        <w:t xml:space="preserve">10.5 Extending the existing surfaces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000"/>
        <w:gridCol w:w="7638"/>
      </w:tblGrid>
      <w:tr>
        <w:trPr>
          <w:tblHeader/>
        </w:trPr>
        <w:tc>
          <w:tcPr>
            <w:tcW w:type="dxa" w:w="2000"/>
            <w:shd w:fill="F3F3F1" w:val="clear"/>
            <w:tcMar>
              <w:top w:type="dxa" w:w="90"/>
              <w:left w:type="dxa" w:w="120"/>
              <w:bottom w:type="dxa" w:w="90"/>
              <w:right w:type="dxa" w:w="120"/>
            </w:tcMar>
          </w:tcPr>
          <w:p>
            <w:pPr>
              <w:spacing w:after="0" w:line="260"/>
            </w:pPr>
            <w:r>
              <w:rPr>
                <w:b/>
                <w:bCs/>
                <w:color w:val="6E6E6E"/>
                <w:sz w:val="17"/>
                <w:szCs w:val="17"/>
              </w:rPr>
              <w:t xml:space="preserve">Surface</w:t>
            </w:r>
          </w:p>
        </w:tc>
        <w:tc>
          <w:tcPr>
            <w:tcW w:type="dxa" w:w="7638"/>
            <w:shd w:fill="F3F3F1" w:val="clear"/>
            <w:tcMar>
              <w:top w:type="dxa" w:w="90"/>
              <w:left w:type="dxa" w:w="120"/>
              <w:bottom w:type="dxa" w:w="90"/>
              <w:right w:type="dxa" w:w="120"/>
            </w:tcMar>
          </w:tcPr>
          <w:p>
            <w:pPr>
              <w:spacing w:after="0" w:line="260"/>
            </w:pPr>
            <w:r>
              <w:rPr>
                <w:b/>
                <w:bCs/>
                <w:color w:val="6E6E6E"/>
                <w:sz w:val="17"/>
                <w:szCs w:val="17"/>
              </w:rPr>
              <w:t xml:space="preserve">Change required</w:t>
            </w:r>
          </w:p>
        </w:tc>
      </w:tr>
      <w:tr>
        <w:tc>
          <w:tcPr>
            <w:tcW w:type="dxa" w:w="2000"/>
            <w:tcMar>
              <w:top w:type="dxa" w:w="90"/>
              <w:left w:type="dxa" w:w="120"/>
              <w:bottom w:type="dxa" w:w="90"/>
              <w:right w:type="dxa" w:w="120"/>
            </w:tcMar>
          </w:tcPr>
          <w:p>
            <w:pPr>
              <w:spacing w:after="0" w:line="260"/>
            </w:pPr>
            <w:r>
              <w:rPr>
                <w:b/>
                <w:bCs/>
                <w:color w:val="222222"/>
                <w:sz w:val="19"/>
                <w:szCs w:val="19"/>
              </w:rPr>
              <w:t xml:space="preserve">Runtime Traces</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Becomes a tree: which agent handled which span, the delegation reason, per-agent token and cost attribution, and the run total. Without it, a wrong answer in a three-agent run cannot be traced to the hop that produced it.</w:t>
            </w:r>
          </w:p>
        </w:tc>
      </w:tr>
      <w:tr>
        <w:tc>
          <w:tcPr>
            <w:tcW w:type="dxa" w:w="2000"/>
            <w:tcMar>
              <w:top w:type="dxa" w:w="90"/>
              <w:left w:type="dxa" w:w="120"/>
              <w:bottom w:type="dxa" w:w="90"/>
              <w:right w:type="dxa" w:w="120"/>
            </w:tcMar>
          </w:tcPr>
          <w:p>
            <w:pPr>
              <w:spacing w:after="0" w:line="260"/>
            </w:pPr>
            <w:r>
              <w:rPr>
                <w:b/>
                <w:bCs/>
                <w:color w:val="222222"/>
                <w:sz w:val="19"/>
                <w:szCs w:val="19"/>
              </w:rPr>
              <w:t xml:space="preserve">Conversations detail</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Agent attribution on the transcript, with the reasoning trace collapsible per agent, so it is clear which agent produced each customer-visible message.</w:t>
            </w:r>
          </w:p>
        </w:tc>
      </w:tr>
      <w:tr>
        <w:tc>
          <w:tcPr>
            <w:tcW w:type="dxa" w:w="2000"/>
            <w:tcMar>
              <w:top w:type="dxa" w:w="90"/>
              <w:left w:type="dxa" w:w="120"/>
              <w:bottom w:type="dxa" w:w="90"/>
              <w:right w:type="dxa" w:w="120"/>
            </w:tcMar>
          </w:tcPr>
          <w:p>
            <w:pPr>
              <w:spacing w:after="0" w:line="260"/>
            </w:pPr>
            <w:r>
              <w:rPr>
                <w:b/>
                <w:bCs/>
                <w:color w:val="222222"/>
                <w:sz w:val="19"/>
                <w:szCs w:val="19"/>
              </w:rPr>
              <w:t xml:space="preserve">Audit Log</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Actor attribution becomes a chain — "billing_agent@9, delegated by triage@14, on conversation 4471" — rather than a bare agent name.</w:t>
            </w:r>
          </w:p>
        </w:tc>
      </w:tr>
      <w:tr>
        <w:tc>
          <w:tcPr>
            <w:tcW w:type="dxa" w:w="2000"/>
            <w:tcMar>
              <w:top w:type="dxa" w:w="90"/>
              <w:left w:type="dxa" w:w="120"/>
              <w:bottom w:type="dxa" w:w="90"/>
              <w:right w:type="dxa" w:w="120"/>
            </w:tcMar>
          </w:tcPr>
          <w:p>
            <w:pPr>
              <w:spacing w:after="0" w:line="260"/>
            </w:pPr>
            <w:r>
              <w:rPr>
                <w:b/>
                <w:bCs/>
                <w:color w:val="222222"/>
                <w:sz w:val="19"/>
                <w:szCs w:val="19"/>
              </w:rPr>
              <w:t xml:space="preserve">Approval Queue</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A delegation-chain panel and the policy context that caused the stop: tool tier, the guardrail that fired, the skill in play and the pinned manifest version.</w:t>
            </w:r>
          </w:p>
        </w:tc>
      </w:tr>
      <w:tr>
        <w:tc>
          <w:tcPr>
            <w:tcW w:type="dxa" w:w="2000"/>
            <w:tcMar>
              <w:top w:type="dxa" w:w="90"/>
              <w:left w:type="dxa" w:w="120"/>
              <w:bottom w:type="dxa" w:w="90"/>
              <w:right w:type="dxa" w:w="120"/>
            </w:tcMar>
          </w:tcPr>
          <w:p>
            <w:pPr>
              <w:spacing w:after="0" w:line="260"/>
            </w:pPr>
            <w:r>
              <w:rPr>
                <w:b/>
                <w:bCs/>
                <w:color w:val="222222"/>
                <w:sz w:val="19"/>
                <w:szCs w:val="19"/>
              </w:rPr>
              <w:t xml:space="preserve">Dashboard</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Delegation metrics: routing accuracy, depth distribution, cost per resolved conversation and per-member escalation rate.</w:t>
            </w:r>
          </w:p>
        </w:tc>
      </w:tr>
      <w:tr>
        <w:tc>
          <w:tcPr>
            <w:tcW w:type="dxa" w:w="2000"/>
            <w:tcMar>
              <w:top w:type="dxa" w:w="90"/>
              <w:left w:type="dxa" w:w="120"/>
              <w:bottom w:type="dxa" w:w="90"/>
              <w:right w:type="dxa" w:w="120"/>
            </w:tcMar>
          </w:tcPr>
          <w:p>
            <w:pPr>
              <w:spacing w:after="0" w:line="260"/>
            </w:pPr>
            <w:r>
              <w:rPr>
                <w:b/>
                <w:bCs/>
                <w:color w:val="222222"/>
                <w:sz w:val="19"/>
                <w:szCs w:val="19"/>
              </w:rPr>
              <w:t xml:space="preserve">Evals</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Two new case types — routing cases tested against the supervisor alone, and end-to-end team cases with an expected outcome and a budget ceiling. Routing regressions are the commonest multi-agent failure and the easiest to catch mechanically.</w:t>
            </w:r>
          </w:p>
        </w:tc>
      </w:tr>
      <w:tr>
        <w:tc>
          <w:tcPr>
            <w:tcW w:type="dxa" w:w="2000"/>
            <w:tcMar>
              <w:top w:type="dxa" w:w="90"/>
              <w:left w:type="dxa" w:w="120"/>
              <w:bottom w:type="dxa" w:w="90"/>
              <w:right w:type="dxa" w:w="120"/>
            </w:tcMar>
          </w:tcPr>
          <w:p>
            <w:pPr>
              <w:spacing w:after="0" w:line="260"/>
            </w:pPr>
            <w:r>
              <w:rPr>
                <w:b/>
                <w:bCs/>
                <w:color w:val="222222"/>
                <w:sz w:val="19"/>
                <w:szCs w:val="19"/>
              </w:rPr>
              <w:t xml:space="preserve">Sandbox</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Runs the whole team in isolation with a visible delegation tree, since the promotion gate requires a completed sandbox conversation and a supervisor-only sandbox proves nothing.</w:t>
            </w:r>
          </w:p>
        </w:tc>
      </w:tr>
    </w:tbl>
    <w:p>
      <w:pPr>
        <w:spacing w:after="200"/>
      </w:pPr>
    </w:p>
    <w:p>
      <w:pPr>
        <w:spacing w:after="60" w:before="120" w:line="240" w:lineRule="auto"/>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43175"/>
                    </a:xfrm>
                    <a:prstGeom prst="rect">
                      <a:avLst/>
                    </a:prstGeom>
                  </pic:spPr>
                </pic:pic>
              </a:graphicData>
            </a:graphic>
          </wp:inline>
        </w:drawing>
      </w:r>
    </w:p>
    <w:p>
      <w:pPr>
        <w:spacing w:after="240"/>
        <w:jc w:val="center"/>
      </w:pPr>
      <w:r>
        <w:rPr>
          <w:i/>
          <w:iCs/>
          <w:color w:val="6E6E6E"/>
          <w:sz w:val="17"/>
          <w:szCs w:val="17"/>
        </w:rPr>
        <w:t xml:space="preserve">Figure 10 — Runtime trace as a tree, with per-agent model, token, cost and outcome attribution across a delegated run including an approval pause and resume.</w:t>
      </w:r>
    </w:p>
    <w:p>
      <w:pPr>
        <w:spacing w:after="60" w:before="120" w:line="240" w:lineRule="auto"/>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i/>
          <w:iCs/>
          <w:color w:val="6E6E6E"/>
          <w:sz w:val="17"/>
          <w:szCs w:val="17"/>
        </w:rPr>
        <w:t xml:space="preserve">Figure 11 — Approval Queue with the delegation chain, arguments including an idempotency key, and the policy context that caused the stop.</w:t>
      </w:r>
    </w:p>
    <w:p>
      <w:pPr>
        <w:pStyle w:val="Heading2"/>
        <w:spacing w:after="150" w:before="300"/>
      </w:pPr>
      <w:r>
        <w:rPr>
          <w:b/>
          <w:bCs/>
          <w:color w:val="222222"/>
          <w:sz w:val="25"/>
          <w:szCs w:val="25"/>
        </w:rPr>
        <w:t xml:space="preserve">10.6 Failure modes to design for</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3200"/>
        <w:gridCol w:w="6438"/>
      </w:tblGrid>
      <w:tr>
        <w:trPr>
          <w:tblHeader/>
        </w:trPr>
        <w:tc>
          <w:tcPr>
            <w:tcW w:type="dxa" w:w="3200"/>
            <w:shd w:fill="F3F3F1" w:val="clear"/>
            <w:tcMar>
              <w:top w:type="dxa" w:w="90"/>
              <w:left w:type="dxa" w:w="120"/>
              <w:bottom w:type="dxa" w:w="90"/>
              <w:right w:type="dxa" w:w="120"/>
            </w:tcMar>
          </w:tcPr>
          <w:p>
            <w:pPr>
              <w:spacing w:after="0" w:line="260"/>
            </w:pPr>
            <w:r>
              <w:rPr>
                <w:b/>
                <w:bCs/>
                <w:color w:val="6E6E6E"/>
                <w:sz w:val="17"/>
                <w:szCs w:val="17"/>
              </w:rPr>
              <w:t xml:space="preserve">Failure</w:t>
            </w:r>
          </w:p>
        </w:tc>
        <w:tc>
          <w:tcPr>
            <w:tcW w:type="dxa" w:w="6438"/>
            <w:shd w:fill="F3F3F1" w:val="clear"/>
            <w:tcMar>
              <w:top w:type="dxa" w:w="90"/>
              <w:left w:type="dxa" w:w="120"/>
              <w:bottom w:type="dxa" w:w="90"/>
              <w:right w:type="dxa" w:w="120"/>
            </w:tcMar>
          </w:tcPr>
          <w:p>
            <w:pPr>
              <w:spacing w:after="0" w:line="260"/>
            </w:pPr>
            <w:r>
              <w:rPr>
                <w:b/>
                <w:bCs/>
                <w:color w:val="6E6E6E"/>
                <w:sz w:val="17"/>
                <w:szCs w:val="17"/>
              </w:rPr>
              <w:t xml:space="preserve">Mitigation</w:t>
            </w:r>
          </w:p>
        </w:tc>
      </w:tr>
      <w:tr>
        <w:tc>
          <w:tcPr>
            <w:tcW w:type="dxa" w:w="3200"/>
            <w:tcMar>
              <w:top w:type="dxa" w:w="90"/>
              <w:left w:type="dxa" w:w="120"/>
              <w:bottom w:type="dxa" w:w="90"/>
              <w:right w:type="dxa" w:w="120"/>
            </w:tcMar>
          </w:tcPr>
          <w:p>
            <w:pPr>
              <w:spacing w:after="0" w:line="260"/>
            </w:pPr>
            <w:r>
              <w:rPr>
                <w:b/>
                <w:bCs/>
                <w:color w:val="222222"/>
                <w:sz w:val="19"/>
                <w:szCs w:val="19"/>
              </w:rPr>
              <w:t xml:space="preserve">Routing thrash — the supervisor bounces between two specialists</w:t>
            </w:r>
          </w:p>
        </w:tc>
        <w:tc>
          <w:tcPr>
            <w:tcW w:type="dxa" w:w="6438"/>
            <w:tcMar>
              <w:top w:type="dxa" w:w="90"/>
              <w:left w:type="dxa" w:w="120"/>
              <w:bottom w:type="dxa" w:w="90"/>
              <w:right w:type="dxa" w:w="120"/>
            </w:tcMar>
          </w:tcPr>
          <w:p>
            <w:pPr>
              <w:spacing w:after="0" w:line="260"/>
            </w:pPr>
            <w:r>
              <w:rPr>
                <w:b w:val="false"/>
                <w:bCs w:val="false"/>
                <w:color w:val="222222"/>
                <w:sz w:val="19"/>
                <w:szCs w:val="19"/>
              </w:rPr>
              <w:t xml:space="preserve">Detect repeated delegation to the same member with a similar payload; cap and escalate</w:t>
            </w:r>
          </w:p>
        </w:tc>
      </w:tr>
      <w:tr>
        <w:tc>
          <w:tcPr>
            <w:tcW w:type="dxa" w:w="3200"/>
            <w:tcMar>
              <w:top w:type="dxa" w:w="90"/>
              <w:left w:type="dxa" w:w="120"/>
              <w:bottom w:type="dxa" w:w="90"/>
              <w:right w:type="dxa" w:w="120"/>
            </w:tcMar>
          </w:tcPr>
          <w:p>
            <w:pPr>
              <w:spacing w:after="0" w:line="260"/>
            </w:pPr>
            <w:r>
              <w:rPr>
                <w:b/>
                <w:bCs/>
                <w:color w:val="222222"/>
                <w:sz w:val="19"/>
                <w:szCs w:val="19"/>
              </w:rPr>
              <w:t xml:space="preserve">Context loss on hand-off — the specialist receives a summary that dropped the customer's actual constraint</w:t>
            </w:r>
          </w:p>
        </w:tc>
        <w:tc>
          <w:tcPr>
            <w:tcW w:type="dxa" w:w="6438"/>
            <w:tcMar>
              <w:top w:type="dxa" w:w="90"/>
              <w:left w:type="dxa" w:w="120"/>
              <w:bottom w:type="dxa" w:w="90"/>
              <w:right w:type="dxa" w:w="120"/>
            </w:tcMar>
          </w:tcPr>
          <w:p>
            <w:pPr>
              <w:spacing w:after="0" w:line="260"/>
            </w:pPr>
            <w:r>
              <w:rPr>
                <w:b w:val="false"/>
                <w:bCs w:val="false"/>
                <w:color w:val="222222"/>
                <w:sz w:val="19"/>
                <w:szCs w:val="19"/>
              </w:rPr>
              <w:t xml:space="preserve">Pass structured state through a conversation-scoped blackboard rather than a re-summarised transcript</w:t>
            </w:r>
          </w:p>
        </w:tc>
      </w:tr>
      <w:tr>
        <w:tc>
          <w:tcPr>
            <w:tcW w:type="dxa" w:w="3200"/>
            <w:tcMar>
              <w:top w:type="dxa" w:w="90"/>
              <w:left w:type="dxa" w:w="120"/>
              <w:bottom w:type="dxa" w:w="90"/>
              <w:right w:type="dxa" w:w="120"/>
            </w:tcMar>
          </w:tcPr>
          <w:p>
            <w:pPr>
              <w:spacing w:after="0" w:line="260"/>
            </w:pPr>
            <w:r>
              <w:rPr>
                <w:b/>
                <w:bCs/>
                <w:color w:val="222222"/>
                <w:sz w:val="19"/>
                <w:szCs w:val="19"/>
              </w:rPr>
              <w:t xml:space="preserve">Specialist unavailable — its pinned version was deprecated or its connector is offline</w:t>
            </w:r>
          </w:p>
        </w:tc>
        <w:tc>
          <w:tcPr>
            <w:tcW w:type="dxa" w:w="6438"/>
            <w:tcMar>
              <w:top w:type="dxa" w:w="90"/>
              <w:left w:type="dxa" w:w="120"/>
              <w:bottom w:type="dxa" w:w="90"/>
              <w:right w:type="dxa" w:w="120"/>
            </w:tcMar>
          </w:tcPr>
          <w:p>
            <w:pPr>
              <w:spacing w:after="0" w:line="260"/>
            </w:pPr>
            <w:r>
              <w:rPr>
                <w:b w:val="false"/>
                <w:bCs w:val="false"/>
                <w:color w:val="222222"/>
                <w:sz w:val="19"/>
                <w:szCs w:val="19"/>
              </w:rPr>
              <w:t xml:space="preserve">Declare a per-member fallback: another member, or escalate. Never silently answer without the specialist</w:t>
            </w:r>
          </w:p>
        </w:tc>
      </w:tr>
      <w:tr>
        <w:tc>
          <w:tcPr>
            <w:tcW w:type="dxa" w:w="3200"/>
            <w:tcMar>
              <w:top w:type="dxa" w:w="90"/>
              <w:left w:type="dxa" w:w="120"/>
              <w:bottom w:type="dxa" w:w="90"/>
              <w:right w:type="dxa" w:w="120"/>
            </w:tcMar>
          </w:tcPr>
          <w:p>
            <w:pPr>
              <w:spacing w:after="0" w:line="260"/>
            </w:pPr>
            <w:r>
              <w:rPr>
                <w:b/>
                <w:bCs/>
                <w:color w:val="222222"/>
                <w:sz w:val="19"/>
                <w:szCs w:val="19"/>
              </w:rPr>
              <w:t xml:space="preserve">Confidently wrong routing — a specialist without the right tools improvises</w:t>
            </w:r>
          </w:p>
        </w:tc>
        <w:tc>
          <w:tcPr>
            <w:tcW w:type="dxa" w:w="6438"/>
            <w:tcMar>
              <w:top w:type="dxa" w:w="90"/>
              <w:left w:type="dxa" w:w="120"/>
              <w:bottom w:type="dxa" w:w="90"/>
              <w:right w:type="dxa" w:w="120"/>
            </w:tcMar>
          </w:tcPr>
          <w:p>
            <w:pPr>
              <w:spacing w:after="0" w:line="260"/>
            </w:pPr>
            <w:r>
              <w:rPr>
                <w:b w:val="false"/>
                <w:bCs w:val="false"/>
                <w:color w:val="222222"/>
                <w:sz w:val="19"/>
                <w:szCs w:val="19"/>
              </w:rPr>
              <w:t xml:space="preserve">Specialists need an explicit "not mine" return path, treated as a first-class outcome in traces rather than as an error</w:t>
            </w:r>
          </w:p>
        </w:tc>
      </w:tr>
      <w:tr>
        <w:tc>
          <w:tcPr>
            <w:tcW w:type="dxa" w:w="3200"/>
            <w:tcMar>
              <w:top w:type="dxa" w:w="90"/>
              <w:left w:type="dxa" w:w="120"/>
              <w:bottom w:type="dxa" w:w="90"/>
              <w:right w:type="dxa" w:w="120"/>
            </w:tcMar>
          </w:tcPr>
          <w:p>
            <w:pPr>
              <w:spacing w:after="0" w:line="260"/>
            </w:pPr>
            <w:r>
              <w:rPr>
                <w:b/>
                <w:bCs/>
                <w:color w:val="222222"/>
                <w:sz w:val="19"/>
                <w:szCs w:val="19"/>
              </w:rPr>
              <w:t xml:space="preserve">Injection propagation — attacker-controlled tool output crosses an agent boundary and inherits the receiving agent's trust</w:t>
            </w:r>
          </w:p>
        </w:tc>
        <w:tc>
          <w:tcPr>
            <w:tcW w:type="dxa" w:w="6438"/>
            <w:tcMar>
              <w:top w:type="dxa" w:w="90"/>
              <w:left w:type="dxa" w:w="120"/>
              <w:bottom w:type="dxa" w:w="90"/>
              <w:right w:type="dxa" w:w="120"/>
            </w:tcMar>
          </w:tcPr>
          <w:p>
            <w:pPr>
              <w:spacing w:after="0" w:line="260"/>
            </w:pPr>
            <w:r>
              <w:rPr>
                <w:b w:val="false"/>
                <w:bCs w:val="false"/>
                <w:color w:val="222222"/>
                <w:sz w:val="19"/>
                <w:szCs w:val="19"/>
              </w:rPr>
              <w:t xml:space="preserve">Run output guardrails on tool results before they cross a delegation boundary, not only before they reach the customer</w:t>
            </w:r>
          </w:p>
        </w:tc>
      </w:tr>
    </w:tbl>
    <w:p>
      <w:pPr>
        <w:spacing w:after="200"/>
      </w:pPr>
    </w:p>
    <w:p>
      <w:pPr>
        <w:pStyle w:val="Heading2"/>
        <w:spacing w:after="150" w:before="300"/>
      </w:pPr>
      <w:r>
        <w:rPr>
          <w:b/>
          <w:bCs/>
          <w:color w:val="222222"/>
          <w:sz w:val="25"/>
          <w:szCs w:val="25"/>
        </w:rPr>
        <w:t xml:space="preserve">10.7 Data model additions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600"/>
        <w:gridCol w:w="7038"/>
      </w:tblGrid>
      <w:tr>
        <w:trPr>
          <w:tblHeader/>
        </w:trPr>
        <w:tc>
          <w:tcPr>
            <w:tcW w:type="dxa" w:w="2600"/>
            <w:shd w:fill="F3F3F1" w:val="clear"/>
            <w:tcMar>
              <w:top w:type="dxa" w:w="90"/>
              <w:left w:type="dxa" w:w="120"/>
              <w:bottom w:type="dxa" w:w="90"/>
              <w:right w:type="dxa" w:w="120"/>
            </w:tcMar>
          </w:tcPr>
          <w:p>
            <w:pPr>
              <w:spacing w:after="0" w:line="260"/>
            </w:pPr>
            <w:r>
              <w:rPr>
                <w:b/>
                <w:bCs/>
                <w:color w:val="6E6E6E"/>
                <w:sz w:val="17"/>
                <w:szCs w:val="17"/>
              </w:rPr>
              <w:t xml:space="preserve">Entity</w:t>
            </w:r>
          </w:p>
        </w:tc>
        <w:tc>
          <w:tcPr>
            <w:tcW w:type="dxa" w:w="7038"/>
            <w:shd w:fill="F3F3F1" w:val="clear"/>
            <w:tcMar>
              <w:top w:type="dxa" w:w="90"/>
              <w:left w:type="dxa" w:w="120"/>
              <w:bottom w:type="dxa" w:w="90"/>
              <w:right w:type="dxa" w:w="120"/>
            </w:tcMar>
          </w:tcPr>
          <w:p>
            <w:pPr>
              <w:spacing w:after="0" w:line="260"/>
            </w:pPr>
            <w:r>
              <w:rPr>
                <w:b/>
                <w:bCs/>
                <w:color w:val="6E6E6E"/>
                <w:sz w:val="17"/>
                <w:szCs w:val="17"/>
              </w:rPr>
              <w:t xml:space="preserve">Key fields</w:t>
            </w:r>
          </w:p>
        </w:tc>
      </w:tr>
      <w:tr>
        <w:tc>
          <w:tcPr>
            <w:tcW w:type="dxa" w:w="2600"/>
            <w:tcMar>
              <w:top w:type="dxa" w:w="90"/>
              <w:left w:type="dxa" w:w="120"/>
              <w:bottom w:type="dxa" w:w="90"/>
              <w:right w:type="dxa" w:w="120"/>
            </w:tcMar>
          </w:tcPr>
          <w:p>
            <w:pPr>
              <w:spacing w:after="0" w:line="260"/>
            </w:pPr>
            <w:r>
              <w:rPr>
                <w:b/>
                <w:bCs/>
                <w:color w:val="222222"/>
                <w:sz w:val="19"/>
                <w:szCs w:val="19"/>
              </w:rPr>
              <w:t xml:space="preserve">team</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tenant_id, name, description, status</w:t>
            </w:r>
          </w:p>
        </w:tc>
      </w:tr>
      <w:tr>
        <w:tc>
          <w:tcPr>
            <w:tcW w:type="dxa" w:w="2600"/>
            <w:tcMar>
              <w:top w:type="dxa" w:w="90"/>
              <w:left w:type="dxa" w:w="120"/>
              <w:bottom w:type="dxa" w:w="90"/>
              <w:right w:type="dxa" w:w="120"/>
            </w:tcMar>
          </w:tcPr>
          <w:p>
            <w:pPr>
              <w:spacing w:after="0" w:line="260"/>
            </w:pPr>
            <w:r>
              <w:rPr>
                <w:b/>
                <w:bCs/>
                <w:color w:val="222222"/>
                <w:sz w:val="19"/>
                <w:szCs w:val="19"/>
              </w:rPr>
              <w:t xml:space="preserve">team_version</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team_id, version, supervisor_definition_version_id, limits_json, failure_mode, yaml, status, approved_by</w:t>
            </w:r>
          </w:p>
        </w:tc>
      </w:tr>
      <w:tr>
        <w:tc>
          <w:tcPr>
            <w:tcW w:type="dxa" w:w="2600"/>
            <w:tcMar>
              <w:top w:type="dxa" w:w="90"/>
              <w:left w:type="dxa" w:w="120"/>
              <w:bottom w:type="dxa" w:w="90"/>
              <w:right w:type="dxa" w:w="120"/>
            </w:tcMar>
          </w:tcPr>
          <w:p>
            <w:pPr>
              <w:spacing w:after="0" w:line="260"/>
            </w:pPr>
            <w:r>
              <w:rPr>
                <w:b/>
                <w:bCs/>
                <w:color w:val="222222"/>
                <w:sz w:val="19"/>
                <w:szCs w:val="19"/>
              </w:rPr>
              <w:t xml:space="preserve">team_member</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team_version_id, definition_version_id, delegation_tier, invoke_when, fallback_member_id</w:t>
            </w:r>
          </w:p>
        </w:tc>
      </w:tr>
      <w:tr>
        <w:tc>
          <w:tcPr>
            <w:tcW w:type="dxa" w:w="2600"/>
            <w:tcMar>
              <w:top w:type="dxa" w:w="90"/>
              <w:left w:type="dxa" w:w="120"/>
              <w:bottom w:type="dxa" w:w="90"/>
              <w:right w:type="dxa" w:w="120"/>
            </w:tcMar>
          </w:tcPr>
          <w:p>
            <w:pPr>
              <w:spacing w:after="0" w:line="260"/>
            </w:pPr>
            <w:r>
              <w:rPr>
                <w:b/>
                <w:bCs/>
                <w:color w:val="222222"/>
                <w:sz w:val="19"/>
                <w:szCs w:val="19"/>
              </w:rPr>
              <w:t xml:space="preserve">delegation_event</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conversation_id, run_id, parent_span_id, from_agent_version_id, to_agent_version_id, reason, depth, cost_usd, outcome</w:t>
            </w:r>
          </w:p>
        </w:tc>
      </w:tr>
    </w:tbl>
    <w:p>
      <w:pPr>
        <w:spacing w:after="200"/>
      </w:pPr>
    </w:p>
    <w:p>
      <w:r>
        <w:br w:type="page"/>
      </w:r>
    </w:p>
    <w:p>
      <w:pPr>
        <w:pStyle w:val="Heading1"/>
        <w:spacing w:after="200" w:before="360"/>
      </w:pPr>
      <w:r>
        <w:rPr>
          <w:b/>
          <w:bCs/>
          <w:color w:val="222222"/>
          <w:sz w:val="30"/>
          <w:szCs w:val="30"/>
        </w:rPr>
        <w:t xml:space="preserve">11. Module F — Model Gateway v2</w:t>
      </w:r>
    </w:p>
    <w:p>
      <w:pPr>
        <w:pStyle w:val="Heading2"/>
        <w:spacing w:after="150" w:before="300"/>
      </w:pPr>
      <w:r>
        <w:rPr>
          <w:b/>
          <w:bCs/>
          <w:color w:val="222222"/>
          <w:sz w:val="25"/>
          <w:szCs w:val="25"/>
        </w:rPr>
        <w:t xml:space="preserve">11.1 Why the current design does not hold</w:t>
      </w:r>
    </w:p>
    <w:p>
      <w:pPr>
        <w:spacing w:after="140" w:line="300" w:lineRule="auto"/>
      </w:pPr>
      <w:r>
        <w:rPr>
          <w:color w:val="222222"/>
          <w:sz w:val="21"/>
          <w:szCs w:val="21"/>
        </w:rPr>
        <w:t xml:space="preserve">The Model Gateway today has two tabs. Routes are the named targets an agent's modelRoute field points at, each a chain of one or more providers — either a platform-registered provider or a bring-your-own endpoint with its own credential — plus cache mode and timeout settings. Provider Registry is a read-only list of the platform-level providers available to route to. Model names typed into a route are lightly validated to catch obvious paste errors.</w:t>
      </w:r>
    </w:p>
    <w:p>
      <w:pPr>
        <w:spacing w:after="140" w:line="300" w:lineRule="auto"/>
      </w:pPr>
      <w:r>
        <w:rPr>
          <w:color w:val="222222"/>
          <w:sz w:val="21"/>
          <w:szCs w:val="21"/>
        </w:rPr>
        <w:t xml:space="preserve">The shape is right; the abstraction is one layer short. A model is not a string. It has a context window, a maximum output, a price per million tokens in and out, a modality, a tokenizer family, a deprecation date, and a set of capabilities — tool calling, vision, streaming, structured output, extended thinking — that determine whether an agent version can even run on it. Because none of that is modelled, the platform cannot answer basic questions: whether a route can serve an agent that needs tool calling, what a conversation cost, which routes break when a provider retires a model, or whether a fallback hop would send data out of the tenant's region.</w:t>
      </w:r>
    </w:p>
    <w:p>
      <w:pPr>
        <w:pStyle w:val="Heading2"/>
        <w:spacing w:after="150" w:before="300"/>
      </w:pPr>
      <w:r>
        <w:rPr>
          <w:b/>
          <w:bCs/>
          <w:color w:val="222222"/>
          <w:sz w:val="25"/>
          <w:szCs w:val="25"/>
        </w:rPr>
        <w:t xml:space="preserve">11.2 The three-layer model</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1300"/>
        <w:gridCol w:w="3200"/>
        <w:gridCol w:w="5138"/>
      </w:tblGrid>
      <w:tr>
        <w:trPr>
          <w:tblHeader/>
        </w:trPr>
        <w:tc>
          <w:tcPr>
            <w:tcW w:type="dxa" w:w="1300"/>
            <w:shd w:fill="F3F3F1" w:val="clear"/>
            <w:tcMar>
              <w:top w:type="dxa" w:w="90"/>
              <w:left w:type="dxa" w:w="120"/>
              <w:bottom w:type="dxa" w:w="90"/>
              <w:right w:type="dxa" w:w="120"/>
            </w:tcMar>
          </w:tcPr>
          <w:p>
            <w:pPr>
              <w:spacing w:after="0" w:line="260"/>
            </w:pPr>
            <w:r>
              <w:rPr>
                <w:b/>
                <w:bCs/>
                <w:color w:val="6E6E6E"/>
                <w:sz w:val="17"/>
                <w:szCs w:val="17"/>
              </w:rPr>
              <w:t xml:space="preserve">Layer</w:t>
            </w:r>
          </w:p>
        </w:tc>
        <w:tc>
          <w:tcPr>
            <w:tcW w:type="dxa" w:w="3200"/>
            <w:shd w:fill="F3F3F1" w:val="clear"/>
            <w:tcMar>
              <w:top w:type="dxa" w:w="90"/>
              <w:left w:type="dxa" w:w="120"/>
              <w:bottom w:type="dxa" w:w="90"/>
              <w:right w:type="dxa" w:w="120"/>
            </w:tcMar>
          </w:tcPr>
          <w:p>
            <w:pPr>
              <w:spacing w:after="0" w:line="260"/>
            </w:pPr>
            <w:r>
              <w:rPr>
                <w:b/>
                <w:bCs/>
                <w:color w:val="6E6E6E"/>
                <w:sz w:val="17"/>
                <w:szCs w:val="17"/>
              </w:rPr>
              <w:t xml:space="preserve">Object</w:t>
            </w:r>
          </w:p>
        </w:tc>
        <w:tc>
          <w:tcPr>
            <w:tcW w:type="dxa" w:w="5138"/>
            <w:shd w:fill="F3F3F1" w:val="clear"/>
            <w:tcMar>
              <w:top w:type="dxa" w:w="90"/>
              <w:left w:type="dxa" w:w="120"/>
              <w:bottom w:type="dxa" w:w="90"/>
              <w:right w:type="dxa" w:w="120"/>
            </w:tcMar>
          </w:tcPr>
          <w:p>
            <w:pPr>
              <w:spacing w:after="0" w:line="260"/>
            </w:pPr>
            <w:r>
              <w:rPr>
                <w:b/>
                <w:bCs/>
                <w:color w:val="6E6E6E"/>
                <w:sz w:val="17"/>
                <w:szCs w:val="17"/>
              </w:rPr>
              <w:t xml:space="preserve">Owns</w:t>
            </w:r>
          </w:p>
        </w:tc>
      </w:tr>
      <w:tr>
        <w:tc>
          <w:tcPr>
            <w:tcW w:type="dxa" w:w="1300"/>
            <w:tcMar>
              <w:top w:type="dxa" w:w="90"/>
              <w:left w:type="dxa" w:w="120"/>
              <w:bottom w:type="dxa" w:w="90"/>
              <w:right w:type="dxa" w:w="120"/>
            </w:tcMar>
          </w:tcPr>
          <w:p>
            <w:pPr>
              <w:spacing w:after="0" w:line="260"/>
            </w:pPr>
            <w:r>
              <w:rPr>
                <w:b/>
                <w:bCs/>
                <w:color w:val="222222"/>
                <w:sz w:val="19"/>
                <w:szCs w:val="19"/>
              </w:rPr>
              <w:t xml:space="preserve">Provider</w:t>
            </w:r>
          </w:p>
        </w:tc>
        <w:tc>
          <w:tcPr>
            <w:tcW w:type="dxa" w:w="3200"/>
            <w:tcMar>
              <w:top w:type="dxa" w:w="90"/>
              <w:left w:type="dxa" w:w="120"/>
              <w:bottom w:type="dxa" w:w="90"/>
              <w:right w:type="dxa" w:w="120"/>
            </w:tcMar>
          </w:tcPr>
          <w:p>
            <w:pPr>
              <w:spacing w:after="0" w:line="260"/>
            </w:pPr>
            <w:r>
              <w:rPr>
                <w:b w:val="false"/>
                <w:bCs w:val="false"/>
                <w:color w:val="222222"/>
                <w:sz w:val="19"/>
                <w:szCs w:val="19"/>
              </w:rPr>
              <w:t xml:space="preserve">A connection to a model-serving endpoint</w:t>
            </w:r>
          </w:p>
        </w:tc>
        <w:tc>
          <w:tcPr>
            <w:tcW w:type="dxa" w:w="5138"/>
            <w:tcMar>
              <w:top w:type="dxa" w:w="90"/>
              <w:left w:type="dxa" w:w="120"/>
              <w:bottom w:type="dxa" w:w="90"/>
              <w:right w:type="dxa" w:w="120"/>
            </w:tcMar>
          </w:tcPr>
          <w:p>
            <w:pPr>
              <w:spacing w:after="0" w:line="260"/>
            </w:pPr>
            <w:r>
              <w:rPr>
                <w:b w:val="false"/>
                <w:bCs w:val="false"/>
                <w:color w:val="222222"/>
                <w:sz w:val="19"/>
                <w:szCs w:val="19"/>
              </w:rPr>
              <w:t xml:space="preserve">Provider type and adapter, base URL, authentication and vaulted credential, region, data-retention and training flags, organisation or project identifier, network reachability and egress policy, rate limits, health</w:t>
            </w:r>
          </w:p>
        </w:tc>
      </w:tr>
      <w:tr>
        <w:tc>
          <w:tcPr>
            <w:tcW w:type="dxa" w:w="1300"/>
            <w:tcMar>
              <w:top w:type="dxa" w:w="90"/>
              <w:left w:type="dxa" w:w="120"/>
              <w:bottom w:type="dxa" w:w="90"/>
              <w:right w:type="dxa" w:w="120"/>
            </w:tcMar>
          </w:tcPr>
          <w:p>
            <w:pPr>
              <w:spacing w:after="0" w:line="260"/>
            </w:pPr>
            <w:r>
              <w:rPr>
                <w:b/>
                <w:bCs/>
                <w:color w:val="222222"/>
                <w:sz w:val="19"/>
                <w:szCs w:val="19"/>
              </w:rPr>
              <w:t xml:space="preserve">Model</w:t>
            </w:r>
          </w:p>
        </w:tc>
        <w:tc>
          <w:tcPr>
            <w:tcW w:type="dxa" w:w="3200"/>
            <w:tcMar>
              <w:top w:type="dxa" w:w="90"/>
              <w:left w:type="dxa" w:w="120"/>
              <w:bottom w:type="dxa" w:w="90"/>
              <w:right w:type="dxa" w:w="120"/>
            </w:tcMar>
          </w:tcPr>
          <w:p>
            <w:pPr>
              <w:spacing w:after="0" w:line="260"/>
            </w:pPr>
            <w:r>
              <w:rPr>
                <w:b w:val="false"/>
                <w:bCs w:val="false"/>
                <w:color w:val="222222"/>
                <w:sz w:val="19"/>
                <w:szCs w:val="19"/>
              </w:rPr>
              <w:t xml:space="preserve">A catalogue entry belonging to a provider</w:t>
            </w:r>
          </w:p>
        </w:tc>
        <w:tc>
          <w:tcPr>
            <w:tcW w:type="dxa" w:w="5138"/>
            <w:tcMar>
              <w:top w:type="dxa" w:w="90"/>
              <w:left w:type="dxa" w:w="120"/>
              <w:bottom w:type="dxa" w:w="90"/>
              <w:right w:type="dxa" w:w="120"/>
            </w:tcMar>
          </w:tcPr>
          <w:p>
            <w:pPr>
              <w:spacing w:after="0" w:line="260"/>
            </w:pPr>
            <w:r>
              <w:rPr>
                <w:b w:val="false"/>
                <w:bCs w:val="false"/>
                <w:color w:val="222222"/>
                <w:sz w:val="19"/>
                <w:szCs w:val="19"/>
              </w:rPr>
              <w:t xml:space="preserve">Model identifier, display name, modality, context window, maximum output, capability flags, tokenizer family, price in and out, cached price, latency profile, status and deprecation date</w:t>
            </w:r>
          </w:p>
        </w:tc>
      </w:tr>
      <w:tr>
        <w:tc>
          <w:tcPr>
            <w:tcW w:type="dxa" w:w="1300"/>
            <w:tcMar>
              <w:top w:type="dxa" w:w="90"/>
              <w:left w:type="dxa" w:w="120"/>
              <w:bottom w:type="dxa" w:w="90"/>
              <w:right w:type="dxa" w:w="120"/>
            </w:tcMar>
          </w:tcPr>
          <w:p>
            <w:pPr>
              <w:spacing w:after="0" w:line="260"/>
            </w:pPr>
            <w:r>
              <w:rPr>
                <w:b/>
                <w:bCs/>
                <w:color w:val="222222"/>
                <w:sz w:val="19"/>
                <w:szCs w:val="19"/>
              </w:rPr>
              <w:t xml:space="preserve">Route</w:t>
            </w:r>
          </w:p>
        </w:tc>
        <w:tc>
          <w:tcPr>
            <w:tcW w:type="dxa" w:w="3200"/>
            <w:tcMar>
              <w:top w:type="dxa" w:w="90"/>
              <w:left w:type="dxa" w:w="120"/>
              <w:bottom w:type="dxa" w:w="90"/>
              <w:right w:type="dxa" w:w="120"/>
            </w:tcMar>
          </w:tcPr>
          <w:p>
            <w:pPr>
              <w:spacing w:after="0" w:line="260"/>
            </w:pPr>
            <w:r>
              <w:rPr>
                <w:b w:val="false"/>
                <w:bCs w:val="false"/>
                <w:color w:val="222222"/>
                <w:sz w:val="19"/>
                <w:szCs w:val="19"/>
              </w:rPr>
              <w:t xml:space="preserve">A named logical endpoint agents reference</w:t>
            </w:r>
          </w:p>
        </w:tc>
        <w:tc>
          <w:tcPr>
            <w:tcW w:type="dxa" w:w="5138"/>
            <w:tcMar>
              <w:top w:type="dxa" w:w="90"/>
              <w:left w:type="dxa" w:w="120"/>
              <w:bottom w:type="dxa" w:w="90"/>
              <w:right w:type="dxa" w:w="120"/>
            </w:tcMar>
          </w:tcPr>
          <w:p>
            <w:pPr>
              <w:spacing w:after="0" w:line="260"/>
            </w:pPr>
            <w:r>
              <w:rPr>
                <w:b w:val="false"/>
                <w:bCs w:val="false"/>
                <w:color w:val="222222"/>
                <w:sz w:val="19"/>
                <w:szCs w:val="19"/>
              </w:rPr>
              <w:t xml:space="preserve">An ordered chain of targets, each a provider plus model plus parameters, with failover conditions, retry and timeout, cache mode, weights, cost ceiling and residency constraints</w:t>
            </w:r>
          </w:p>
        </w:tc>
      </w:tr>
    </w:tbl>
    <w:p>
      <w:pPr>
        <w:spacing w:after="200"/>
      </w:pPr>
    </w:p>
    <w:p>
      <w:pPr>
        <w:pStyle w:val="Heading2"/>
        <w:spacing w:after="150" w:before="300"/>
      </w:pPr>
      <w:r>
        <w:rPr>
          <w:b/>
          <w:bCs/>
          <w:color w:val="222222"/>
          <w:sz w:val="25"/>
          <w:szCs w:val="25"/>
        </w:rPr>
        <w:t xml:space="preserve">11.3 Provider types</w:t>
      </w:r>
    </w:p>
    <w:p>
      <w:pPr>
        <w:spacing w:after="140" w:line="300" w:lineRule="auto"/>
      </w:pPr>
      <w:r>
        <w:rPr>
          <w:color w:val="222222"/>
          <w:sz w:val="21"/>
          <w:szCs w:val="21"/>
        </w:rPr>
        <w:t xml:space="preserve">Provider type drives the adapter, not just the label. One openai-compatible type covers vLLM, TGI, LiteLLM and most self-hosted gateways, since they share a wire format and differ only in endpoint and authentication.</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1800"/>
        <w:gridCol w:w="3800"/>
        <w:gridCol w:w="2000"/>
        <w:gridCol w:w="2038"/>
      </w:tblGrid>
      <w:tr>
        <w:trPr>
          <w:tblHeader/>
        </w:trPr>
        <w:tc>
          <w:tcPr>
            <w:tcW w:type="dxa" w:w="1800"/>
            <w:shd w:fill="F3F3F1" w:val="clear"/>
            <w:tcMar>
              <w:top w:type="dxa" w:w="90"/>
              <w:left w:type="dxa" w:w="120"/>
              <w:bottom w:type="dxa" w:w="90"/>
              <w:right w:type="dxa" w:w="120"/>
            </w:tcMar>
          </w:tcPr>
          <w:p>
            <w:pPr>
              <w:spacing w:after="0" w:line="260"/>
            </w:pPr>
            <w:r>
              <w:rPr>
                <w:b/>
                <w:bCs/>
                <w:color w:val="6E6E6E"/>
                <w:sz w:val="17"/>
                <w:szCs w:val="17"/>
              </w:rPr>
              <w:t xml:space="preserve">Provider type</w:t>
            </w:r>
          </w:p>
        </w:tc>
        <w:tc>
          <w:tcPr>
            <w:tcW w:type="dxa" w:w="3800"/>
            <w:shd w:fill="F3F3F1" w:val="clear"/>
            <w:tcMar>
              <w:top w:type="dxa" w:w="90"/>
              <w:left w:type="dxa" w:w="120"/>
              <w:bottom w:type="dxa" w:w="90"/>
              <w:right w:type="dxa" w:w="120"/>
            </w:tcMar>
          </w:tcPr>
          <w:p>
            <w:pPr>
              <w:spacing w:after="0" w:line="260"/>
            </w:pPr>
            <w:r>
              <w:rPr>
                <w:b/>
                <w:bCs/>
                <w:color w:val="6E6E6E"/>
                <w:sz w:val="17"/>
                <w:szCs w:val="17"/>
              </w:rPr>
              <w:t xml:space="preserve">Covers</w:t>
            </w:r>
          </w:p>
        </w:tc>
        <w:tc>
          <w:tcPr>
            <w:tcW w:type="dxa" w:w="2000"/>
            <w:shd w:fill="F3F3F1" w:val="clear"/>
            <w:tcMar>
              <w:top w:type="dxa" w:w="90"/>
              <w:left w:type="dxa" w:w="120"/>
              <w:bottom w:type="dxa" w:w="90"/>
              <w:right w:type="dxa" w:w="120"/>
            </w:tcMar>
          </w:tcPr>
          <w:p>
            <w:pPr>
              <w:spacing w:after="0" w:line="260"/>
            </w:pPr>
            <w:r>
              <w:rPr>
                <w:b/>
                <w:bCs/>
                <w:color w:val="6E6E6E"/>
                <w:sz w:val="17"/>
                <w:szCs w:val="17"/>
              </w:rPr>
              <w:t xml:space="preserve">Auth</w:t>
            </w:r>
          </w:p>
        </w:tc>
        <w:tc>
          <w:tcPr>
            <w:tcW w:type="dxa" w:w="2038"/>
            <w:shd w:fill="F3F3F1" w:val="clear"/>
            <w:tcMar>
              <w:top w:type="dxa" w:w="90"/>
              <w:left w:type="dxa" w:w="120"/>
              <w:bottom w:type="dxa" w:w="90"/>
              <w:right w:type="dxa" w:w="120"/>
            </w:tcMar>
          </w:tcPr>
          <w:p>
            <w:pPr>
              <w:spacing w:after="0" w:line="260"/>
            </w:pPr>
            <w:r>
              <w:rPr>
                <w:b/>
                <w:bCs/>
                <w:color w:val="6E6E6E"/>
                <w:sz w:val="17"/>
                <w:szCs w:val="17"/>
              </w:rPr>
              <w:t xml:space="preserve">Catalogue sync</w:t>
            </w:r>
          </w:p>
        </w:tc>
      </w:tr>
      <w:tr>
        <w:tc>
          <w:tcPr>
            <w:tcW w:type="dxa" w:w="18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anthropic</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Anthropic API</w:t>
            </w:r>
          </w:p>
        </w:tc>
        <w:tc>
          <w:tcPr>
            <w:tcW w:type="dxa" w:w="2000"/>
            <w:tcMar>
              <w:top w:type="dxa" w:w="90"/>
              <w:left w:type="dxa" w:w="120"/>
              <w:bottom w:type="dxa" w:w="90"/>
              <w:right w:type="dxa" w:w="120"/>
            </w:tcMar>
          </w:tcPr>
          <w:p>
            <w:pPr>
              <w:spacing w:after="0" w:line="260"/>
            </w:pPr>
            <w:r>
              <w:rPr>
                <w:b w:val="false"/>
                <w:bCs w:val="false"/>
                <w:color w:val="222222"/>
                <w:sz w:val="19"/>
                <w:szCs w:val="19"/>
              </w:rPr>
              <w:t xml:space="preserve">API key</w:t>
            </w:r>
          </w:p>
        </w:tc>
        <w:tc>
          <w:tcPr>
            <w:tcW w:type="dxa" w:w="2038"/>
            <w:tcMar>
              <w:top w:type="dxa" w:w="90"/>
              <w:left w:type="dxa" w:w="120"/>
              <w:bottom w:type="dxa" w:w="90"/>
              <w:right w:type="dxa" w:w="120"/>
            </w:tcMar>
          </w:tcPr>
          <w:p>
            <w:pPr>
              <w:spacing w:after="0" w:line="260"/>
            </w:pPr>
            <w:r>
              <w:rPr>
                <w:b w:val="false"/>
                <w:bCs w:val="false"/>
                <w:color w:val="222222"/>
                <w:sz w:val="19"/>
                <w:szCs w:val="19"/>
              </w:rPr>
              <w:t xml:space="preserve">Static list plus API</w:t>
            </w:r>
          </w:p>
        </w:tc>
      </w:tr>
      <w:tr>
        <w:tc>
          <w:tcPr>
            <w:tcW w:type="dxa" w:w="18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openai</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OpenAI API</w:t>
            </w:r>
          </w:p>
        </w:tc>
        <w:tc>
          <w:tcPr>
            <w:tcW w:type="dxa" w:w="2000"/>
            <w:tcMar>
              <w:top w:type="dxa" w:w="90"/>
              <w:left w:type="dxa" w:w="120"/>
              <w:bottom w:type="dxa" w:w="90"/>
              <w:right w:type="dxa" w:w="120"/>
            </w:tcMar>
          </w:tcPr>
          <w:p>
            <w:pPr>
              <w:spacing w:after="0" w:line="260"/>
            </w:pPr>
            <w:r>
              <w:rPr>
                <w:b w:val="false"/>
                <w:bCs w:val="false"/>
                <w:color w:val="222222"/>
                <w:sz w:val="19"/>
                <w:szCs w:val="19"/>
              </w:rPr>
              <w:t xml:space="preserve">API key</w:t>
            </w:r>
          </w:p>
        </w:tc>
        <w:tc>
          <w:tcPr>
            <w:tcW w:type="dxa" w:w="2038"/>
            <w:tcMar>
              <w:top w:type="dxa" w:w="90"/>
              <w:left w:type="dxa" w:w="120"/>
              <w:bottom w:type="dxa" w:w="90"/>
              <w:right w:type="dxa" w:w="120"/>
            </w:tcMar>
          </w:tcPr>
          <w:p>
            <w:pPr>
              <w:spacing w:after="0" w:line="260"/>
            </w:pPr>
            <w:r>
              <w:rPr>
                <w:b w:val="false"/>
                <w:bCs w:val="false"/>
                <w:color w:val="222222"/>
                <w:sz w:val="19"/>
                <w:szCs w:val="19"/>
              </w:rPr>
              <w:t xml:space="preserve">GET /v1/models</w:t>
            </w:r>
          </w:p>
        </w:tc>
      </w:tr>
      <w:tr>
        <w:tc>
          <w:tcPr>
            <w:tcW w:type="dxa" w:w="18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azure-openai</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Azure OpenAI Service, regional deployments</w:t>
            </w:r>
          </w:p>
        </w:tc>
        <w:tc>
          <w:tcPr>
            <w:tcW w:type="dxa" w:w="2000"/>
            <w:tcMar>
              <w:top w:type="dxa" w:w="90"/>
              <w:left w:type="dxa" w:w="120"/>
              <w:bottom w:type="dxa" w:w="90"/>
              <w:right w:type="dxa" w:w="120"/>
            </w:tcMar>
          </w:tcPr>
          <w:p>
            <w:pPr>
              <w:spacing w:after="0" w:line="260"/>
            </w:pPr>
            <w:r>
              <w:rPr>
                <w:b w:val="false"/>
                <w:bCs w:val="false"/>
                <w:color w:val="222222"/>
                <w:sz w:val="19"/>
                <w:szCs w:val="19"/>
              </w:rPr>
              <w:t xml:space="preserve">API key or Entra ID</w:t>
            </w:r>
          </w:p>
        </w:tc>
        <w:tc>
          <w:tcPr>
            <w:tcW w:type="dxa" w:w="2038"/>
            <w:tcMar>
              <w:top w:type="dxa" w:w="90"/>
              <w:left w:type="dxa" w:w="120"/>
              <w:bottom w:type="dxa" w:w="90"/>
              <w:right w:type="dxa" w:w="120"/>
            </w:tcMar>
          </w:tcPr>
          <w:p>
            <w:pPr>
              <w:spacing w:after="0" w:line="260"/>
            </w:pPr>
            <w:r>
              <w:rPr>
                <w:b w:val="false"/>
                <w:bCs w:val="false"/>
                <w:color w:val="222222"/>
                <w:sz w:val="19"/>
                <w:szCs w:val="19"/>
              </w:rPr>
              <w:t xml:space="preserve">Deployment list</w:t>
            </w:r>
          </w:p>
        </w:tc>
      </w:tr>
      <w:tr>
        <w:tc>
          <w:tcPr>
            <w:tcW w:type="dxa" w:w="18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google-vertex</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Vertex AI and AI Studio</w:t>
            </w:r>
          </w:p>
        </w:tc>
        <w:tc>
          <w:tcPr>
            <w:tcW w:type="dxa" w:w="2000"/>
            <w:tcMar>
              <w:top w:type="dxa" w:w="90"/>
              <w:left w:type="dxa" w:w="120"/>
              <w:bottom w:type="dxa" w:w="90"/>
              <w:right w:type="dxa" w:w="120"/>
            </w:tcMar>
          </w:tcPr>
          <w:p>
            <w:pPr>
              <w:spacing w:after="0" w:line="260"/>
            </w:pPr>
            <w:r>
              <w:rPr>
                <w:b w:val="false"/>
                <w:bCs w:val="false"/>
                <w:color w:val="222222"/>
                <w:sz w:val="19"/>
                <w:szCs w:val="19"/>
              </w:rPr>
              <w:t xml:space="preserve">Service account or API key</w:t>
            </w:r>
          </w:p>
        </w:tc>
        <w:tc>
          <w:tcPr>
            <w:tcW w:type="dxa" w:w="2038"/>
            <w:tcMar>
              <w:top w:type="dxa" w:w="90"/>
              <w:left w:type="dxa" w:w="120"/>
              <w:bottom w:type="dxa" w:w="90"/>
              <w:right w:type="dxa" w:w="120"/>
            </w:tcMar>
          </w:tcPr>
          <w:p>
            <w:pPr>
              <w:spacing w:after="0" w:line="260"/>
            </w:pPr>
            <w:r>
              <w:rPr>
                <w:b w:val="false"/>
                <w:bCs w:val="false"/>
                <w:color w:val="222222"/>
                <w:sz w:val="19"/>
                <w:szCs w:val="19"/>
              </w:rPr>
              <w:t xml:space="preserve">Publisher model list</w:t>
            </w:r>
          </w:p>
        </w:tc>
      </w:tr>
      <w:tr>
        <w:tc>
          <w:tcPr>
            <w:tcW w:type="dxa" w:w="18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bedrock</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AWS Bedrock</w:t>
            </w:r>
          </w:p>
        </w:tc>
        <w:tc>
          <w:tcPr>
            <w:tcW w:type="dxa" w:w="2000"/>
            <w:tcMar>
              <w:top w:type="dxa" w:w="90"/>
              <w:left w:type="dxa" w:w="120"/>
              <w:bottom w:type="dxa" w:w="90"/>
              <w:right w:type="dxa" w:w="120"/>
            </w:tcMar>
          </w:tcPr>
          <w:p>
            <w:pPr>
              <w:spacing w:after="0" w:line="260"/>
            </w:pPr>
            <w:r>
              <w:rPr>
                <w:b w:val="false"/>
                <w:bCs w:val="false"/>
                <w:color w:val="222222"/>
                <w:sz w:val="19"/>
                <w:szCs w:val="19"/>
              </w:rPr>
              <w:t xml:space="preserve">IAM role or keys</w:t>
            </w:r>
          </w:p>
        </w:tc>
        <w:tc>
          <w:tcPr>
            <w:tcW w:type="dxa" w:w="2038"/>
            <w:tcMar>
              <w:top w:type="dxa" w:w="90"/>
              <w:left w:type="dxa" w:w="120"/>
              <w:bottom w:type="dxa" w:w="90"/>
              <w:right w:type="dxa" w:w="120"/>
            </w:tcMar>
          </w:tcPr>
          <w:p>
            <w:pPr>
              <w:spacing w:after="0" w:line="260"/>
            </w:pPr>
            <w:r>
              <w:rPr>
                <w:b w:val="false"/>
                <w:bCs w:val="false"/>
                <w:color w:val="222222"/>
                <w:sz w:val="19"/>
                <w:szCs w:val="19"/>
              </w:rPr>
              <w:t xml:space="preserve">Foundation model list</w:t>
            </w:r>
          </w:p>
        </w:tc>
      </w:tr>
      <w:tr>
        <w:tc>
          <w:tcPr>
            <w:tcW w:type="dxa" w:w="18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openrouter</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OpenRouter as a meta-provider across many vendors</w:t>
            </w:r>
          </w:p>
        </w:tc>
        <w:tc>
          <w:tcPr>
            <w:tcW w:type="dxa" w:w="2000"/>
            <w:tcMar>
              <w:top w:type="dxa" w:w="90"/>
              <w:left w:type="dxa" w:w="120"/>
              <w:bottom w:type="dxa" w:w="90"/>
              <w:right w:type="dxa" w:w="120"/>
            </w:tcMar>
          </w:tcPr>
          <w:p>
            <w:pPr>
              <w:spacing w:after="0" w:line="260"/>
            </w:pPr>
            <w:r>
              <w:rPr>
                <w:b w:val="false"/>
                <w:bCs w:val="false"/>
                <w:color w:val="222222"/>
                <w:sz w:val="19"/>
                <w:szCs w:val="19"/>
              </w:rPr>
              <w:t xml:space="preserve">API key</w:t>
            </w:r>
          </w:p>
        </w:tc>
        <w:tc>
          <w:tcPr>
            <w:tcW w:type="dxa" w:w="2038"/>
            <w:tcMar>
              <w:top w:type="dxa" w:w="90"/>
              <w:left w:type="dxa" w:w="120"/>
              <w:bottom w:type="dxa" w:w="90"/>
              <w:right w:type="dxa" w:w="120"/>
            </w:tcMar>
          </w:tcPr>
          <w:p>
            <w:pPr>
              <w:spacing w:after="0" w:line="260"/>
            </w:pPr>
            <w:r>
              <w:rPr>
                <w:b w:val="false"/>
                <w:bCs w:val="false"/>
                <w:color w:val="222222"/>
                <w:sz w:val="19"/>
                <w:szCs w:val="19"/>
              </w:rPr>
              <w:t xml:space="preserve">GET /api/v1/models, then a tenant allowlist</w:t>
            </w:r>
          </w:p>
        </w:tc>
      </w:tr>
      <w:tr>
        <w:tc>
          <w:tcPr>
            <w:tcW w:type="dxa" w:w="18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openai-compatible</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vLLM, TGI, LiteLLM, and any OpenAI-shaped endpoint</w:t>
            </w:r>
          </w:p>
        </w:tc>
        <w:tc>
          <w:tcPr>
            <w:tcW w:type="dxa" w:w="2000"/>
            <w:tcMar>
              <w:top w:type="dxa" w:w="90"/>
              <w:left w:type="dxa" w:w="120"/>
              <w:bottom w:type="dxa" w:w="90"/>
              <w:right w:type="dxa" w:w="120"/>
            </w:tcMar>
          </w:tcPr>
          <w:p>
            <w:pPr>
              <w:spacing w:after="0" w:line="260"/>
            </w:pPr>
            <w:r>
              <w:rPr>
                <w:b w:val="false"/>
                <w:bCs w:val="false"/>
                <w:color w:val="222222"/>
                <w:sz w:val="19"/>
                <w:szCs w:val="19"/>
              </w:rPr>
              <w:t xml:space="preserve">None, API key or mTLS</w:t>
            </w:r>
          </w:p>
        </w:tc>
        <w:tc>
          <w:tcPr>
            <w:tcW w:type="dxa" w:w="2038"/>
            <w:tcMar>
              <w:top w:type="dxa" w:w="90"/>
              <w:left w:type="dxa" w:w="120"/>
              <w:bottom w:type="dxa" w:w="90"/>
              <w:right w:type="dxa" w:w="120"/>
            </w:tcMar>
          </w:tcPr>
          <w:p>
            <w:pPr>
              <w:spacing w:after="0" w:line="260"/>
            </w:pPr>
            <w:r>
              <w:rPr>
                <w:b w:val="false"/>
                <w:bCs w:val="false"/>
                <w:color w:val="222222"/>
                <w:sz w:val="19"/>
                <w:szCs w:val="19"/>
              </w:rPr>
              <w:t xml:space="preserve">GET /v1/models</w:t>
            </w:r>
          </w:p>
        </w:tc>
      </w:tr>
      <w:tr>
        <w:tc>
          <w:tcPr>
            <w:tcW w:type="dxa" w:w="18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ollama</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Local or on-premise Ollama</w:t>
            </w:r>
          </w:p>
        </w:tc>
        <w:tc>
          <w:tcPr>
            <w:tcW w:type="dxa" w:w="2000"/>
            <w:tcMar>
              <w:top w:type="dxa" w:w="90"/>
              <w:left w:type="dxa" w:w="120"/>
              <w:bottom w:type="dxa" w:w="90"/>
              <w:right w:type="dxa" w:w="120"/>
            </w:tcMar>
          </w:tcPr>
          <w:p>
            <w:pPr>
              <w:spacing w:after="0" w:line="260"/>
            </w:pPr>
            <w:r>
              <w:rPr>
                <w:b w:val="false"/>
                <w:bCs w:val="false"/>
                <w:color w:val="222222"/>
                <w:sz w:val="19"/>
                <w:szCs w:val="19"/>
              </w:rPr>
              <w:t xml:space="preserve">None</w:t>
            </w:r>
          </w:p>
        </w:tc>
        <w:tc>
          <w:tcPr>
            <w:tcW w:type="dxa" w:w="2038"/>
            <w:tcMar>
              <w:top w:type="dxa" w:w="90"/>
              <w:left w:type="dxa" w:w="120"/>
              <w:bottom w:type="dxa" w:w="90"/>
              <w:right w:type="dxa" w:w="120"/>
            </w:tcMar>
          </w:tcPr>
          <w:p>
            <w:pPr>
              <w:spacing w:after="0" w:line="260"/>
            </w:pPr>
            <w:r>
              <w:rPr>
                <w:b w:val="false"/>
                <w:bCs w:val="false"/>
                <w:color w:val="222222"/>
                <w:sz w:val="19"/>
                <w:szCs w:val="19"/>
              </w:rPr>
              <w:t xml:space="preserve">GET /api/tags</w:t>
            </w:r>
          </w:p>
        </w:tc>
      </w:tr>
      <w:tr>
        <w:tc>
          <w:tcPr>
            <w:tcW w:type="dxa" w:w="1800"/>
            <w:tcMar>
              <w:top w:type="dxa" w:w="90"/>
              <w:left w:type="dxa" w:w="120"/>
              <w:bottom w:type="dxa" w:w="90"/>
              <w:right w:type="dxa" w:w="120"/>
            </w:tcMar>
          </w:tcPr>
          <w:p>
            <w:pPr>
              <w:spacing w:after="0" w:line="260"/>
            </w:pPr>
            <w:r>
              <w:rPr>
                <w:rFonts w:ascii="Consolas" w:cs="Consolas" w:eastAsia="Consolas" w:hAnsi="Consolas"/>
                <w:b/>
                <w:bCs/>
                <w:color w:val="222222"/>
                <w:sz w:val="19"/>
                <w:szCs w:val="19"/>
              </w:rPr>
              <w:t xml:space="preserve">cohere / mistral / custom</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Direct vendor APIs</w:t>
            </w:r>
          </w:p>
        </w:tc>
        <w:tc>
          <w:tcPr>
            <w:tcW w:type="dxa" w:w="2000"/>
            <w:tcMar>
              <w:top w:type="dxa" w:w="90"/>
              <w:left w:type="dxa" w:w="120"/>
              <w:bottom w:type="dxa" w:w="90"/>
              <w:right w:type="dxa" w:w="120"/>
            </w:tcMar>
          </w:tcPr>
          <w:p>
            <w:pPr>
              <w:spacing w:after="0" w:line="260"/>
            </w:pPr>
            <w:r>
              <w:rPr>
                <w:b w:val="false"/>
                <w:bCs w:val="false"/>
                <w:color w:val="222222"/>
                <w:sz w:val="19"/>
                <w:szCs w:val="19"/>
              </w:rPr>
              <w:t xml:space="preserve">API key</w:t>
            </w:r>
          </w:p>
        </w:tc>
        <w:tc>
          <w:tcPr>
            <w:tcW w:type="dxa" w:w="2038"/>
            <w:tcMar>
              <w:top w:type="dxa" w:w="90"/>
              <w:left w:type="dxa" w:w="120"/>
              <w:bottom w:type="dxa" w:w="90"/>
              <w:right w:type="dxa" w:w="120"/>
            </w:tcMar>
          </w:tcPr>
          <w:p>
            <w:pPr>
              <w:spacing w:after="0" w:line="260"/>
            </w:pPr>
            <w:r>
              <w:rPr>
                <w:b w:val="false"/>
                <w:bCs w:val="false"/>
                <w:color w:val="222222"/>
                <w:sz w:val="19"/>
                <w:szCs w:val="19"/>
              </w:rPr>
              <w:t xml:space="preserve">Vendor list or manual declaration</w:t>
            </w:r>
          </w:p>
        </w:tc>
      </w:tr>
    </w:tbl>
    <w:p>
      <w:pPr>
        <w:spacing w:after="200"/>
      </w:pPr>
    </w:p>
    <w:p>
      <w:pPr>
        <w:spacing w:after="60" w:before="120" w:line="240" w:lineRule="auto"/>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438400"/>
                    </a:xfrm>
                    <a:prstGeom prst="rect">
                      <a:avLst/>
                    </a:prstGeom>
                  </pic:spPr>
                </pic:pic>
              </a:graphicData>
            </a:graphic>
          </wp:inline>
        </w:drawing>
      </w:r>
    </w:p>
    <w:p>
      <w:pPr>
        <w:spacing w:after="240"/>
        <w:jc w:val="center"/>
      </w:pPr>
      <w:r>
        <w:rPr>
          <w:i/>
          <w:iCs/>
          <w:color w:val="6E6E6E"/>
          <w:sz w:val="17"/>
          <w:szCs w:val="17"/>
        </w:rPr>
        <w:t xml:space="preserve">Figure 12 — Provider registry. Region and the provider's data-retention flag are checked against Settings &gt; Retention and Residency before a route may use it.</w:t>
      </w:r>
    </w:p>
    <w:p>
      <w:pPr>
        <w:pStyle w:val="Heading2"/>
        <w:spacing w:after="150" w:before="300"/>
      </w:pPr>
      <w:r>
        <w:rPr>
          <w:b/>
          <w:bCs/>
          <w:color w:val="222222"/>
          <w:sz w:val="25"/>
          <w:szCs w:val="25"/>
        </w:rPr>
        <w:t xml:space="preserve">11.4 The model catalogue</w:t>
      </w:r>
    </w:p>
    <w:p>
      <w:pPr>
        <w:spacing w:after="140" w:line="300" w:lineRule="auto"/>
      </w:pPr>
      <w:r>
        <w:rPr>
          <w:color w:val="222222"/>
          <w:sz w:val="21"/>
          <w:szCs w:val="21"/>
        </w:rPr>
        <w:t xml:space="preserve">The catalogue replaces the free-text model name entirely. A route selects a catalogue entry; it never stores a typed string. Entries are synced from the provider where an API exists and declared manually for self-hosted deployments, and every entry carries the metadata that makes validation and cost reporting possible.</w:t>
      </w:r>
    </w:p>
    <w:p>
      <w:pPr>
        <w:spacing w:after="60" w:before="120" w:line="240" w:lineRule="auto"/>
        <w:jc w:val="center"/>
      </w:pPr>
      <w:r>
        <w:drawing>
          <wp:inline distT="0" distB="0" distL="0" distR="0">
            <wp:extent cx="5715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67025"/>
                    </a:xfrm>
                    <a:prstGeom prst="rect">
                      <a:avLst/>
                    </a:prstGeom>
                  </pic:spPr>
                </pic:pic>
              </a:graphicData>
            </a:graphic>
          </wp:inline>
        </w:drawing>
      </w:r>
    </w:p>
    <w:p>
      <w:pPr>
        <w:spacing w:after="240"/>
        <w:jc w:val="center"/>
      </w:pPr>
      <w:r>
        <w:rPr>
          <w:i/>
          <w:iCs/>
          <w:color w:val="6E6E6E"/>
          <w:sz w:val="17"/>
          <w:szCs w:val="17"/>
        </w:rPr>
        <w:t xml:space="preserve">Figure 13 — Model catalogue across providers, including self-hosted vLLM and Ollama entries and an embedding and a rerank model.</w:t>
      </w:r>
    </w:p>
    <w:tbl>
      <w:tblPr>
        <w:tblW w:type="dxa" w:w="9638"/>
        <w:tblBorders>
          <w:top w:val="single" w:color="E3DCC8" w:sz="2"/>
          <w:left w:val="single" w:color="E3DCC8" w:sz="2"/>
          <w:bottom w:val="single" w:color="E3DCC8" w:sz="2"/>
          <w:right w:val="single" w:color="E3DCC8" w:sz="2"/>
          <w:insideH w:val="none"/>
          <w:insideV w:val="none"/>
        </w:tblBorders>
      </w:tblPr>
      <w:tblGrid>
        <w:gridCol w:w="9638"/>
      </w:tblGrid>
      <w:tr>
        <w:tc>
          <w:tcPr>
            <w:tcW w:type="dxa" w:w="9638"/>
            <w:shd w:fill="FCFAF4" w:val="clear"/>
            <w:tcMar>
              <w:top w:type="dxa" w:w="150"/>
              <w:left w:type="dxa" w:w="170"/>
              <w:bottom w:type="dxa" w:w="150"/>
              <w:right w:type="dxa" w:w="170"/>
            </w:tcMar>
          </w:tcPr>
          <w:p>
            <w:pPr>
              <w:spacing w:after="80"/>
            </w:pPr>
            <w:r>
              <w:rPr>
                <w:b/>
                <w:bCs/>
                <w:color w:val="8A6D3B"/>
                <w:sz w:val="19"/>
                <w:szCs w:val="19"/>
              </w:rPr>
              <w:t xml:space="preserve">Capability validation happens at save time, not at runtime</w:t>
            </w:r>
          </w:p>
          <w:p>
            <w:pPr>
              <w:spacing w:after="60" w:line="280"/>
            </w:pPr>
            <w:r>
              <w:rPr>
                <w:color w:val="5C5240"/>
                <w:sz w:val="19"/>
                <w:szCs w:val="19"/>
              </w:rPr>
              <w:t xml:space="preserve">If an agent version declares tool use and the primary model on its route does not support tool calling, the version fails validation before it can be saved.</w:t>
            </w:r>
          </w:p>
          <w:p>
            <w:pPr>
              <w:spacing w:after="60" w:line="280"/>
            </w:pPr>
            <w:r>
              <w:rPr>
                <w:color w:val="5C5240"/>
                <w:sz w:val="19"/>
                <w:szCs w:val="19"/>
              </w:rPr>
              <w:t xml:space="preserve">A route advertises only the capabilities that every hop in its chain supports — the weakest hop wins, because a fallback that silently drops tool calling is worse than a failure.</w:t>
            </w:r>
          </w:p>
          <w:p>
            <w:pPr>
              <w:spacing w:after="60" w:line="280"/>
            </w:pPr>
            <w:r>
              <w:rPr>
                <w:color w:val="5C5240"/>
                <w:sz w:val="19"/>
                <w:szCs w:val="19"/>
              </w:rPr>
              <w:t xml:space="preserve">A model marked as deprecating raises a warning on every route and every agent version that pins it, with the provider's end-of-life date.</w:t>
            </w:r>
          </w:p>
        </w:tc>
      </w:tr>
    </w:tbl>
    <w:p>
      <w:pPr>
        <w:spacing w:after="220"/>
      </w:pPr>
    </w:p>
    <w:p>
      <w:pPr>
        <w:pStyle w:val="Heading2"/>
        <w:spacing w:after="150" w:before="300"/>
      </w:pPr>
      <w:r>
        <w:rPr>
          <w:b/>
          <w:bCs/>
          <w:color w:val="222222"/>
          <w:sz w:val="25"/>
          <w:szCs w:val="25"/>
        </w:rPr>
        <w:t xml:space="preserve">11.5 Routes</w:t>
      </w:r>
    </w:p>
    <w:p>
      <w:pPr>
        <w:spacing w:after="140" w:line="300" w:lineRule="auto"/>
      </w:pPr>
      <w:r>
        <w:rPr>
          <w:color w:val="222222"/>
          <w:sz w:val="21"/>
          <w:szCs w:val="21"/>
        </w:rPr>
        <w:t xml:space="preserve">Routes remain the abstraction agents point at, and gain the policy that makes a fallback chain safe rather than merely present.</w:t>
      </w:r>
    </w:p>
    <w:tbl>
      <w:tblPr>
        <w:tblW w:type="dxa" w:w="9638"/>
        <w:tblBorders>
          <w:top w:val="single" w:color="CFCFCF" w:sz="2"/>
          <w:left w:val="single" w:color="CFCFCF" w:sz="2"/>
          <w:bottom w:val="single" w:color="CFCFCF" w:sz="2"/>
          <w:right w:val="single" w:color="CFCFCF" w:sz="2"/>
          <w:insideH w:val="none"/>
          <w:insideV w:val="none"/>
        </w:tblBorders>
      </w:tblPr>
      <w:tblGrid>
        <w:gridCol w:w="9638"/>
      </w:tblGrid>
      <w:tr>
        <w:tc>
          <w:tcPr>
            <w:tcW w:type="dxa" w:w="9638"/>
            <w:shd w:fill="FAFAF8" w:val="clear"/>
            <w:tcMar>
              <w:top w:type="dxa" w:w="140"/>
              <w:left w:type="dxa" w:w="160"/>
              <w:bottom w:type="dxa" w:w="140"/>
              <w:right w:type="dxa" w:w="160"/>
            </w:tcMar>
          </w:tcPr>
          <w:p>
            <w:pPr>
              <w:spacing w:after="0" w:line="250"/>
            </w:pPr>
            <w:r>
              <w:rPr>
                <w:rFonts w:ascii="Consolas" w:cs="Consolas" w:eastAsia="Consolas" w:hAnsi="Consolas"/>
                <w:color w:val="3C3C3C"/>
                <w:sz w:val="17"/>
                <w:szCs w:val="17"/>
              </w:rPr>
              <w:t xml:space="preserve">kind: modelRoute</w:t>
            </w:r>
          </w:p>
          <w:p>
            <w:pPr>
              <w:spacing w:after="0" w:line="250"/>
            </w:pPr>
            <w:r>
              <w:rPr>
                <w:rFonts w:ascii="Consolas" w:cs="Consolas" w:eastAsia="Consolas" w:hAnsi="Consolas"/>
                <w:color w:val="3C3C3C"/>
                <w:sz w:val="17"/>
                <w:szCs w:val="17"/>
              </w:rPr>
              <w:t xml:space="preserve">name: chat.primary</w:t>
            </w:r>
          </w:p>
          <w:p>
            <w:pPr>
              <w:spacing w:after="0" w:line="250"/>
            </w:pPr>
            <w:r>
              <w:rPr>
                <w:rFonts w:ascii="Consolas" w:cs="Consolas" w:eastAsia="Consolas" w:hAnsi="Consolas"/>
                <w:color w:val="3C3C3C"/>
                <w:sz w:val="17"/>
                <w:szCs w:val="17"/>
              </w:rPr>
              <w:t xml:space="preserve">version: 7</w:t>
            </w:r>
          </w:p>
          <w:p>
            <w:pPr>
              <w:spacing w:after="0" w:line="250"/>
            </w:pPr>
            <w:r>
              <w:rPr>
                <w:rFonts w:ascii="Consolas" w:cs="Consolas" w:eastAsia="Consolas" w:hAnsi="Consolas"/>
                <w:color w:val="3C3C3C"/>
                <w:sz w:val="17"/>
                <w:szCs w:val="17"/>
              </w:rPr>
              <w:t xml:space="preserve">chain:</w:t>
            </w:r>
          </w:p>
          <w:p>
            <w:pPr>
              <w:spacing w:after="0" w:line="250"/>
            </w:pPr>
            <w:r>
              <w:rPr>
                <w:rFonts w:ascii="Consolas" w:cs="Consolas" w:eastAsia="Consolas" w:hAnsi="Consolas"/>
                <w:color w:val="3C3C3C"/>
                <w:sz w:val="17"/>
                <w:szCs w:val="17"/>
              </w:rPr>
              <w:t xml:space="preserve">  - provider: anthropic          # 1 — primary</w:t>
            </w:r>
          </w:p>
          <w:p>
            <w:pPr>
              <w:spacing w:after="0" w:line="250"/>
            </w:pPr>
            <w:r>
              <w:rPr>
                <w:rFonts w:ascii="Consolas" w:cs="Consolas" w:eastAsia="Consolas" w:hAnsi="Consolas"/>
                <w:color w:val="3C3C3C"/>
                <w:sz w:val="17"/>
                <w:szCs w:val="17"/>
              </w:rPr>
              <w:t xml:space="preserve">    model: claude-sonnet-4-6</w:t>
            </w:r>
          </w:p>
          <w:p>
            <w:pPr>
              <w:spacing w:after="0" w:line="250"/>
            </w:pPr>
            <w:r>
              <w:rPr>
                <w:rFonts w:ascii="Consolas" w:cs="Consolas" w:eastAsia="Consolas" w:hAnsi="Consolas"/>
                <w:color w:val="3C3C3C"/>
                <w:sz w:val="17"/>
                <w:szCs w:val="17"/>
              </w:rPr>
              <w:t xml:space="preserve">    params: { temperature: 0.2, maxTokens: 4096 }</w:t>
            </w:r>
          </w:p>
          <w:p>
            <w:pPr>
              <w:spacing w:after="0" w:line="250"/>
            </w:pPr>
            <w:r>
              <w:rPr>
                <w:rFonts w:ascii="Consolas" w:cs="Consolas" w:eastAsia="Consolas" w:hAnsi="Consolas"/>
                <w:color w:val="3C3C3C"/>
                <w:sz w:val="17"/>
                <w:szCs w:val="17"/>
              </w:rPr>
              <w:t xml:space="preserve">    cache: ephemeral</w:t>
            </w:r>
          </w:p>
          <w:p>
            <w:pPr>
              <w:spacing w:after="0" w:line="250"/>
            </w:pPr>
            <w:r>
              <w:rPr>
                <w:rFonts w:ascii="Consolas" w:cs="Consolas" w:eastAsia="Consolas" w:hAnsi="Consolas"/>
                <w:color w:val="3C3C3C"/>
                <w:sz w:val="17"/>
                <w:szCs w:val="17"/>
              </w:rPr>
              <w:t xml:space="preserve">  - provider: azure-openai       # 2 — fallback, same region as the tenant</w:t>
            </w:r>
          </w:p>
          <w:p>
            <w:pPr>
              <w:spacing w:after="0" w:line="250"/>
            </w:pPr>
            <w:r>
              <w:rPr>
                <w:rFonts w:ascii="Consolas" w:cs="Consolas" w:eastAsia="Consolas" w:hAnsi="Consolas"/>
                <w:color w:val="3C3C3C"/>
                <w:sz w:val="17"/>
                <w:szCs w:val="17"/>
              </w:rPr>
              <w:t xml:space="preserve">    model: gpt-4.1</w:t>
            </w:r>
          </w:p>
          <w:p>
            <w:pPr>
              <w:spacing w:after="0" w:line="250"/>
            </w:pPr>
            <w:r>
              <w:rPr>
                <w:rFonts w:ascii="Consolas" w:cs="Consolas" w:eastAsia="Consolas" w:hAnsi="Consolas"/>
                <w:color w:val="3C3C3C"/>
                <w:sz w:val="17"/>
                <w:szCs w:val="17"/>
              </w:rPr>
              <w:t xml:space="preserve">    failoverOn: [429, 5xx, timeout]</w:t>
            </w:r>
          </w:p>
          <w:p>
            <w:pPr>
              <w:spacing w:after="0" w:line="250"/>
            </w:pPr>
            <w:r>
              <w:rPr>
                <w:rFonts w:ascii="Consolas" w:cs="Consolas" w:eastAsia="Consolas" w:hAnsi="Consolas"/>
                <w:color w:val="3C3C3C"/>
                <w:sz w:val="17"/>
                <w:szCs w:val="17"/>
              </w:rPr>
              <w:t xml:space="preserve">  - provider: vllm-internal      # 3 — last resort, self-hosted</w:t>
            </w:r>
          </w:p>
          <w:p>
            <w:pPr>
              <w:spacing w:after="0" w:line="250"/>
            </w:pPr>
            <w:r>
              <w:rPr>
                <w:rFonts w:ascii="Consolas" w:cs="Consolas" w:eastAsia="Consolas" w:hAnsi="Consolas"/>
                <w:color w:val="3C3C3C"/>
                <w:sz w:val="17"/>
                <w:szCs w:val="17"/>
              </w:rPr>
              <w:t xml:space="preserve">    model: qwen3-32b-instruct</w:t>
            </w:r>
          </w:p>
          <w:p>
            <w:pPr>
              <w:spacing w:after="0" w:line="250"/>
            </w:pPr>
            <w:r>
              <w:rPr>
                <w:rFonts w:ascii="Consolas" w:cs="Consolas" w:eastAsia="Consolas" w:hAnsi="Consolas"/>
                <w:color w:val="3C3C3C"/>
                <w:sz w:val="17"/>
                <w:szCs w:val="17"/>
              </w:rPr>
              <w:t xml:space="preserve">    setsDegradedFlag: true</w:t>
            </w:r>
          </w:p>
          <w:p>
            <w:pPr>
              <w:spacing w:after="0" w:line="250"/>
            </w:pPr>
            <w:r>
              <w:rPr>
                <w:rFonts w:ascii="Consolas" w:cs="Consolas" w:eastAsia="Consolas" w:hAnsi="Consolas"/>
                <w:color w:val="3C3C3C"/>
                <w:sz w:val="17"/>
                <w:szCs w:val="17"/>
              </w:rPr>
              <w:t xml:space="preserve">policy:</w:t>
            </w:r>
          </w:p>
          <w:p>
            <w:pPr>
              <w:spacing w:after="0" w:line="250"/>
            </w:pPr>
            <w:r>
              <w:rPr>
                <w:rFonts w:ascii="Consolas" w:cs="Consolas" w:eastAsia="Consolas" w:hAnsi="Consolas"/>
                <w:color w:val="3C3C3C"/>
                <w:sz w:val="17"/>
                <w:szCs w:val="17"/>
              </w:rPr>
              <w:t xml:space="preserve">  allowOutOfRegionFailover: false</w:t>
            </w:r>
          </w:p>
          <w:p>
            <w:pPr>
              <w:spacing w:after="0" w:line="250"/>
            </w:pPr>
            <w:r>
              <w:rPr>
                <w:rFonts w:ascii="Consolas" w:cs="Consolas" w:eastAsia="Consolas" w:hAnsi="Consolas"/>
                <w:color w:val="3C3C3C"/>
                <w:sz w:val="17"/>
                <w:szCs w:val="17"/>
              </w:rPr>
              <w:t xml:space="preserve">  timeout: { perHop: 20s, total: 45s }</w:t>
            </w:r>
          </w:p>
          <w:p>
            <w:pPr>
              <w:spacing w:after="0" w:line="250"/>
            </w:pPr>
            <w:r>
              <w:rPr>
                <w:rFonts w:ascii="Consolas" w:cs="Consolas" w:eastAsia="Consolas" w:hAnsi="Consolas"/>
                <w:color w:val="3C3C3C"/>
                <w:sz w:val="17"/>
                <w:szCs w:val="17"/>
              </w:rPr>
              <w:t xml:space="preserve">  retry: { attempts: 2, backoff: exponential }</w:t>
            </w:r>
          </w:p>
          <w:p>
            <w:pPr>
              <w:spacing w:after="0" w:line="250"/>
            </w:pPr>
            <w:r>
              <w:rPr>
                <w:rFonts w:ascii="Consolas" w:cs="Consolas" w:eastAsia="Consolas" w:hAnsi="Consolas"/>
                <w:color w:val="3C3C3C"/>
                <w:sz w:val="17"/>
                <w:szCs w:val="17"/>
              </w:rPr>
              <w:t xml:space="preserve">  costCeilingPerTurn: 0.05</w:t>
            </w:r>
          </w:p>
          <w:p>
            <w:pPr>
              <w:spacing w:after="0" w:line="250"/>
            </w:pPr>
            <w:r>
              <w:rPr>
                <w:rFonts w:ascii="Consolas" w:cs="Consolas" w:eastAsia="Consolas" w:hAnsi="Consolas"/>
                <w:color w:val="3C3C3C"/>
                <w:sz w:val="17"/>
                <w:szCs w:val="17"/>
              </w:rPr>
              <w:t xml:space="preserve">  logPromptsToTraces: masked</w:t>
            </w:r>
          </w:p>
        </w:tc>
      </w:tr>
    </w:tbl>
    <w:p>
      <w:pPr>
        <w:spacing w:after="200"/>
      </w:pPr>
    </w:p>
    <w:p>
      <w:pPr>
        <w:pStyle w:val="ListParagraph"/>
        <w:numPr>
          <w:ilvl w:val="0"/>
          <w:numId w:val="2"/>
        </w:numPr>
        <w:spacing w:after="90" w:line="290" w:lineRule="auto"/>
      </w:pPr>
      <w:r>
        <w:rPr>
          <w:color w:val="222222"/>
          <w:sz w:val="21"/>
          <w:szCs w:val="21"/>
        </w:rPr>
        <w:t xml:space="preserve">Recommended standard routes: chat.primary for answering, chat.router for classification and routing, embed.default for the knowledge index, rerank.default for retrieval reranking, and vision.default where images are handled.</w:t>
      </w:r>
    </w:p>
    <w:p>
      <w:pPr>
        <w:pStyle w:val="ListParagraph"/>
        <w:numPr>
          <w:ilvl w:val="0"/>
          <w:numId w:val="2"/>
        </w:numPr>
        <w:spacing w:after="90" w:line="290" w:lineRule="auto"/>
      </w:pPr>
      <w:r>
        <w:rPr>
          <w:color w:val="222222"/>
          <w:sz w:val="21"/>
          <w:szCs w:val="21"/>
        </w:rPr>
        <w:t xml:space="preserve">Routing on a cheap model and answering on a strong one is the single largest cost lever in a multi-agent system, and it is only expressible once routes are per-role rather than per-agent.</w:t>
      </w:r>
    </w:p>
    <w:p>
      <w:pPr>
        <w:pStyle w:val="ListParagraph"/>
        <w:numPr>
          <w:ilvl w:val="0"/>
          <w:numId w:val="2"/>
        </w:numPr>
        <w:spacing w:after="90" w:line="290" w:lineRule="auto"/>
      </w:pPr>
      <w:r>
        <w:rPr>
          <w:color w:val="222222"/>
          <w:sz w:val="21"/>
          <w:szCs w:val="21"/>
        </w:rPr>
        <w:t xml:space="preserve">Routes are versioned. An agent version pins route@version, so editing a route does not change the behaviour of an already-promoted agent.</w:t>
      </w:r>
    </w:p>
    <w:p>
      <w:pPr>
        <w:pStyle w:val="ListParagraph"/>
        <w:numPr>
          <w:ilvl w:val="0"/>
          <w:numId w:val="2"/>
        </w:numPr>
        <w:spacing w:after="90" w:line="290" w:lineRule="auto"/>
      </w:pPr>
      <w:r>
        <w:rPr>
          <w:color w:val="222222"/>
          <w:sz w:val="21"/>
          <w:szCs w:val="21"/>
        </w:rPr>
        <w:t xml:space="preserve">Failover semantics are declared, not implied: which error classes advance to the next hop, and whether a hop in another region is permitted at all. The default is that it is not.</w:t>
      </w:r>
    </w:p>
    <w:p>
      <w:pPr>
        <w:spacing w:after="60" w:before="120" w:line="240" w:lineRule="auto"/>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i/>
          <w:iCs/>
          <w:color w:val="6E6E6E"/>
          <w:sz w:val="17"/>
          <w:szCs w:val="17"/>
        </w:rPr>
        <w:t xml:space="preserve">Figure 14 — Route editor with the fallback chain, policy, the capability intersection the route can guarantee, and live cost.</w:t>
      </w:r>
    </w:p>
    <w:p>
      <w:pPr>
        <w:pStyle w:val="Heading2"/>
        <w:spacing w:after="150" w:before="300"/>
      </w:pPr>
      <w:r>
        <w:rPr>
          <w:b/>
          <w:bCs/>
          <w:color w:val="222222"/>
          <w:sz w:val="25"/>
          <w:szCs w:val="25"/>
        </w:rPr>
        <w:t xml:space="preserve">11.6 Usage, cost and the tenant view</w:t>
      </w:r>
    </w:p>
    <w:p>
      <w:pPr>
        <w:spacing w:after="140" w:line="300" w:lineRule="auto"/>
      </w:pPr>
      <w:r>
        <w:rPr>
          <w:color w:val="222222"/>
          <w:sz w:val="21"/>
          <w:szCs w:val="21"/>
        </w:rPr>
        <w:t xml:space="preserve">Once providers, models and routes are modelled, usage telemetry becomes straightforward and closes gap G-11 directly. A usage tab should report spend and volume by provider, model, route, agent version and channel, with a cost-per-resolved-conversation figure that is the number a tenant actually cares about. Budget breach behaviour is declared at the route level — degrade to a cheaper hop, or fail — rather than being discovered when a limit is hit.</w:t>
      </w:r>
    </w:p>
    <w:p>
      <w:pPr>
        <w:pStyle w:val="Heading2"/>
        <w:spacing w:after="150" w:before="300"/>
      </w:pPr>
      <w:r>
        <w:rPr>
          <w:b/>
          <w:bCs/>
          <w:color w:val="222222"/>
          <w:sz w:val="25"/>
          <w:szCs w:val="25"/>
        </w:rPr>
        <w:t xml:space="preserve">11.7 Governance and residency</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200"/>
        <w:gridCol w:w="7438"/>
      </w:tblGrid>
      <w:tr>
        <w:trPr>
          <w:tblHeader/>
        </w:trPr>
        <w:tc>
          <w:tcPr>
            <w:tcW w:type="dxa" w:w="2200"/>
            <w:shd w:fill="F3F3F1" w:val="clear"/>
            <w:tcMar>
              <w:top w:type="dxa" w:w="90"/>
              <w:left w:type="dxa" w:w="120"/>
              <w:bottom w:type="dxa" w:w="90"/>
              <w:right w:type="dxa" w:w="120"/>
            </w:tcMar>
          </w:tcPr>
          <w:p>
            <w:pPr>
              <w:spacing w:after="0" w:line="260"/>
            </w:pPr>
            <w:r>
              <w:rPr>
                <w:b/>
                <w:bCs/>
                <w:color w:val="6E6E6E"/>
                <w:sz w:val="17"/>
                <w:szCs w:val="17"/>
              </w:rPr>
              <w:t xml:space="preserve">Control</w:t>
            </w:r>
          </w:p>
        </w:tc>
        <w:tc>
          <w:tcPr>
            <w:tcW w:type="dxa" w:w="7438"/>
            <w:shd w:fill="F3F3F1" w:val="clear"/>
            <w:tcMar>
              <w:top w:type="dxa" w:w="90"/>
              <w:left w:type="dxa" w:w="120"/>
              <w:bottom w:type="dxa" w:w="90"/>
              <w:right w:type="dxa" w:w="120"/>
            </w:tcMar>
          </w:tcPr>
          <w:p>
            <w:pPr>
              <w:spacing w:after="0" w:line="260"/>
            </w:pPr>
            <w:r>
              <w:rPr>
                <w:b/>
                <w:bCs/>
                <w:color w:val="6E6E6E"/>
                <w:sz w:val="17"/>
                <w:szCs w:val="17"/>
              </w:rPr>
              <w:t xml:space="preserve">Rule</w:t>
            </w:r>
          </w:p>
        </w:tc>
      </w:tr>
      <w:tr>
        <w:tc>
          <w:tcPr>
            <w:tcW w:type="dxa" w:w="2200"/>
            <w:tcMar>
              <w:top w:type="dxa" w:w="90"/>
              <w:left w:type="dxa" w:w="120"/>
              <w:bottom w:type="dxa" w:w="90"/>
              <w:right w:type="dxa" w:w="120"/>
            </w:tcMar>
          </w:tcPr>
          <w:p>
            <w:pPr>
              <w:spacing w:after="0" w:line="260"/>
            </w:pPr>
            <w:r>
              <w:rPr>
                <w:b/>
                <w:bCs/>
                <w:color w:val="222222"/>
                <w:sz w:val="19"/>
                <w:szCs w:val="19"/>
              </w:rPr>
              <w:t xml:space="preserve">Plan-tier restriction</w:t>
            </w:r>
          </w:p>
        </w:tc>
        <w:tc>
          <w:tcPr>
            <w:tcW w:type="dxa" w:w="7438"/>
            <w:tcMar>
              <w:top w:type="dxa" w:w="90"/>
              <w:left w:type="dxa" w:w="120"/>
              <w:bottom w:type="dxa" w:w="90"/>
              <w:right w:type="dxa" w:w="120"/>
            </w:tcMar>
          </w:tcPr>
          <w:p>
            <w:pPr>
              <w:spacing w:after="0" w:line="260"/>
            </w:pPr>
            <w:r>
              <w:rPr>
                <w:b w:val="false"/>
                <w:bCs w:val="false"/>
                <w:color w:val="222222"/>
                <w:sz w:val="19"/>
                <w:szCs w:val="19"/>
              </w:rPr>
              <w:t xml:space="preserve">The Platform Manager console governs which provider types a plan tier may use, so a Starter tenant cannot attach an arbitrary bring-your-own endpoint if policy forbids it</w:t>
            </w:r>
          </w:p>
        </w:tc>
      </w:tr>
      <w:tr>
        <w:tc>
          <w:tcPr>
            <w:tcW w:type="dxa" w:w="2200"/>
            <w:tcMar>
              <w:top w:type="dxa" w:w="90"/>
              <w:left w:type="dxa" w:w="120"/>
              <w:bottom w:type="dxa" w:w="90"/>
              <w:right w:type="dxa" w:w="120"/>
            </w:tcMar>
          </w:tcPr>
          <w:p>
            <w:pPr>
              <w:spacing w:after="0" w:line="260"/>
            </w:pPr>
            <w:r>
              <w:rPr>
                <w:b/>
                <w:bCs/>
                <w:color w:val="222222"/>
                <w:sz w:val="19"/>
                <w:szCs w:val="19"/>
              </w:rPr>
              <w:t xml:space="preserve">Residency enforcement</w:t>
            </w:r>
          </w:p>
        </w:tc>
        <w:tc>
          <w:tcPr>
            <w:tcW w:type="dxa" w:w="7438"/>
            <w:tcMar>
              <w:top w:type="dxa" w:w="90"/>
              <w:left w:type="dxa" w:w="120"/>
              <w:bottom w:type="dxa" w:w="90"/>
              <w:right w:type="dxa" w:w="120"/>
            </w:tcMar>
          </w:tcPr>
          <w:p>
            <w:pPr>
              <w:spacing w:after="0" w:line="260"/>
            </w:pPr>
            <w:r>
              <w:rPr>
                <w:b w:val="false"/>
                <w:bCs w:val="false"/>
                <w:color w:val="222222"/>
                <w:sz w:val="19"/>
                <w:szCs w:val="19"/>
              </w:rPr>
              <w:t xml:space="preserve">A provider's region is checked against the tenant's storage region and out-of-region inference setting. A route whose chain would breach it cannot be saved</w:t>
            </w:r>
          </w:p>
        </w:tc>
      </w:tr>
      <w:tr>
        <w:tc>
          <w:tcPr>
            <w:tcW w:type="dxa" w:w="2200"/>
            <w:tcMar>
              <w:top w:type="dxa" w:w="90"/>
              <w:left w:type="dxa" w:w="120"/>
              <w:bottom w:type="dxa" w:w="90"/>
              <w:right w:type="dxa" w:w="120"/>
            </w:tcMar>
          </w:tcPr>
          <w:p>
            <w:pPr>
              <w:spacing w:after="0" w:line="260"/>
            </w:pPr>
            <w:r>
              <w:rPr>
                <w:b/>
                <w:bCs/>
                <w:color w:val="222222"/>
                <w:sz w:val="19"/>
                <w:szCs w:val="19"/>
              </w:rPr>
              <w:t xml:space="preserve">Data handling flags</w:t>
            </w:r>
          </w:p>
        </w:tc>
        <w:tc>
          <w:tcPr>
            <w:tcW w:type="dxa" w:w="7438"/>
            <w:tcMar>
              <w:top w:type="dxa" w:w="90"/>
              <w:left w:type="dxa" w:w="120"/>
              <w:bottom w:type="dxa" w:w="90"/>
              <w:right w:type="dxa" w:w="120"/>
            </w:tcMar>
          </w:tcPr>
          <w:p>
            <w:pPr>
              <w:spacing w:after="0" w:line="260"/>
            </w:pPr>
            <w:r>
              <w:rPr>
                <w:b w:val="false"/>
                <w:bCs w:val="false"/>
                <w:color w:val="222222"/>
                <w:sz w:val="19"/>
                <w:szCs w:val="19"/>
              </w:rPr>
              <w:t xml:space="preserve">Each provider records whether prompts are retained and whether they may be used for training. Routes surface the strictest flag in their chain</w:t>
            </w:r>
          </w:p>
        </w:tc>
      </w:tr>
      <w:tr>
        <w:tc>
          <w:tcPr>
            <w:tcW w:type="dxa" w:w="2200"/>
            <w:tcMar>
              <w:top w:type="dxa" w:w="90"/>
              <w:left w:type="dxa" w:w="120"/>
              <w:bottom w:type="dxa" w:w="90"/>
              <w:right w:type="dxa" w:w="120"/>
            </w:tcMar>
          </w:tcPr>
          <w:p>
            <w:pPr>
              <w:spacing w:after="0" w:line="260"/>
            </w:pPr>
            <w:r>
              <w:rPr>
                <w:b/>
                <w:bCs/>
                <w:color w:val="222222"/>
                <w:sz w:val="19"/>
                <w:szCs w:val="19"/>
              </w:rPr>
              <w:t xml:space="preserve">Credential handling</w:t>
            </w:r>
          </w:p>
        </w:tc>
        <w:tc>
          <w:tcPr>
            <w:tcW w:type="dxa" w:w="7438"/>
            <w:tcMar>
              <w:top w:type="dxa" w:w="90"/>
              <w:left w:type="dxa" w:w="120"/>
              <w:bottom w:type="dxa" w:w="90"/>
              <w:right w:type="dxa" w:w="120"/>
            </w:tcMar>
          </w:tcPr>
          <w:p>
            <w:pPr>
              <w:spacing w:after="0" w:line="260"/>
            </w:pPr>
            <w:r>
              <w:rPr>
                <w:b w:val="false"/>
                <w:bCs w:val="false"/>
                <w:color w:val="222222"/>
                <w:sz w:val="19"/>
                <w:szCs w:val="19"/>
              </w:rPr>
              <w:t xml:space="preserve">Provider credentials use the same encrypted vault as connectors and are never returned in plaintext</w:t>
            </w:r>
          </w:p>
        </w:tc>
      </w:tr>
      <w:tr>
        <w:tc>
          <w:tcPr>
            <w:tcW w:type="dxa" w:w="2200"/>
            <w:tcMar>
              <w:top w:type="dxa" w:w="90"/>
              <w:left w:type="dxa" w:w="120"/>
              <w:bottom w:type="dxa" w:w="90"/>
              <w:right w:type="dxa" w:w="120"/>
            </w:tcMar>
          </w:tcPr>
          <w:p>
            <w:pPr>
              <w:spacing w:after="0" w:line="260"/>
            </w:pPr>
            <w:r>
              <w:rPr>
                <w:b/>
                <w:bCs/>
                <w:color w:val="222222"/>
                <w:sz w:val="19"/>
                <w:szCs w:val="19"/>
              </w:rPr>
              <w:t xml:space="preserve">Self-hosted reachability</w:t>
            </w:r>
          </w:p>
        </w:tc>
        <w:tc>
          <w:tcPr>
            <w:tcW w:type="dxa" w:w="7438"/>
            <w:tcMar>
              <w:top w:type="dxa" w:w="90"/>
              <w:left w:type="dxa" w:w="120"/>
              <w:bottom w:type="dxa" w:w="90"/>
              <w:right w:type="dxa" w:w="120"/>
            </w:tcMar>
          </w:tcPr>
          <w:p>
            <w:pPr>
              <w:spacing w:after="0" w:line="260"/>
            </w:pPr>
            <w:r>
              <w:rPr>
                <w:b w:val="false"/>
                <w:bCs w:val="false"/>
                <w:color w:val="222222"/>
                <w:sz w:val="19"/>
                <w:szCs w:val="19"/>
              </w:rPr>
              <w:t xml:space="preserve">vLLM and Ollama providers need no credential but do need a reachability check, a concurrency limit and a health probe, since an unreachable local endpoint is a silent outage</w:t>
            </w:r>
          </w:p>
        </w:tc>
      </w:tr>
      <w:tr>
        <w:tc>
          <w:tcPr>
            <w:tcW w:type="dxa" w:w="2200"/>
            <w:tcMar>
              <w:top w:type="dxa" w:w="90"/>
              <w:left w:type="dxa" w:w="120"/>
              <w:bottom w:type="dxa" w:w="90"/>
              <w:right w:type="dxa" w:w="120"/>
            </w:tcMar>
          </w:tcPr>
          <w:p>
            <w:pPr>
              <w:spacing w:after="0" w:line="260"/>
            </w:pPr>
            <w:r>
              <w:rPr>
                <w:b/>
                <w:bCs/>
                <w:color w:val="222222"/>
                <w:sz w:val="19"/>
                <w:szCs w:val="19"/>
              </w:rPr>
              <w:t xml:space="preserve">Embedding model pinning</w:t>
            </w:r>
          </w:p>
        </w:tc>
        <w:tc>
          <w:tcPr>
            <w:tcW w:type="dxa" w:w="7438"/>
            <w:tcMar>
              <w:top w:type="dxa" w:w="90"/>
              <w:left w:type="dxa" w:w="120"/>
              <w:bottom w:type="dxa" w:w="90"/>
              <w:right w:type="dxa" w:w="120"/>
            </w:tcMar>
          </w:tcPr>
          <w:p>
            <w:pPr>
              <w:spacing w:after="0" w:line="260"/>
            </w:pPr>
            <w:r>
              <w:rPr>
                <w:b w:val="false"/>
                <w:bCs w:val="false"/>
                <w:color w:val="222222"/>
                <w:sz w:val="19"/>
                <w:szCs w:val="19"/>
              </w:rPr>
              <w:t xml:space="preserve">A knowledge index generation records the exact embedding provider and model. Changing it invalidates the index rather than silently mixing vector spaces</w:t>
            </w:r>
          </w:p>
        </w:tc>
      </w:tr>
    </w:tbl>
    <w:p>
      <w:pPr>
        <w:spacing w:after="200"/>
      </w:pPr>
    </w:p>
    <w:p>
      <w:pPr>
        <w:pStyle w:val="Heading2"/>
        <w:spacing w:after="150" w:before="300"/>
      </w:pPr>
      <w:r>
        <w:rPr>
          <w:b/>
          <w:bCs/>
          <w:color w:val="222222"/>
          <w:sz w:val="25"/>
          <w:szCs w:val="25"/>
        </w:rPr>
        <w:t xml:space="preserve">11.8 Data model additions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600"/>
        <w:gridCol w:w="7038"/>
      </w:tblGrid>
      <w:tr>
        <w:trPr>
          <w:tblHeader/>
        </w:trPr>
        <w:tc>
          <w:tcPr>
            <w:tcW w:type="dxa" w:w="2600"/>
            <w:shd w:fill="F3F3F1" w:val="clear"/>
            <w:tcMar>
              <w:top w:type="dxa" w:w="90"/>
              <w:left w:type="dxa" w:w="120"/>
              <w:bottom w:type="dxa" w:w="90"/>
              <w:right w:type="dxa" w:w="120"/>
            </w:tcMar>
          </w:tcPr>
          <w:p>
            <w:pPr>
              <w:spacing w:after="0" w:line="260"/>
            </w:pPr>
            <w:r>
              <w:rPr>
                <w:b/>
                <w:bCs/>
                <w:color w:val="6E6E6E"/>
                <w:sz w:val="17"/>
                <w:szCs w:val="17"/>
              </w:rPr>
              <w:t xml:space="preserve">Entity</w:t>
            </w:r>
          </w:p>
        </w:tc>
        <w:tc>
          <w:tcPr>
            <w:tcW w:type="dxa" w:w="7038"/>
            <w:shd w:fill="F3F3F1" w:val="clear"/>
            <w:tcMar>
              <w:top w:type="dxa" w:w="90"/>
              <w:left w:type="dxa" w:w="120"/>
              <w:bottom w:type="dxa" w:w="90"/>
              <w:right w:type="dxa" w:w="120"/>
            </w:tcMar>
          </w:tcPr>
          <w:p>
            <w:pPr>
              <w:spacing w:after="0" w:line="260"/>
            </w:pPr>
            <w:r>
              <w:rPr>
                <w:b/>
                <w:bCs/>
                <w:color w:val="6E6E6E"/>
                <w:sz w:val="17"/>
                <w:szCs w:val="17"/>
              </w:rPr>
              <w:t xml:space="preserve">Key fields</w:t>
            </w:r>
          </w:p>
        </w:tc>
      </w:tr>
      <w:tr>
        <w:tc>
          <w:tcPr>
            <w:tcW w:type="dxa" w:w="2600"/>
            <w:tcMar>
              <w:top w:type="dxa" w:w="90"/>
              <w:left w:type="dxa" w:w="120"/>
              <w:bottom w:type="dxa" w:w="90"/>
              <w:right w:type="dxa" w:w="120"/>
            </w:tcMar>
          </w:tcPr>
          <w:p>
            <w:pPr>
              <w:spacing w:after="0" w:line="260"/>
            </w:pPr>
            <w:r>
              <w:rPr>
                <w:b/>
                <w:bCs/>
                <w:color w:val="222222"/>
                <w:sz w:val="19"/>
                <w:szCs w:val="19"/>
              </w:rPr>
              <w:t xml:space="preserve">model_provider</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tenant_id (null for platform), type, name, base_url, region, auth_method, credential_ref, retains_prompts, trains_on_data, rate_limit_json, status</w:t>
            </w:r>
          </w:p>
        </w:tc>
      </w:tr>
      <w:tr>
        <w:tc>
          <w:tcPr>
            <w:tcW w:type="dxa" w:w="2600"/>
            <w:tcMar>
              <w:top w:type="dxa" w:w="90"/>
              <w:left w:type="dxa" w:w="120"/>
              <w:bottom w:type="dxa" w:w="90"/>
              <w:right w:type="dxa" w:w="120"/>
            </w:tcMar>
          </w:tcPr>
          <w:p>
            <w:pPr>
              <w:spacing w:after="0" w:line="260"/>
            </w:pPr>
            <w:r>
              <w:rPr>
                <w:b/>
                <w:bCs/>
                <w:color w:val="222222"/>
                <w:sz w:val="19"/>
                <w:szCs w:val="19"/>
              </w:rPr>
              <w:t xml:space="preserve">model_catalog_entry</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provider_id, model_id, display_name, modality, context_window, max_output, capabilities_json, tokenizer, price_in, price_out, price_cached, status, deprecates_at</w:t>
            </w:r>
          </w:p>
        </w:tc>
      </w:tr>
      <w:tr>
        <w:tc>
          <w:tcPr>
            <w:tcW w:type="dxa" w:w="2600"/>
            <w:tcMar>
              <w:top w:type="dxa" w:w="90"/>
              <w:left w:type="dxa" w:w="120"/>
              <w:bottom w:type="dxa" w:w="90"/>
              <w:right w:type="dxa" w:w="120"/>
            </w:tcMar>
          </w:tcPr>
          <w:p>
            <w:pPr>
              <w:spacing w:after="0" w:line="260"/>
            </w:pPr>
            <w:r>
              <w:rPr>
                <w:b/>
                <w:bCs/>
                <w:color w:val="222222"/>
                <w:sz w:val="19"/>
                <w:szCs w:val="19"/>
              </w:rPr>
              <w:t xml:space="preserve">model_route</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tenant_id, name, description</w:t>
            </w:r>
          </w:p>
        </w:tc>
      </w:tr>
      <w:tr>
        <w:tc>
          <w:tcPr>
            <w:tcW w:type="dxa" w:w="2600"/>
            <w:tcMar>
              <w:top w:type="dxa" w:w="90"/>
              <w:left w:type="dxa" w:w="120"/>
              <w:bottom w:type="dxa" w:w="90"/>
              <w:right w:type="dxa" w:w="120"/>
            </w:tcMar>
          </w:tcPr>
          <w:p>
            <w:pPr>
              <w:spacing w:after="0" w:line="260"/>
            </w:pPr>
            <w:r>
              <w:rPr>
                <w:b/>
                <w:bCs/>
                <w:color w:val="222222"/>
                <w:sz w:val="19"/>
                <w:szCs w:val="19"/>
              </w:rPr>
              <w:t xml:space="preserve">model_route_version</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route_id, version, chain_json, policy_json, created_by, status</w:t>
            </w:r>
          </w:p>
        </w:tc>
      </w:tr>
      <w:tr>
        <w:tc>
          <w:tcPr>
            <w:tcW w:type="dxa" w:w="2600"/>
            <w:tcMar>
              <w:top w:type="dxa" w:w="90"/>
              <w:left w:type="dxa" w:w="120"/>
              <w:bottom w:type="dxa" w:w="90"/>
              <w:right w:type="dxa" w:w="120"/>
            </w:tcMar>
          </w:tcPr>
          <w:p>
            <w:pPr>
              <w:spacing w:after="0" w:line="260"/>
            </w:pPr>
            <w:r>
              <w:rPr>
                <w:b/>
                <w:bCs/>
                <w:color w:val="222222"/>
                <w:sz w:val="19"/>
                <w:szCs w:val="19"/>
              </w:rPr>
              <w:t xml:space="preserve">model_usage_event</w:t>
            </w:r>
          </w:p>
        </w:tc>
        <w:tc>
          <w:tcPr>
            <w:tcW w:type="dxa" w:w="7038"/>
            <w:tcMar>
              <w:top w:type="dxa" w:w="90"/>
              <w:left w:type="dxa" w:w="120"/>
              <w:bottom w:type="dxa" w:w="90"/>
              <w:right w:type="dxa" w:w="120"/>
            </w:tcMar>
          </w:tcPr>
          <w:p>
            <w:pPr>
              <w:spacing w:after="0" w:line="260"/>
            </w:pPr>
            <w:r>
              <w:rPr>
                <w:rFonts w:ascii="Consolas" w:cs="Consolas" w:eastAsia="Consolas" w:hAnsi="Consolas"/>
                <w:b w:val="false"/>
                <w:bCs w:val="false"/>
                <w:color w:val="222222"/>
                <w:sz w:val="19"/>
                <w:szCs w:val="19"/>
              </w:rPr>
              <w:t xml:space="preserve">id, tenant_id, route_version_id, catalog_entry_id, agent_version_id, conversation_id, tokens_in, tokens_out, cached_tokens, cost_usd, latency_ms, hop_index, outcome</w:t>
            </w:r>
          </w:p>
        </w:tc>
      </w:tr>
    </w:tbl>
    <w:p>
      <w:pPr>
        <w:spacing w:after="200"/>
      </w:pPr>
    </w:p>
    <w:p>
      <w:r>
        <w:br w:type="page"/>
      </w:r>
    </w:p>
    <w:p>
      <w:pPr>
        <w:pStyle w:val="Heading1"/>
        <w:spacing w:after="200" w:before="360"/>
      </w:pPr>
      <w:r>
        <w:rPr>
          <w:b/>
          <w:bCs/>
          <w:color w:val="222222"/>
          <w:sz w:val="30"/>
          <w:szCs w:val="30"/>
        </w:rPr>
        <w:t xml:space="preserve">12. Cross-cutting concerns</w:t>
      </w:r>
    </w:p>
    <w:p>
      <w:pPr>
        <w:pStyle w:val="Heading2"/>
        <w:spacing w:after="150" w:before="300"/>
      </w:pPr>
      <w:r>
        <w:rPr>
          <w:b/>
          <w:bCs/>
          <w:color w:val="222222"/>
          <w:sz w:val="25"/>
          <w:szCs w:val="25"/>
        </w:rPr>
        <w:t xml:space="preserve">12.1 Permission composition</w:t>
      </w:r>
    </w:p>
    <w:p>
      <w:pPr>
        <w:spacing w:after="140" w:line="300" w:lineRule="auto"/>
      </w:pPr>
      <w:r>
        <w:rPr>
          <w:color w:val="222222"/>
          <w:sz w:val="21"/>
          <w:szCs w:val="21"/>
        </w:rPr>
        <w:t xml:space="preserve">Every new module introduces a way for one artifact to reference another, and each reference is a place where scope could widen. The rule stated in §5.3 is repeated here because it must be implemented once, centrally, in the authorisation layer rather than separately in each module: effective scope is the intersection of the caller, the artifact and tenant policy. A workflow node, a delegated agent, a composed skill and a retrieval call all pass through the same evaluator.</w:t>
      </w:r>
    </w:p>
    <w:p>
      <w:pPr>
        <w:pStyle w:val="Heading2"/>
        <w:spacing w:after="150" w:before="300"/>
      </w:pPr>
      <w:r>
        <w:rPr>
          <w:b/>
          <w:bCs/>
          <w:color w:val="222222"/>
          <w:sz w:val="25"/>
          <w:szCs w:val="25"/>
        </w:rPr>
        <w:t xml:space="preserve">12.2 Guardrails on the way out, not only on the way in</w:t>
      </w:r>
    </w:p>
    <w:p>
      <w:pPr>
        <w:spacing w:after="140" w:line="300" w:lineRule="auto"/>
      </w:pPr>
      <w:r>
        <w:rPr>
          <w:color w:val="222222"/>
          <w:sz w:val="21"/>
          <w:szCs w:val="21"/>
        </w:rPr>
        <w:t xml:space="preserve">PII detection, the masking-context matrix and pre-tool-call blocking all act before something happens. Nothing acts on what comes back. Three additions are needed, and they become more urgent once tool output and retrieved content cross agent boundaries.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000"/>
        <w:gridCol w:w="3800"/>
        <w:gridCol w:w="3838"/>
      </w:tblGrid>
      <w:tr>
        <w:trPr>
          <w:tblHeader/>
        </w:trPr>
        <w:tc>
          <w:tcPr>
            <w:tcW w:type="dxa" w:w="2000"/>
            <w:shd w:fill="F3F3F1" w:val="clear"/>
            <w:tcMar>
              <w:top w:type="dxa" w:w="90"/>
              <w:left w:type="dxa" w:w="120"/>
              <w:bottom w:type="dxa" w:w="90"/>
              <w:right w:type="dxa" w:w="120"/>
            </w:tcMar>
          </w:tcPr>
          <w:p>
            <w:pPr>
              <w:spacing w:after="0" w:line="260"/>
            </w:pPr>
            <w:r>
              <w:rPr>
                <w:b/>
                <w:bCs/>
                <w:color w:val="6E6E6E"/>
                <w:sz w:val="17"/>
                <w:szCs w:val="17"/>
              </w:rPr>
              <w:t xml:space="preserve">Guardrail</w:t>
            </w:r>
          </w:p>
        </w:tc>
        <w:tc>
          <w:tcPr>
            <w:tcW w:type="dxa" w:w="3800"/>
            <w:shd w:fill="F3F3F1" w:val="clear"/>
            <w:tcMar>
              <w:top w:type="dxa" w:w="90"/>
              <w:left w:type="dxa" w:w="120"/>
              <w:bottom w:type="dxa" w:w="90"/>
              <w:right w:type="dxa" w:w="120"/>
            </w:tcMar>
          </w:tcPr>
          <w:p>
            <w:pPr>
              <w:spacing w:after="0" w:line="260"/>
            </w:pPr>
            <w:r>
              <w:rPr>
                <w:b/>
                <w:bCs/>
                <w:color w:val="6E6E6E"/>
                <w:sz w:val="17"/>
                <w:szCs w:val="17"/>
              </w:rPr>
              <w:t xml:space="preserve">Applies to</w:t>
            </w:r>
          </w:p>
        </w:tc>
        <w:tc>
          <w:tcPr>
            <w:tcW w:type="dxa" w:w="3838"/>
            <w:shd w:fill="F3F3F1" w:val="clear"/>
            <w:tcMar>
              <w:top w:type="dxa" w:w="90"/>
              <w:left w:type="dxa" w:w="120"/>
              <w:bottom w:type="dxa" w:w="90"/>
              <w:right w:type="dxa" w:w="120"/>
            </w:tcMar>
          </w:tcPr>
          <w:p>
            <w:pPr>
              <w:spacing w:after="0" w:line="260"/>
            </w:pPr>
            <w:r>
              <w:rPr>
                <w:b/>
                <w:bCs/>
                <w:color w:val="6E6E6E"/>
                <w:sz w:val="17"/>
                <w:szCs w:val="17"/>
              </w:rPr>
              <w:t xml:space="preserve">Why</w:t>
            </w:r>
          </w:p>
        </w:tc>
      </w:tr>
      <w:tr>
        <w:tc>
          <w:tcPr>
            <w:tcW w:type="dxa" w:w="2000"/>
            <w:tcMar>
              <w:top w:type="dxa" w:w="90"/>
              <w:left w:type="dxa" w:w="120"/>
              <w:bottom w:type="dxa" w:w="90"/>
              <w:right w:type="dxa" w:w="120"/>
            </w:tcMar>
          </w:tcPr>
          <w:p>
            <w:pPr>
              <w:spacing w:after="0" w:line="260"/>
            </w:pPr>
            <w:r>
              <w:rPr>
                <w:b/>
                <w:bCs/>
                <w:color w:val="222222"/>
                <w:sz w:val="19"/>
                <w:szCs w:val="19"/>
              </w:rPr>
              <w:t xml:space="preserve">Prompt-injection detection</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Inbound customer messages and, critically, tool results and retrieved chunks</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A Fetch-class connector returns attacker-controlled text into model context. This is exploitable today and propagates across agents once delegation exists</w:t>
            </w:r>
          </w:p>
        </w:tc>
      </w:tr>
      <w:tr>
        <w:tc>
          <w:tcPr>
            <w:tcW w:type="dxa" w:w="2000"/>
            <w:tcMar>
              <w:top w:type="dxa" w:w="90"/>
              <w:left w:type="dxa" w:w="120"/>
              <w:bottom w:type="dxa" w:w="90"/>
              <w:right w:type="dxa" w:w="120"/>
            </w:tcMar>
          </w:tcPr>
          <w:p>
            <w:pPr>
              <w:spacing w:after="0" w:line="260"/>
            </w:pPr>
            <w:r>
              <w:rPr>
                <w:b/>
                <w:bCs/>
                <w:color w:val="222222"/>
                <w:sz w:val="19"/>
                <w:szCs w:val="19"/>
              </w:rPr>
              <w:t xml:space="preserve">Output policy</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Agent responses before they reach the customer or cross a delegation boundary</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Toxicity, off-topic drift, and disclosure of masked entities</w:t>
            </w:r>
          </w:p>
        </w:tc>
      </w:tr>
      <w:tr>
        <w:tc>
          <w:tcPr>
            <w:tcW w:type="dxa" w:w="2000"/>
            <w:tcMar>
              <w:top w:type="dxa" w:w="90"/>
              <w:left w:type="dxa" w:w="120"/>
              <w:bottom w:type="dxa" w:w="90"/>
              <w:right w:type="dxa" w:w="120"/>
            </w:tcMar>
          </w:tcPr>
          <w:p>
            <w:pPr>
              <w:spacing w:after="0" w:line="260"/>
            </w:pPr>
            <w:r>
              <w:rPr>
                <w:b/>
                <w:bCs/>
                <w:color w:val="222222"/>
                <w:sz w:val="19"/>
                <w:szCs w:val="19"/>
              </w:rPr>
              <w:t xml:space="preserve">Groundedness check</w:t>
            </w:r>
          </w:p>
        </w:tc>
        <w:tc>
          <w:tcPr>
            <w:tcW w:type="dxa" w:w="3800"/>
            <w:tcMar>
              <w:top w:type="dxa" w:w="90"/>
              <w:left w:type="dxa" w:w="120"/>
              <w:bottom w:type="dxa" w:w="90"/>
              <w:right w:type="dxa" w:w="120"/>
            </w:tcMar>
          </w:tcPr>
          <w:p>
            <w:pPr>
              <w:spacing w:after="0" w:line="260"/>
            </w:pPr>
            <w:r>
              <w:rPr>
                <w:b w:val="false"/>
                <w:bCs w:val="false"/>
                <w:color w:val="222222"/>
                <w:sz w:val="19"/>
                <w:szCs w:val="19"/>
              </w:rPr>
              <w:t xml:space="preserve">Responses from any agent with a knowledge scope</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Enforces refuseWhenUngrounded rather than trusting the model to abstain</w:t>
            </w:r>
          </w:p>
        </w:tc>
      </w:tr>
    </w:tbl>
    <w:p>
      <w:pPr>
        <w:spacing w:after="200"/>
      </w:pPr>
    </w:p>
    <w:p>
      <w:pPr>
        <w:pStyle w:val="Heading2"/>
        <w:spacing w:after="150" w:before="300"/>
      </w:pPr>
      <w:r>
        <w:rPr>
          <w:b/>
          <w:bCs/>
          <w:color w:val="222222"/>
          <w:sz w:val="25"/>
          <w:szCs w:val="25"/>
        </w:rPr>
        <w:t xml:space="preserve">12.3 Rollback</w:t>
      </w:r>
    </w:p>
    <w:p>
      <w:pPr>
        <w:spacing w:after="140" w:line="300" w:lineRule="auto"/>
      </w:pPr>
      <w:r>
        <w:rPr>
          <w:color w:val="222222"/>
          <w:sz w:val="21"/>
          <w:szCs w:val="21"/>
        </w:rPr>
        <w:t xml:space="preserve">This is the highest risk-to-effort item in the entire document. Promotion replaces the prior production deployment, and the only recovery path is Restore, which authors a new version that must then pass the full gate. The platform can deploy faster than it can recover.</w:t>
      </w:r>
    </w:p>
    <w:tbl>
      <w:tblPr>
        <w:tblW w:type="dxa" w:w="9638"/>
        <w:tblBorders>
          <w:top w:val="single" w:color="E3DCC8" w:sz="2"/>
          <w:left w:val="single" w:color="E3DCC8" w:sz="2"/>
          <w:bottom w:val="single" w:color="E3DCC8" w:sz="2"/>
          <w:right w:val="single" w:color="E3DCC8" w:sz="2"/>
          <w:insideH w:val="none"/>
          <w:insideV w:val="none"/>
        </w:tblBorders>
      </w:tblPr>
      <w:tblGrid>
        <w:gridCol w:w="9638"/>
      </w:tblGrid>
      <w:tr>
        <w:tc>
          <w:tcPr>
            <w:tcW w:type="dxa" w:w="9638"/>
            <w:shd w:fill="FCFAF4" w:val="clear"/>
            <w:tcMar>
              <w:top w:type="dxa" w:w="150"/>
              <w:left w:type="dxa" w:w="170"/>
              <w:bottom w:type="dxa" w:w="150"/>
              <w:right w:type="dxa" w:w="170"/>
            </w:tcMar>
          </w:tcPr>
          <w:p>
            <w:pPr>
              <w:spacing w:after="80"/>
            </w:pPr>
            <w:r>
              <w:rPr>
                <w:b/>
                <w:bCs/>
                <w:color w:val="8A6D3B"/>
                <w:sz w:val="19"/>
                <w:szCs w:val="19"/>
              </w:rPr>
              <w:t xml:space="preserve">Emergency rollback</w:t>
            </w:r>
          </w:p>
          <w:p>
            <w:pPr>
              <w:spacing w:after="60" w:line="280"/>
            </w:pPr>
            <w:r>
              <w:rPr>
                <w:color w:val="5C5240"/>
                <w:sz w:val="19"/>
                <w:szCs w:val="19"/>
              </w:rPr>
              <w:t xml:space="preserve">Re-promote a previously-Production version directly, bypassing the gate on the grounds that it already passed the gate when it was first promoted.</w:t>
            </w:r>
          </w:p>
          <w:p>
            <w:pPr>
              <w:spacing w:after="60" w:line="280"/>
            </w:pPr>
            <w:r>
              <w:rPr>
                <w:color w:val="5C5240"/>
                <w:sz w:val="19"/>
                <w:szCs w:val="19"/>
              </w:rPr>
              <w:t xml:space="preserve">Require a stated reason, write it to the audit log, and notify the tenant's administrators.</w:t>
            </w:r>
          </w:p>
          <w:p>
            <w:pPr>
              <w:spacing w:after="60" w:line="280"/>
            </w:pPr>
            <w:r>
              <w:rPr>
                <w:color w:val="5C5240"/>
                <w:sz w:val="19"/>
                <w:szCs w:val="19"/>
              </w:rPr>
              <w:t xml:space="preserve">This is not a weakening of the promotion gate. It is a recognition that the gate has already been satisfied for that exact artifact, which is only true because versions are immutable.</w:t>
            </w:r>
          </w:p>
        </w:tc>
      </w:tr>
    </w:tbl>
    <w:p>
      <w:pPr>
        <w:spacing w:after="220"/>
      </w:pPr>
    </w:p>
    <w:p>
      <w:pPr>
        <w:spacing w:after="140" w:line="300" w:lineRule="auto"/>
      </w:pPr>
      <w:r>
        <w:rPr>
          <w:color w:val="222222"/>
          <w:sz w:val="21"/>
          <w:szCs w:val="21"/>
        </w:rPr>
        <w:t xml:space="preserve">Progressive rollout follows once rollback exists: traffic splitting on the channel-to-version binding, and shadow evaluation of a candidate version against live traffic without customer exposure.</w:t>
      </w:r>
    </w:p>
    <w:p>
      <w:pPr>
        <w:pStyle w:val="Heading2"/>
        <w:spacing w:after="150" w:before="300"/>
      </w:pPr>
      <w:r>
        <w:rPr>
          <w:b/>
          <w:bCs/>
          <w:color w:val="222222"/>
          <w:sz w:val="25"/>
          <w:szCs w:val="25"/>
        </w:rPr>
        <w:t xml:space="preserve">12.4 Observability, export and recoverability</w:t>
      </w:r>
    </w:p>
    <w:p>
      <w:pPr>
        <w:pStyle w:val="ListParagraph"/>
        <w:numPr>
          <w:ilvl w:val="0"/>
          <w:numId w:val="2"/>
        </w:numPr>
        <w:spacing w:after="90" w:line="290" w:lineRule="auto"/>
      </w:pPr>
      <w:r>
        <w:rPr>
          <w:color w:val="222222"/>
          <w:sz w:val="21"/>
          <w:szCs w:val="21"/>
        </w:rPr>
        <w:t xml:space="preserve">OpenTelemetry export of traces and metrics, so a tenant can see NextBot spans alongside their own systems.</w:t>
      </w:r>
    </w:p>
    <w:p>
      <w:pPr>
        <w:pStyle w:val="ListParagraph"/>
        <w:numPr>
          <w:ilvl w:val="0"/>
          <w:numId w:val="2"/>
        </w:numPr>
        <w:spacing w:after="90" w:line="290" w:lineRule="auto"/>
      </w:pPr>
      <w:r>
        <w:rPr>
          <w:color w:val="222222"/>
          <w:sz w:val="21"/>
          <w:szCs w:val="21"/>
        </w:rPr>
        <w:t xml:space="preserve">Audit log streaming to a SIEM, which enterprise security teams will require and which cannot be retrofitted onto a console-only log.</w:t>
      </w:r>
    </w:p>
    <w:p>
      <w:pPr>
        <w:pStyle w:val="ListParagraph"/>
        <w:numPr>
          <w:ilvl w:val="0"/>
          <w:numId w:val="2"/>
        </w:numPr>
        <w:spacing w:after="90" w:line="290" w:lineRule="auto"/>
      </w:pPr>
      <w:r>
        <w:rPr>
          <w:color w:val="222222"/>
          <w:sz w:val="21"/>
          <w:szCs w:val="21"/>
        </w:rPr>
        <w:t xml:space="preserve">A consented break-glass path for platform operators. The cross-tenant health rollup is deliberately metadata-only, which is correct, but it leaves no way to diagnose a tenant-specific quality regression without the tenant's cooperation. Make that cooperation explicit, time-boxed and audited on both sides rather than absent.</w:t>
      </w:r>
    </w:p>
    <w:p>
      <w:pPr>
        <w:pStyle w:val="ListParagraph"/>
        <w:numPr>
          <w:ilvl w:val="0"/>
          <w:numId w:val="2"/>
        </w:numPr>
        <w:spacing w:after="90" w:line="290" w:lineRule="auto"/>
      </w:pPr>
      <w:r>
        <w:rPr>
          <w:color w:val="222222"/>
          <w:sz w:val="21"/>
          <w:szCs w:val="21"/>
        </w:rPr>
        <w:t xml:space="preserve">Configuration export and restore for a tenant's agents, skills, workflows, teams, connectors, routes and policies. Retention and Residency covers purge and region, not recoverability.</w:t>
      </w:r>
    </w:p>
    <w:p>
      <w:pPr>
        <w:pStyle w:val="Heading2"/>
        <w:spacing w:after="150" w:before="300"/>
      </w:pPr>
      <w:r>
        <w:rPr>
          <w:b/>
          <w:bCs/>
          <w:color w:val="222222"/>
          <w:sz w:val="25"/>
          <w:szCs w:val="25"/>
        </w:rPr>
        <w:t xml:space="preserve">12.5 Escalation, workforce and channels</w:t>
      </w:r>
    </w:p>
    <w:p>
      <w:pPr>
        <w:spacing w:after="140" w:line="300" w:lineRule="auto"/>
      </w:pPr>
      <w:r>
        <w:rPr>
          <w:color w:val="222222"/>
          <w:sz w:val="21"/>
          <w:szCs w:val="21"/>
        </w:rPr>
        <w:t xml:space="preserve">Escalation routing maps a goal and channel combination to a queue, and the detail page is a live takeover panel. Everything between "it landed in a queue" and "a human is holding it" is missing: assignment and claiming, SLA timers and aging, agent availability and presence, concurrency limits, and CSAT capture at the end of a takeover — which is also the natural feedback loop into evals. Routing to a queue nobody is watching is silent failure, and that is the current default.</w:t>
      </w:r>
    </w:p>
    <w:p>
      <w:pPr>
        <w:spacing w:after="140" w:line="300" w:lineRule="auto"/>
      </w:pPr>
      <w:r>
        <w:rPr>
          <w:color w:val="222222"/>
          <w:sz w:val="21"/>
          <w:szCs w:val="21"/>
        </w:rPr>
        <w:t xml:space="preserve">On channels: two types exist, Web Widget and WhatsApp Business. The adjacent set — email, SMS, voice, Instagram and Messenger, Slack and Teams for internal use — needs a generalised channel abstraction so that adding a type is configuration rather than engineering. Cross-channel identity resolution matters more: the same customer on WhatsApp and on the web is currently two unrelated conversations with no shared context.</w:t>
      </w:r>
    </w:p>
    <w:p>
      <w:pPr>
        <w:pStyle w:val="Heading2"/>
        <w:spacing w:after="150" w:before="300"/>
      </w:pPr>
      <w:r>
        <w:rPr>
          <w:b/>
          <w:bCs/>
          <w:color w:val="222222"/>
          <w:sz w:val="25"/>
          <w:szCs w:val="25"/>
        </w:rPr>
        <w:t xml:space="preserve">12.6 Identity and the developer surface</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200"/>
        <w:gridCol w:w="7438"/>
      </w:tblGrid>
      <w:tr>
        <w:trPr>
          <w:tblHeader/>
        </w:trPr>
        <w:tc>
          <w:tcPr>
            <w:tcW w:type="dxa" w:w="2200"/>
            <w:shd w:fill="F3F3F1" w:val="clear"/>
            <w:tcMar>
              <w:top w:type="dxa" w:w="90"/>
              <w:left w:type="dxa" w:w="120"/>
              <w:bottom w:type="dxa" w:w="90"/>
              <w:right w:type="dxa" w:w="120"/>
            </w:tcMar>
          </w:tcPr>
          <w:p>
            <w:pPr>
              <w:spacing w:after="0" w:line="260"/>
            </w:pPr>
            <w:r>
              <w:rPr>
                <w:b/>
                <w:bCs/>
                <w:color w:val="6E6E6E"/>
                <w:sz w:val="17"/>
                <w:szCs w:val="17"/>
              </w:rPr>
              <w:t xml:space="preserve">Gap</w:t>
            </w:r>
          </w:p>
        </w:tc>
        <w:tc>
          <w:tcPr>
            <w:tcW w:type="dxa" w:w="7438"/>
            <w:shd w:fill="F3F3F1" w:val="clear"/>
            <w:tcMar>
              <w:top w:type="dxa" w:w="90"/>
              <w:left w:type="dxa" w:w="120"/>
              <w:bottom w:type="dxa" w:w="90"/>
              <w:right w:type="dxa" w:w="120"/>
            </w:tcMar>
          </w:tcPr>
          <w:p>
            <w:pPr>
              <w:spacing w:after="0" w:line="260"/>
            </w:pPr>
            <w:r>
              <w:rPr>
                <w:b/>
                <w:bCs/>
                <w:color w:val="6E6E6E"/>
                <w:sz w:val="17"/>
                <w:szCs w:val="17"/>
              </w:rPr>
              <w:t xml:space="preserve">Requirement</w:t>
            </w:r>
          </w:p>
        </w:tc>
      </w:tr>
      <w:tr>
        <w:tc>
          <w:tcPr>
            <w:tcW w:type="dxa" w:w="2200"/>
            <w:tcMar>
              <w:top w:type="dxa" w:w="90"/>
              <w:left w:type="dxa" w:w="120"/>
              <w:bottom w:type="dxa" w:w="90"/>
              <w:right w:type="dxa" w:w="120"/>
            </w:tcMar>
          </w:tcPr>
          <w:p>
            <w:pPr>
              <w:spacing w:after="0" w:line="260"/>
            </w:pPr>
            <w:r>
              <w:rPr>
                <w:b/>
                <w:bCs/>
                <w:color w:val="222222"/>
                <w:sz w:val="19"/>
                <w:szCs w:val="19"/>
              </w:rPr>
              <w:t xml:space="preserve">SSO and SCIM</w:t>
            </w:r>
          </w:p>
        </w:tc>
        <w:tc>
          <w:tcPr>
            <w:tcW w:type="dxa" w:w="7438"/>
            <w:tcMar>
              <w:top w:type="dxa" w:w="90"/>
              <w:left w:type="dxa" w:w="120"/>
              <w:bottom w:type="dxa" w:w="90"/>
              <w:right w:type="dxa" w:w="120"/>
            </w:tcMar>
          </w:tcPr>
          <w:p>
            <w:pPr>
              <w:spacing w:after="0" w:line="260"/>
            </w:pPr>
            <w:r>
              <w:rPr>
                <w:b w:val="false"/>
                <w:bCs w:val="false"/>
                <w:color w:val="222222"/>
                <w:sz w:val="19"/>
                <w:szCs w:val="19"/>
              </w:rPr>
              <w:t xml:space="preserve">SAML and OIDC single sign-on, and SCIM provisioning. On a platform with an Enterprise tier, residency controls and a DSR screen, password plus TOTP is a procurement blocker independent of product quality</w:t>
            </w:r>
          </w:p>
        </w:tc>
      </w:tr>
      <w:tr>
        <w:tc>
          <w:tcPr>
            <w:tcW w:type="dxa" w:w="2200"/>
            <w:tcMar>
              <w:top w:type="dxa" w:w="90"/>
              <w:left w:type="dxa" w:w="120"/>
              <w:bottom w:type="dxa" w:w="90"/>
              <w:right w:type="dxa" w:w="120"/>
            </w:tcMar>
          </w:tcPr>
          <w:p>
            <w:pPr>
              <w:spacing w:after="0" w:line="260"/>
            </w:pPr>
            <w:r>
              <w:rPr>
                <w:b/>
                <w:bCs/>
                <w:color w:val="222222"/>
                <w:sz w:val="19"/>
                <w:szCs w:val="19"/>
              </w:rPr>
              <w:t xml:space="preserve">Session and key management</w:t>
            </w:r>
          </w:p>
        </w:tc>
        <w:tc>
          <w:tcPr>
            <w:tcW w:type="dxa" w:w="7438"/>
            <w:tcMar>
              <w:top w:type="dxa" w:w="90"/>
              <w:left w:type="dxa" w:w="120"/>
              <w:bottom w:type="dxa" w:w="90"/>
              <w:right w:type="dxa" w:w="120"/>
            </w:tcMar>
          </w:tcPr>
          <w:p>
            <w:pPr>
              <w:spacing w:after="0" w:line="260"/>
            </w:pPr>
            <w:r>
              <w:rPr>
                <w:b w:val="false"/>
                <w:bCs w:val="false"/>
                <w:color w:val="222222"/>
                <w:sz w:val="19"/>
                <w:szCs w:val="19"/>
              </w:rPr>
              <w:t xml:space="preserve">Session listing and revocation, service accounts and scoped API keys, and per-tenant password and MFA enforcement policy</w:t>
            </w:r>
          </w:p>
        </w:tc>
      </w:tr>
      <w:tr>
        <w:tc>
          <w:tcPr>
            <w:tcW w:type="dxa" w:w="2200"/>
            <w:tcMar>
              <w:top w:type="dxa" w:w="90"/>
              <w:left w:type="dxa" w:w="120"/>
              <w:bottom w:type="dxa" w:w="90"/>
              <w:right w:type="dxa" w:w="120"/>
            </w:tcMar>
          </w:tcPr>
          <w:p>
            <w:pPr>
              <w:spacing w:after="0" w:line="260"/>
            </w:pPr>
            <w:r>
              <w:rPr>
                <w:b/>
                <w:bCs/>
                <w:color w:val="222222"/>
                <w:sz w:val="19"/>
                <w:szCs w:val="19"/>
              </w:rPr>
              <w:t xml:space="preserve">Public API</w:t>
            </w:r>
          </w:p>
        </w:tc>
        <w:tc>
          <w:tcPr>
            <w:tcW w:type="dxa" w:w="7438"/>
            <w:tcMar>
              <w:top w:type="dxa" w:w="90"/>
              <w:left w:type="dxa" w:w="120"/>
              <w:bottom w:type="dxa" w:w="90"/>
              <w:right w:type="dxa" w:w="120"/>
            </w:tcMar>
          </w:tcPr>
          <w:p>
            <w:pPr>
              <w:spacing w:after="0" w:line="260"/>
            </w:pPr>
            <w:r>
              <w:rPr>
                <w:b w:val="false"/>
                <w:bCs w:val="false"/>
                <w:color w:val="222222"/>
                <w:sz w:val="19"/>
                <w:szCs w:val="19"/>
              </w:rPr>
              <w:t xml:space="preserve">Everything is console-driven today. Agent versions, skills, workflows and knowledge sources should be manageable programmatically</w:t>
            </w:r>
          </w:p>
        </w:tc>
      </w:tr>
      <w:tr>
        <w:tc>
          <w:tcPr>
            <w:tcW w:type="dxa" w:w="2200"/>
            <w:tcMar>
              <w:top w:type="dxa" w:w="90"/>
              <w:left w:type="dxa" w:w="120"/>
              <w:bottom w:type="dxa" w:w="90"/>
              <w:right w:type="dxa" w:w="120"/>
            </w:tcMar>
          </w:tcPr>
          <w:p>
            <w:pPr>
              <w:spacing w:after="0" w:line="260"/>
            </w:pPr>
            <w:r>
              <w:rPr>
                <w:b/>
                <w:bCs/>
                <w:color w:val="222222"/>
                <w:sz w:val="19"/>
                <w:szCs w:val="19"/>
              </w:rPr>
              <w:t xml:space="preserve">Webhooks</w:t>
            </w:r>
          </w:p>
        </w:tc>
        <w:tc>
          <w:tcPr>
            <w:tcW w:type="dxa" w:w="7438"/>
            <w:tcMar>
              <w:top w:type="dxa" w:w="90"/>
              <w:left w:type="dxa" w:w="120"/>
              <w:bottom w:type="dxa" w:w="90"/>
              <w:right w:type="dxa" w:w="120"/>
            </w:tcMar>
          </w:tcPr>
          <w:p>
            <w:pPr>
              <w:spacing w:after="0" w:line="260"/>
            </w:pPr>
            <w:r>
              <w:rPr>
                <w:b w:val="false"/>
                <w:bCs w:val="false"/>
                <w:color w:val="222222"/>
                <w:sz w:val="19"/>
                <w:szCs w:val="19"/>
              </w:rPr>
              <w:t xml:space="preserve">Outbound events for escalation created, approval pending, guardrail tripped, deployment changed and drift detected, so tenant systems can react</w:t>
            </w:r>
          </w:p>
        </w:tc>
      </w:tr>
    </w:tbl>
    <w:p>
      <w:pPr>
        <w:spacing w:after="200"/>
      </w:pPr>
    </w:p>
    <w:p>
      <w:r>
        <w:br w:type="page"/>
      </w:r>
    </w:p>
    <w:p>
      <w:pPr>
        <w:pStyle w:val="Heading1"/>
        <w:spacing w:after="200" w:before="360"/>
      </w:pPr>
      <w:r>
        <w:rPr>
          <w:b/>
          <w:bCs/>
          <w:color w:val="222222"/>
          <w:sz w:val="30"/>
          <w:szCs w:val="30"/>
        </w:rPr>
        <w:t xml:space="preserve">13. Delivery roadmap</w:t>
      </w:r>
    </w:p>
    <w:p>
      <w:pPr>
        <w:spacing w:after="140" w:line="300" w:lineRule="auto"/>
      </w:pPr>
      <w:r>
        <w:rPr>
          <w:color w:val="222222"/>
          <w:sz w:val="21"/>
          <w:szCs w:val="21"/>
        </w:rPr>
        <w:t xml:space="preserve">Sequencing is driven by dependency and by risk, not by visible feature value. Three items in Phase 0 are small and prevent incidents that are currently unrecoverable.</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700"/>
        <w:gridCol w:w="3000"/>
        <w:gridCol w:w="4200"/>
        <w:gridCol w:w="1738"/>
      </w:tblGrid>
      <w:tr>
        <w:trPr>
          <w:tblHeader/>
        </w:trPr>
        <w:tc>
          <w:tcPr>
            <w:tcW w:type="dxa" w:w="700"/>
            <w:shd w:fill="F3F3F1" w:val="clear"/>
            <w:tcMar>
              <w:top w:type="dxa" w:w="90"/>
              <w:left w:type="dxa" w:w="120"/>
              <w:bottom w:type="dxa" w:w="90"/>
              <w:right w:type="dxa" w:w="120"/>
            </w:tcMar>
          </w:tcPr>
          <w:p>
            <w:pPr>
              <w:spacing w:after="0" w:line="260"/>
            </w:pPr>
            <w:r>
              <w:rPr>
                <w:b/>
                <w:bCs/>
                <w:color w:val="6E6E6E"/>
                <w:sz w:val="17"/>
                <w:szCs w:val="17"/>
              </w:rPr>
              <w:t xml:space="preserve">Phase</w:t>
            </w:r>
          </w:p>
        </w:tc>
        <w:tc>
          <w:tcPr>
            <w:tcW w:type="dxa" w:w="3000"/>
            <w:shd w:fill="F3F3F1" w:val="clear"/>
            <w:tcMar>
              <w:top w:type="dxa" w:w="90"/>
              <w:left w:type="dxa" w:w="120"/>
              <w:bottom w:type="dxa" w:w="90"/>
              <w:right w:type="dxa" w:w="120"/>
            </w:tcMar>
          </w:tcPr>
          <w:p>
            <w:pPr>
              <w:spacing w:after="0" w:line="260"/>
            </w:pPr>
            <w:r>
              <w:rPr>
                <w:b/>
                <w:bCs/>
                <w:color w:val="6E6E6E"/>
                <w:sz w:val="17"/>
                <w:szCs w:val="17"/>
              </w:rPr>
              <w:t xml:space="preserve">Item</w:t>
            </w:r>
          </w:p>
        </w:tc>
        <w:tc>
          <w:tcPr>
            <w:tcW w:type="dxa" w:w="4200"/>
            <w:shd w:fill="F3F3F1" w:val="clear"/>
            <w:tcMar>
              <w:top w:type="dxa" w:w="90"/>
              <w:left w:type="dxa" w:w="120"/>
              <w:bottom w:type="dxa" w:w="90"/>
              <w:right w:type="dxa" w:w="120"/>
            </w:tcMar>
          </w:tcPr>
          <w:p>
            <w:pPr>
              <w:spacing w:after="0" w:line="260"/>
            </w:pPr>
            <w:r>
              <w:rPr>
                <w:b/>
                <w:bCs/>
                <w:color w:val="6E6E6E"/>
                <w:sz w:val="17"/>
                <w:szCs w:val="17"/>
              </w:rPr>
              <w:t xml:space="preserve">Rationale</w:t>
            </w:r>
          </w:p>
        </w:tc>
        <w:tc>
          <w:tcPr>
            <w:tcW w:type="dxa" w:w="1738"/>
            <w:shd w:fill="F3F3F1" w:val="clear"/>
            <w:tcMar>
              <w:top w:type="dxa" w:w="90"/>
              <w:left w:type="dxa" w:w="120"/>
              <w:bottom w:type="dxa" w:w="90"/>
              <w:right w:type="dxa" w:w="120"/>
            </w:tcMar>
          </w:tcPr>
          <w:p>
            <w:pPr>
              <w:spacing w:after="0" w:line="260"/>
            </w:pPr>
            <w:r>
              <w:rPr>
                <w:b/>
                <w:bCs/>
                <w:color w:val="6E6E6E"/>
                <w:sz w:val="17"/>
                <w:szCs w:val="17"/>
              </w:rPr>
              <w:t xml:space="preserve">Depends on</w:t>
            </w:r>
          </w:p>
        </w:tc>
      </w:tr>
      <w:tr>
        <w:tc>
          <w:tcPr>
            <w:tcW w:type="dxa" w:w="700"/>
            <w:tcMar>
              <w:top w:type="dxa" w:w="90"/>
              <w:left w:type="dxa" w:w="120"/>
              <w:bottom w:type="dxa" w:w="90"/>
              <w:right w:type="dxa" w:w="120"/>
            </w:tcMar>
          </w:tcPr>
          <w:p>
            <w:pPr>
              <w:spacing w:after="0" w:line="260"/>
            </w:pPr>
            <w:r>
              <w:rPr>
                <w:b/>
                <w:bCs/>
                <w:color w:val="222222"/>
                <w:sz w:val="19"/>
                <w:szCs w:val="19"/>
              </w:rPr>
              <w:t xml:space="preserve">0</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Emergency rollback</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The platform can deploy faster than it can recover. Highest risk-to-effort ratio in the document</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700"/>
            <w:tcMar>
              <w:top w:type="dxa" w:w="90"/>
              <w:left w:type="dxa" w:w="120"/>
              <w:bottom w:type="dxa" w:w="90"/>
              <w:right w:type="dxa" w:w="120"/>
            </w:tcMar>
          </w:tcPr>
          <w:p>
            <w:pPr>
              <w:spacing w:after="0" w:line="260"/>
            </w:pPr>
            <w:r>
              <w:rPr>
                <w:b/>
                <w:bCs/>
                <w:color w:val="222222"/>
                <w:sz w:val="19"/>
                <w:szCs w:val="19"/>
              </w:rPr>
              <w:t xml:space="preserve">0</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Capability-group management screen</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Already referenced by the Design mode picker and unauthorable anywhere</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700"/>
            <w:tcMar>
              <w:top w:type="dxa" w:w="90"/>
              <w:left w:type="dxa" w:w="120"/>
              <w:bottom w:type="dxa" w:w="90"/>
              <w:right w:type="dxa" w:w="120"/>
            </w:tcMar>
          </w:tcPr>
          <w:p>
            <w:pPr>
              <w:spacing w:after="0" w:line="260"/>
            </w:pPr>
            <w:r>
              <w:rPr>
                <w:b/>
                <w:bCs/>
                <w:color w:val="222222"/>
                <w:sz w:val="19"/>
                <w:szCs w:val="19"/>
              </w:rPr>
              <w:t xml:space="preserve">0</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Manifest pinning and drift quarantine</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Closes the clearest privilege-escalation path in the platform</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700"/>
            <w:tcMar>
              <w:top w:type="dxa" w:w="90"/>
              <w:left w:type="dxa" w:w="120"/>
              <w:bottom w:type="dxa" w:w="90"/>
              <w:right w:type="dxa" w:w="120"/>
            </w:tcMar>
          </w:tcPr>
          <w:p>
            <w:pPr>
              <w:spacing w:after="0" w:line="260"/>
            </w:pPr>
            <w:r>
              <w:rPr>
                <w:b/>
                <w:bCs/>
                <w:color w:val="222222"/>
                <w:sz w:val="19"/>
                <w:szCs w:val="19"/>
              </w:rPr>
              <w:t xml:space="preserve">0</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Injection guardrail on tool results</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Exploitable today through the Fetch connector</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700"/>
            <w:tcMar>
              <w:top w:type="dxa" w:w="90"/>
              <w:left w:type="dxa" w:w="120"/>
              <w:bottom w:type="dxa" w:w="90"/>
              <w:right w:type="dxa" w:w="120"/>
            </w:tcMar>
          </w:tcPr>
          <w:p>
            <w:pPr>
              <w:spacing w:after="0" w:line="260"/>
            </w:pPr>
            <w:r>
              <w:rPr>
                <w:b/>
                <w:bCs/>
                <w:color w:val="222222"/>
                <w:sz w:val="19"/>
                <w:szCs w:val="19"/>
              </w:rPr>
              <w:t xml:space="preserve">0</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Structural YAML diff without Git</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The majority authoring path has no diff at all</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700"/>
            <w:tcMar>
              <w:top w:type="dxa" w:w="90"/>
              <w:left w:type="dxa" w:w="120"/>
              <w:bottom w:type="dxa" w:w="90"/>
              <w:right w:type="dxa" w:w="120"/>
            </w:tcMar>
          </w:tcPr>
          <w:p>
            <w:pPr>
              <w:spacing w:after="0" w:line="260"/>
            </w:pPr>
            <w:r>
              <w:rPr>
                <w:b/>
                <w:bCs/>
                <w:color w:val="222222"/>
                <w:sz w:val="19"/>
                <w:szCs w:val="19"/>
              </w:rPr>
              <w:t xml:space="preserve">1</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Model Gateway v2 — providers, catalogue, routes, usage</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Prerequisite for knowledge indexing and for per-role routing in teams</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Phase 0</w:t>
            </w:r>
          </w:p>
        </w:tc>
      </w:tr>
      <w:tr>
        <w:tc>
          <w:tcPr>
            <w:tcW w:type="dxa" w:w="700"/>
            <w:tcMar>
              <w:top w:type="dxa" w:w="90"/>
              <w:left w:type="dxa" w:w="120"/>
              <w:bottom w:type="dxa" w:w="90"/>
              <w:right w:type="dxa" w:w="120"/>
            </w:tcMar>
          </w:tcPr>
          <w:p>
            <w:pPr>
              <w:spacing w:after="0" w:line="260"/>
            </w:pPr>
            <w:r>
              <w:rPr>
                <w:b/>
                <w:bCs/>
                <w:color w:val="222222"/>
                <w:sz w:val="19"/>
                <w:szCs w:val="19"/>
              </w:rPr>
              <w:t xml:space="preserve">1</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MCP enrolment wizard and registry</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Governs the tool supply chain the rest of the platform composes over</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Manifest pinning</w:t>
            </w:r>
          </w:p>
        </w:tc>
      </w:tr>
      <w:tr>
        <w:tc>
          <w:tcPr>
            <w:tcW w:type="dxa" w:w="700"/>
            <w:tcMar>
              <w:top w:type="dxa" w:w="90"/>
              <w:left w:type="dxa" w:w="120"/>
              <w:bottom w:type="dxa" w:w="90"/>
              <w:right w:type="dxa" w:w="120"/>
            </w:tcMar>
          </w:tcPr>
          <w:p>
            <w:pPr>
              <w:spacing w:after="0" w:line="260"/>
            </w:pPr>
            <w:r>
              <w:rPr>
                <w:b/>
                <w:bCs/>
                <w:color w:val="222222"/>
                <w:sz w:val="19"/>
                <w:szCs w:val="19"/>
              </w:rPr>
              <w:t xml:space="preserve">1</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Skills library with version pinning</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The unit of composition everything above depends on</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700"/>
            <w:tcMar>
              <w:top w:type="dxa" w:w="90"/>
              <w:left w:type="dxa" w:w="120"/>
              <w:bottom w:type="dxa" w:w="90"/>
              <w:right w:type="dxa" w:w="120"/>
            </w:tcMar>
          </w:tcPr>
          <w:p>
            <w:pPr>
              <w:spacing w:after="0" w:line="260"/>
            </w:pPr>
            <w:r>
              <w:rPr>
                <w:b/>
                <w:bCs/>
                <w:color w:val="222222"/>
                <w:sz w:val="19"/>
                <w:szCs w:val="19"/>
              </w:rPr>
              <w:t xml:space="preserve">1</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SSO and SCIM</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Gates enterprise deals regardless of the rest of the roadmap</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700"/>
            <w:tcMar>
              <w:top w:type="dxa" w:w="90"/>
              <w:left w:type="dxa" w:w="120"/>
              <w:bottom w:type="dxa" w:w="90"/>
              <w:right w:type="dxa" w:w="120"/>
            </w:tcMar>
          </w:tcPr>
          <w:p>
            <w:pPr>
              <w:spacing w:after="0" w:line="260"/>
            </w:pPr>
            <w:r>
              <w:rPr>
                <w:b/>
                <w:bCs/>
                <w:color w:val="222222"/>
                <w:sz w:val="19"/>
                <w:szCs w:val="19"/>
              </w:rPr>
              <w:t xml:space="preserve">2</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Knowledge and Graph RAG, retrieval agent, citations</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The largest capability gap; needs a pinned embedding model</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Model Gateway v2</w:t>
            </w:r>
          </w:p>
        </w:tc>
      </w:tr>
      <w:tr>
        <w:tc>
          <w:tcPr>
            <w:tcW w:type="dxa" w:w="700"/>
            <w:tcMar>
              <w:top w:type="dxa" w:w="90"/>
              <w:left w:type="dxa" w:w="120"/>
              <w:bottom w:type="dxa" w:w="90"/>
              <w:right w:type="dxa" w:w="120"/>
            </w:tcMar>
          </w:tcPr>
          <w:p>
            <w:pPr>
              <w:spacing w:after="0" w:line="260"/>
            </w:pPr>
            <w:r>
              <w:rPr>
                <w:b/>
                <w:bCs/>
                <w:color w:val="222222"/>
                <w:sz w:val="19"/>
                <w:szCs w:val="19"/>
              </w:rPr>
              <w:t xml:space="preserve">2</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Agent Design Studio and blueprints</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Composes skills; a wizard without skills is only a longer form</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Skills</w:t>
            </w:r>
          </w:p>
        </w:tc>
      </w:tr>
      <w:tr>
        <w:tc>
          <w:tcPr>
            <w:tcW w:type="dxa" w:w="700"/>
            <w:tcMar>
              <w:top w:type="dxa" w:w="90"/>
              <w:left w:type="dxa" w:w="120"/>
              <w:bottom w:type="dxa" w:w="90"/>
              <w:right w:type="dxa" w:w="120"/>
            </w:tcMar>
          </w:tcPr>
          <w:p>
            <w:pPr>
              <w:spacing w:after="0" w:line="260"/>
            </w:pPr>
            <w:r>
              <w:rPr>
                <w:b/>
                <w:bCs/>
                <w:color w:val="222222"/>
                <w:sz w:val="19"/>
                <w:szCs w:val="19"/>
              </w:rPr>
              <w:t xml:space="preserve">2</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Permission intersection evaluator and trace tree</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Must ship before any delegation runs in production, not after</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700"/>
            <w:tcMar>
              <w:top w:type="dxa" w:w="90"/>
              <w:left w:type="dxa" w:w="120"/>
              <w:bottom w:type="dxa" w:w="90"/>
              <w:right w:type="dxa" w:w="120"/>
            </w:tcMar>
          </w:tcPr>
          <w:p>
            <w:pPr>
              <w:spacing w:after="0" w:line="260"/>
            </w:pPr>
            <w:r>
              <w:rPr>
                <w:b/>
                <w:bCs/>
                <w:color w:val="222222"/>
                <w:sz w:val="19"/>
                <w:szCs w:val="19"/>
              </w:rPr>
              <w:t xml:space="preserve">2</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Escalation SLA, assignment, presence and CSAT</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Escalations exist but are not operable at scale</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w:t>
            </w:r>
          </w:p>
        </w:tc>
      </w:tr>
      <w:tr>
        <w:tc>
          <w:tcPr>
            <w:tcW w:type="dxa" w:w="700"/>
            <w:tcMar>
              <w:top w:type="dxa" w:w="90"/>
              <w:left w:type="dxa" w:w="120"/>
              <w:bottom w:type="dxa" w:w="90"/>
              <w:right w:type="dxa" w:w="120"/>
            </w:tcMar>
          </w:tcPr>
          <w:p>
            <w:pPr>
              <w:spacing w:after="0" w:line="260"/>
            </w:pPr>
            <w:r>
              <w:rPr>
                <w:b/>
                <w:bCs/>
                <w:color w:val="222222"/>
                <w:sz w:val="19"/>
                <w:szCs w:val="19"/>
              </w:rPr>
              <w:t xml:space="preserve">3</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Agent-as-tool registration and supervisor teams</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Mostly registration and policy over machinery that already exists</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Intersection evaluator, trace tree</w:t>
            </w:r>
          </w:p>
        </w:tc>
      </w:tr>
      <w:tr>
        <w:tc>
          <w:tcPr>
            <w:tcW w:type="dxa" w:w="700"/>
            <w:tcMar>
              <w:top w:type="dxa" w:w="90"/>
              <w:left w:type="dxa" w:w="120"/>
              <w:bottom w:type="dxa" w:w="90"/>
              <w:right w:type="dxa" w:w="120"/>
            </w:tcMar>
          </w:tcPr>
          <w:p>
            <w:pPr>
              <w:spacing w:after="0" w:line="260"/>
            </w:pPr>
            <w:r>
              <w:rPr>
                <w:b/>
                <w:bCs/>
                <w:color w:val="222222"/>
                <w:sz w:val="19"/>
                <w:szCs w:val="19"/>
              </w:rPr>
              <w:t xml:space="preserve">3</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Workflow designer and durable runtime</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The heavier of the two orchestration mechanisms</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Skills, teams</w:t>
            </w:r>
          </w:p>
        </w:tc>
      </w:tr>
      <w:tr>
        <w:tc>
          <w:tcPr>
            <w:tcW w:type="dxa" w:w="700"/>
            <w:tcMar>
              <w:top w:type="dxa" w:w="90"/>
              <w:left w:type="dxa" w:w="120"/>
              <w:bottom w:type="dxa" w:w="90"/>
              <w:right w:type="dxa" w:w="120"/>
            </w:tcMar>
          </w:tcPr>
          <w:p>
            <w:pPr>
              <w:spacing w:after="0" w:line="260"/>
            </w:pPr>
            <w:r>
              <w:rPr>
                <w:b/>
                <w:bCs/>
                <w:color w:val="222222"/>
                <w:sz w:val="19"/>
                <w:szCs w:val="19"/>
              </w:rPr>
              <w:t xml:space="preserve">3</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Eval harvesting, judge grading, continuous runs</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Compounding quality gains once composition exists</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Skills</w:t>
            </w:r>
          </w:p>
        </w:tc>
      </w:tr>
      <w:tr>
        <w:tc>
          <w:tcPr>
            <w:tcW w:type="dxa" w:w="700"/>
            <w:tcMar>
              <w:top w:type="dxa" w:w="90"/>
              <w:left w:type="dxa" w:w="120"/>
              <w:bottom w:type="dxa" w:w="90"/>
              <w:right w:type="dxa" w:w="120"/>
            </w:tcMar>
          </w:tcPr>
          <w:p>
            <w:pPr>
              <w:spacing w:after="0" w:line="260"/>
            </w:pPr>
            <w:r>
              <w:rPr>
                <w:b/>
                <w:bCs/>
                <w:color w:val="222222"/>
                <w:sz w:val="19"/>
                <w:szCs w:val="19"/>
              </w:rPr>
              <w:t xml:space="preserve">4</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Progressive rollout, shadow evaluation, canary</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Safe to build only once rollback and trace attribution exist</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Phase 0, trace tree</w:t>
            </w:r>
          </w:p>
        </w:tc>
      </w:tr>
      <w:tr>
        <w:tc>
          <w:tcPr>
            <w:tcW w:type="dxa" w:w="700"/>
            <w:tcMar>
              <w:top w:type="dxa" w:w="90"/>
              <w:left w:type="dxa" w:w="120"/>
              <w:bottom w:type="dxa" w:w="90"/>
              <w:right w:type="dxa" w:w="120"/>
            </w:tcMar>
          </w:tcPr>
          <w:p>
            <w:pPr>
              <w:spacing w:after="0" w:line="260"/>
            </w:pPr>
            <w:r>
              <w:rPr>
                <w:b/>
                <w:bCs/>
                <w:color w:val="222222"/>
                <w:sz w:val="19"/>
                <w:szCs w:val="19"/>
              </w:rPr>
              <w:t xml:space="preserve">4</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Public API, webhooks, OpenTelemetry and SIEM export</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Integration parity in both directions</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Stable module boundaries</w:t>
            </w:r>
          </w:p>
        </w:tc>
      </w:tr>
      <w:tr>
        <w:tc>
          <w:tcPr>
            <w:tcW w:type="dxa" w:w="700"/>
            <w:tcMar>
              <w:top w:type="dxa" w:w="90"/>
              <w:left w:type="dxa" w:w="120"/>
              <w:bottom w:type="dxa" w:w="90"/>
              <w:right w:type="dxa" w:w="120"/>
            </w:tcMar>
          </w:tcPr>
          <w:p>
            <w:pPr>
              <w:spacing w:after="0" w:line="260"/>
            </w:pPr>
            <w:r>
              <w:rPr>
                <w:b/>
                <w:bCs/>
                <w:color w:val="222222"/>
                <w:sz w:val="19"/>
                <w:szCs w:val="19"/>
              </w:rPr>
              <w:t xml:space="preserve">4</w:t>
            </w:r>
          </w:p>
        </w:tc>
        <w:tc>
          <w:tcPr>
            <w:tcW w:type="dxa" w:w="3000"/>
            <w:tcMar>
              <w:top w:type="dxa" w:w="90"/>
              <w:left w:type="dxa" w:w="120"/>
              <w:bottom w:type="dxa" w:w="90"/>
              <w:right w:type="dxa" w:w="120"/>
            </w:tcMar>
          </w:tcPr>
          <w:p>
            <w:pPr>
              <w:spacing w:after="0" w:line="260"/>
            </w:pPr>
            <w:r>
              <w:rPr>
                <w:b w:val="false"/>
                <w:bCs w:val="false"/>
                <w:color w:val="222222"/>
                <w:sz w:val="19"/>
                <w:szCs w:val="19"/>
              </w:rPr>
              <w:t xml:space="preserve">Channel expansion and cross-channel identity</w:t>
            </w:r>
          </w:p>
        </w:tc>
        <w:tc>
          <w:tcPr>
            <w:tcW w:type="dxa" w:w="4200"/>
            <w:tcMar>
              <w:top w:type="dxa" w:w="90"/>
              <w:left w:type="dxa" w:w="120"/>
              <w:bottom w:type="dxa" w:w="90"/>
              <w:right w:type="dxa" w:w="120"/>
            </w:tcMar>
          </w:tcPr>
          <w:p>
            <w:pPr>
              <w:spacing w:after="0" w:line="260"/>
            </w:pPr>
            <w:r>
              <w:rPr>
                <w:b w:val="false"/>
                <w:bCs w:val="false"/>
                <w:color w:val="222222"/>
                <w:sz w:val="19"/>
                <w:szCs w:val="19"/>
              </w:rPr>
              <w:t xml:space="preserve">Straightforward once the channel abstraction is generalised</w:t>
            </w:r>
          </w:p>
        </w:tc>
        <w:tc>
          <w:tcPr>
            <w:tcW w:type="dxa" w:w="1738"/>
            <w:tcMar>
              <w:top w:type="dxa" w:w="90"/>
              <w:left w:type="dxa" w:w="120"/>
              <w:bottom w:type="dxa" w:w="90"/>
              <w:right w:type="dxa" w:w="120"/>
            </w:tcMar>
          </w:tcPr>
          <w:p>
            <w:pPr>
              <w:spacing w:after="0" w:line="260"/>
            </w:pPr>
            <w:r>
              <w:rPr>
                <w:b w:val="false"/>
                <w:bCs w:val="false"/>
                <w:color w:val="222222"/>
                <w:sz w:val="19"/>
                <w:szCs w:val="19"/>
              </w:rPr>
              <w:t xml:space="preserve">—</w:t>
            </w:r>
          </w:p>
        </w:tc>
      </w:tr>
    </w:tbl>
    <w:p>
      <w:pPr>
        <w:spacing w:after="200"/>
      </w:pPr>
    </w:p>
    <w:tbl>
      <w:tblPr>
        <w:tblW w:type="dxa" w:w="9638"/>
        <w:tblBorders>
          <w:top w:val="single" w:color="E3DCC8" w:sz="2"/>
          <w:left w:val="single" w:color="E3DCC8" w:sz="2"/>
          <w:bottom w:val="single" w:color="E3DCC8" w:sz="2"/>
          <w:right w:val="single" w:color="E3DCC8" w:sz="2"/>
          <w:insideH w:val="none"/>
          <w:insideV w:val="none"/>
        </w:tblBorders>
      </w:tblPr>
      <w:tblGrid>
        <w:gridCol w:w="9638"/>
      </w:tblGrid>
      <w:tr>
        <w:tc>
          <w:tcPr>
            <w:tcW w:type="dxa" w:w="9638"/>
            <w:shd w:fill="FCFAF4" w:val="clear"/>
            <w:tcMar>
              <w:top w:type="dxa" w:w="150"/>
              <w:left w:type="dxa" w:w="170"/>
              <w:bottom w:type="dxa" w:w="150"/>
              <w:right w:type="dxa" w:w="170"/>
            </w:tcMar>
          </w:tcPr>
          <w:p>
            <w:pPr>
              <w:spacing w:after="80"/>
            </w:pPr>
            <w:r>
              <w:rPr>
                <w:b/>
                <w:bCs/>
                <w:color w:val="8A6D3B"/>
                <w:sz w:val="19"/>
                <w:szCs w:val="19"/>
              </w:rPr>
              <w:t xml:space="preserve">Two ordering constraints that are not negotiable</w:t>
            </w:r>
          </w:p>
          <w:p>
            <w:pPr>
              <w:spacing w:after="60" w:line="280"/>
            </w:pPr>
            <w:r>
              <w:rPr>
                <w:color w:val="5C5240"/>
                <w:sz w:val="19"/>
                <w:szCs w:val="19"/>
              </w:rPr>
              <w:t xml:space="preserve">Model Gateway v2 ships before the knowledge subsystem. A knowledge index pins an embedding model and cannot pin a free-text string.</w:t>
            </w:r>
          </w:p>
          <w:p>
            <w:pPr>
              <w:spacing w:after="60" w:line="280"/>
            </w:pPr>
            <w:r>
              <w:rPr>
                <w:color w:val="5C5240"/>
                <w:sz w:val="19"/>
                <w:szCs w:val="19"/>
              </w:rPr>
              <w:t xml:space="preserve">The permission intersection evaluator and the trace tree ship before the first delegation runs in production. Retrofitting a permission model onto a live multi-agent system means auditing every existing team for escalation paths, and retrofitting attribution means the traces most needed for the first incident do not exist.</w:t>
            </w:r>
          </w:p>
        </w:tc>
      </w:tr>
    </w:tbl>
    <w:p>
      <w:pPr>
        <w:spacing w:after="220"/>
      </w:pPr>
    </w:p>
    <w:p>
      <w:r>
        <w:br w:type="page"/>
      </w:r>
    </w:p>
    <w:p>
      <w:pPr>
        <w:pStyle w:val="Heading1"/>
        <w:spacing w:after="200" w:before="360"/>
      </w:pPr>
      <w:r>
        <w:rPr>
          <w:b/>
          <w:bCs/>
          <w:color w:val="222222"/>
          <w:sz w:val="30"/>
          <w:szCs w:val="30"/>
        </w:rPr>
        <w:t xml:space="preserve">14. Risks and open decisions</w:t>
      </w:r>
    </w:p>
    <w:p>
      <w:pPr>
        <w:pStyle w:val="Heading2"/>
        <w:spacing w:after="150" w:before="300"/>
      </w:pPr>
      <w:r>
        <w:rPr>
          <w:b/>
          <w:bCs/>
          <w:color w:val="222222"/>
          <w:sz w:val="25"/>
          <w:szCs w:val="25"/>
        </w:rPr>
        <w:t xml:space="preserve">14.1 Risks</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400"/>
        <w:gridCol w:w="3400"/>
        <w:gridCol w:w="3838"/>
      </w:tblGrid>
      <w:tr>
        <w:trPr>
          <w:tblHeader/>
        </w:trPr>
        <w:tc>
          <w:tcPr>
            <w:tcW w:type="dxa" w:w="2400"/>
            <w:shd w:fill="F3F3F1" w:val="clear"/>
            <w:tcMar>
              <w:top w:type="dxa" w:w="90"/>
              <w:left w:type="dxa" w:w="120"/>
              <w:bottom w:type="dxa" w:w="90"/>
              <w:right w:type="dxa" w:w="120"/>
            </w:tcMar>
          </w:tcPr>
          <w:p>
            <w:pPr>
              <w:spacing w:after="0" w:line="260"/>
            </w:pPr>
            <w:r>
              <w:rPr>
                <w:b/>
                <w:bCs/>
                <w:color w:val="6E6E6E"/>
                <w:sz w:val="17"/>
                <w:szCs w:val="17"/>
              </w:rPr>
              <w:t xml:space="preserve">Risk</w:t>
            </w:r>
          </w:p>
        </w:tc>
        <w:tc>
          <w:tcPr>
            <w:tcW w:type="dxa" w:w="3400"/>
            <w:shd w:fill="F3F3F1" w:val="clear"/>
            <w:tcMar>
              <w:top w:type="dxa" w:w="90"/>
              <w:left w:type="dxa" w:w="120"/>
              <w:bottom w:type="dxa" w:w="90"/>
              <w:right w:type="dxa" w:w="120"/>
            </w:tcMar>
          </w:tcPr>
          <w:p>
            <w:pPr>
              <w:spacing w:after="0" w:line="260"/>
            </w:pPr>
            <w:r>
              <w:rPr>
                <w:b/>
                <w:bCs/>
                <w:color w:val="6E6E6E"/>
                <w:sz w:val="17"/>
                <w:szCs w:val="17"/>
              </w:rPr>
              <w:t xml:space="preserve">Impact</w:t>
            </w:r>
          </w:p>
        </w:tc>
        <w:tc>
          <w:tcPr>
            <w:tcW w:type="dxa" w:w="3838"/>
            <w:shd w:fill="F3F3F1" w:val="clear"/>
            <w:tcMar>
              <w:top w:type="dxa" w:w="90"/>
              <w:left w:type="dxa" w:w="120"/>
              <w:bottom w:type="dxa" w:w="90"/>
              <w:right w:type="dxa" w:w="120"/>
            </w:tcMar>
          </w:tcPr>
          <w:p>
            <w:pPr>
              <w:spacing w:after="0" w:line="260"/>
            </w:pPr>
            <w:r>
              <w:rPr>
                <w:b/>
                <w:bCs/>
                <w:color w:val="6E6E6E"/>
                <w:sz w:val="17"/>
                <w:szCs w:val="17"/>
              </w:rPr>
              <w:t xml:space="preserve">Mitigation</w:t>
            </w:r>
          </w:p>
        </w:tc>
      </w:tr>
      <w:tr>
        <w:tc>
          <w:tcPr>
            <w:tcW w:type="dxa" w:w="2400"/>
            <w:tcMar>
              <w:top w:type="dxa" w:w="90"/>
              <w:left w:type="dxa" w:w="120"/>
              <w:bottom w:type="dxa" w:w="90"/>
              <w:right w:type="dxa" w:w="120"/>
            </w:tcMar>
          </w:tcPr>
          <w:p>
            <w:pPr>
              <w:spacing w:after="0" w:line="260"/>
            </w:pPr>
            <w:r>
              <w:rPr>
                <w:b/>
                <w:bCs/>
                <w:color w:val="222222"/>
                <w:sz w:val="19"/>
                <w:szCs w:val="19"/>
              </w:rPr>
              <w:t xml:space="preserve">Shared mutable artifacts break version immutability</w:t>
            </w:r>
          </w:p>
        </w:tc>
        <w:tc>
          <w:tcPr>
            <w:tcW w:type="dxa" w:w="3400"/>
            <w:tcMar>
              <w:top w:type="dxa" w:w="90"/>
              <w:left w:type="dxa" w:w="120"/>
              <w:bottom w:type="dxa" w:w="90"/>
              <w:right w:type="dxa" w:w="120"/>
            </w:tcMar>
          </w:tcPr>
          <w:p>
            <w:pPr>
              <w:spacing w:after="0" w:line="260"/>
            </w:pPr>
            <w:r>
              <w:rPr>
                <w:b w:val="false"/>
                <w:bCs w:val="false"/>
                <w:color w:val="222222"/>
                <w:sz w:val="19"/>
                <w:szCs w:val="19"/>
              </w:rPr>
              <w:t xml:space="preserve">A promoted agent silently changes behaviour after review, destroying the platform's strongest guarantee</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Version-pin every reference at compose time; provide an explicit upgrade-consumers action that generates new drafts</w:t>
            </w:r>
          </w:p>
        </w:tc>
      </w:tr>
      <w:tr>
        <w:tc>
          <w:tcPr>
            <w:tcW w:type="dxa" w:w="2400"/>
            <w:tcMar>
              <w:top w:type="dxa" w:w="90"/>
              <w:left w:type="dxa" w:w="120"/>
              <w:bottom w:type="dxa" w:w="90"/>
              <w:right w:type="dxa" w:w="120"/>
            </w:tcMar>
          </w:tcPr>
          <w:p>
            <w:pPr>
              <w:spacing w:after="0" w:line="260"/>
            </w:pPr>
            <w:r>
              <w:rPr>
                <w:b/>
                <w:bCs/>
                <w:color w:val="222222"/>
                <w:sz w:val="19"/>
                <w:szCs w:val="19"/>
              </w:rPr>
              <w:t xml:space="preserve">Orchestration becomes a path around tool tiering</w:t>
            </w:r>
          </w:p>
        </w:tc>
        <w:tc>
          <w:tcPr>
            <w:tcW w:type="dxa" w:w="3400"/>
            <w:tcMar>
              <w:top w:type="dxa" w:w="90"/>
              <w:left w:type="dxa" w:w="120"/>
              <w:bottom w:type="dxa" w:w="90"/>
              <w:right w:type="dxa" w:w="120"/>
            </w:tcMar>
          </w:tcPr>
          <w:p>
            <w:pPr>
              <w:spacing w:after="0" w:line="260"/>
            </w:pPr>
            <w:r>
              <w:rPr>
                <w:b w:val="false"/>
                <w:bCs w:val="false"/>
                <w:color w:val="222222"/>
                <w:sz w:val="19"/>
                <w:szCs w:val="19"/>
              </w:rPr>
              <w:t xml:space="preserve">Tier-3 calls execute without human approval from inside a workflow node or a delegated agent</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Enforce tiering in the tool executor, below the orchestration layer, and test it as a promotion gate case</w:t>
            </w:r>
          </w:p>
        </w:tc>
      </w:tr>
      <w:tr>
        <w:tc>
          <w:tcPr>
            <w:tcW w:type="dxa" w:w="2400"/>
            <w:tcMar>
              <w:top w:type="dxa" w:w="90"/>
              <w:left w:type="dxa" w:w="120"/>
              <w:bottom w:type="dxa" w:w="90"/>
              <w:right w:type="dxa" w:w="120"/>
            </w:tcMar>
          </w:tcPr>
          <w:p>
            <w:pPr>
              <w:spacing w:after="0" w:line="260"/>
            </w:pPr>
            <w:r>
              <w:rPr>
                <w:b/>
                <w:bCs/>
                <w:color w:val="222222"/>
                <w:sz w:val="19"/>
                <w:szCs w:val="19"/>
              </w:rPr>
              <w:t xml:space="preserve">Graph extraction quality is poor and invisible</w:t>
            </w:r>
          </w:p>
        </w:tc>
        <w:tc>
          <w:tcPr>
            <w:tcW w:type="dxa" w:w="3400"/>
            <w:tcMar>
              <w:top w:type="dxa" w:w="90"/>
              <w:left w:type="dxa" w:w="120"/>
              <w:bottom w:type="dxa" w:w="90"/>
              <w:right w:type="dxa" w:w="120"/>
            </w:tcMar>
          </w:tcPr>
          <w:p>
            <w:pPr>
              <w:spacing w:after="0" w:line="260"/>
            </w:pPr>
            <w:r>
              <w:rPr>
                <w:b w:val="false"/>
                <w:bCs w:val="false"/>
                <w:color w:val="222222"/>
                <w:sz w:val="19"/>
                <w:szCs w:val="19"/>
              </w:rPr>
              <w:t xml:space="preserve">Retrieval degrades in ways nobody can diagnose, and trust in the knowledge layer collapses early</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Ship the graph explorer with provenance in the first release, plus retrieval evals measuring groundedness and citation precision</w:t>
            </w:r>
          </w:p>
        </w:tc>
      </w:tr>
      <w:tr>
        <w:tc>
          <w:tcPr>
            <w:tcW w:type="dxa" w:w="2400"/>
            <w:tcMar>
              <w:top w:type="dxa" w:w="90"/>
              <w:left w:type="dxa" w:w="120"/>
              <w:bottom w:type="dxa" w:w="90"/>
              <w:right w:type="dxa" w:w="120"/>
            </w:tcMar>
          </w:tcPr>
          <w:p>
            <w:pPr>
              <w:spacing w:after="0" w:line="260"/>
            </w:pPr>
            <w:r>
              <w:rPr>
                <w:b/>
                <w:bCs/>
                <w:color w:val="222222"/>
                <w:sz w:val="19"/>
                <w:szCs w:val="19"/>
              </w:rPr>
              <w:t xml:space="preserve">Multi-agent cost runs away</w:t>
            </w:r>
          </w:p>
        </w:tc>
        <w:tc>
          <w:tcPr>
            <w:tcW w:type="dxa" w:w="3400"/>
            <w:tcMar>
              <w:top w:type="dxa" w:w="90"/>
              <w:left w:type="dxa" w:w="120"/>
              <w:bottom w:type="dxa" w:w="90"/>
              <w:right w:type="dxa" w:w="120"/>
            </w:tcMar>
          </w:tcPr>
          <w:p>
            <w:pPr>
              <w:spacing w:after="0" w:line="260"/>
            </w:pPr>
            <w:r>
              <w:rPr>
                <w:b w:val="false"/>
                <w:bCs w:val="false"/>
                <w:color w:val="222222"/>
                <w:sz w:val="19"/>
                <w:szCs w:val="19"/>
              </w:rPr>
              <w:t xml:space="preserve">A supervisor plus three specialists plus retrieval can cost an order of magnitude more per conversation than a single agent</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Per-role routes with a cheap router model, run-level budgets enforced by the executor, and cost-per-resolved-conversation on the dashboard from day one</w:t>
            </w:r>
          </w:p>
        </w:tc>
      </w:tr>
      <w:tr>
        <w:tc>
          <w:tcPr>
            <w:tcW w:type="dxa" w:w="2400"/>
            <w:tcMar>
              <w:top w:type="dxa" w:w="90"/>
              <w:left w:type="dxa" w:w="120"/>
              <w:bottom w:type="dxa" w:w="90"/>
              <w:right w:type="dxa" w:w="120"/>
            </w:tcMar>
          </w:tcPr>
          <w:p>
            <w:pPr>
              <w:spacing w:after="0" w:line="260"/>
            </w:pPr>
            <w:r>
              <w:rPr>
                <w:b/>
                <w:bCs/>
                <w:color w:val="222222"/>
                <w:sz w:val="19"/>
                <w:szCs w:val="19"/>
              </w:rPr>
              <w:t xml:space="preserve">The Studio outpaces the schema</w:t>
            </w:r>
          </w:p>
        </w:tc>
        <w:tc>
          <w:tcPr>
            <w:tcW w:type="dxa" w:w="3400"/>
            <w:tcMar>
              <w:top w:type="dxa" w:w="90"/>
              <w:left w:type="dxa" w:w="120"/>
              <w:bottom w:type="dxa" w:w="90"/>
              <w:right w:type="dxa" w:w="120"/>
            </w:tcMar>
          </w:tcPr>
          <w:p>
            <w:pPr>
              <w:spacing w:after="0" w:line="260"/>
            </w:pPr>
            <w:r>
              <w:rPr>
                <w:b w:val="false"/>
                <w:bCs w:val="false"/>
                <w:color w:val="222222"/>
                <w:sz w:val="19"/>
                <w:szCs w:val="19"/>
              </w:rPr>
              <w:t xml:space="preserve">Authoring surfaces diverge and the YAML stops being the single source of truth</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One validator, and a test that asserts every Studio output round-trips through Text mode unchanged</w:t>
            </w:r>
          </w:p>
        </w:tc>
      </w:tr>
      <w:tr>
        <w:tc>
          <w:tcPr>
            <w:tcW w:type="dxa" w:w="2400"/>
            <w:tcMar>
              <w:top w:type="dxa" w:w="90"/>
              <w:left w:type="dxa" w:w="120"/>
              <w:bottom w:type="dxa" w:w="90"/>
              <w:right w:type="dxa" w:w="120"/>
            </w:tcMar>
          </w:tcPr>
          <w:p>
            <w:pPr>
              <w:spacing w:after="0" w:line="260"/>
            </w:pPr>
            <w:r>
              <w:rPr>
                <w:b/>
                <w:bCs/>
                <w:color w:val="222222"/>
                <w:sz w:val="19"/>
                <w:szCs w:val="19"/>
              </w:rPr>
              <w:t xml:space="preserve">Provider catalogue drift</w:t>
            </w:r>
          </w:p>
        </w:tc>
        <w:tc>
          <w:tcPr>
            <w:tcW w:type="dxa" w:w="3400"/>
            <w:tcMar>
              <w:top w:type="dxa" w:w="90"/>
              <w:left w:type="dxa" w:w="120"/>
              <w:bottom w:type="dxa" w:w="90"/>
              <w:right w:type="dxa" w:w="120"/>
            </w:tcMar>
          </w:tcPr>
          <w:p>
            <w:pPr>
              <w:spacing w:after="0" w:line="260"/>
            </w:pPr>
            <w:r>
              <w:rPr>
                <w:b w:val="false"/>
                <w:bCs w:val="false"/>
                <w:color w:val="222222"/>
                <w:sz w:val="19"/>
                <w:szCs w:val="19"/>
              </w:rPr>
              <w:t xml:space="preserve">Models are retired by providers and routes fail in production</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Scheduled catalogue sync, deprecation warnings on every referencing route and agent version, and a declared fallback chain</w:t>
            </w:r>
          </w:p>
        </w:tc>
      </w:tr>
      <w:tr>
        <w:tc>
          <w:tcPr>
            <w:tcW w:type="dxa" w:w="2400"/>
            <w:tcMar>
              <w:top w:type="dxa" w:w="90"/>
              <w:left w:type="dxa" w:w="120"/>
              <w:bottom w:type="dxa" w:w="90"/>
              <w:right w:type="dxa" w:w="120"/>
            </w:tcMar>
          </w:tcPr>
          <w:p>
            <w:pPr>
              <w:spacing w:after="0" w:line="260"/>
            </w:pPr>
            <w:r>
              <w:rPr>
                <w:b/>
                <w:bCs/>
                <w:color w:val="222222"/>
                <w:sz w:val="19"/>
                <w:szCs w:val="19"/>
              </w:rPr>
              <w:t xml:space="preserve">Scope creep across six modules</w:t>
            </w:r>
          </w:p>
        </w:tc>
        <w:tc>
          <w:tcPr>
            <w:tcW w:type="dxa" w:w="3400"/>
            <w:tcMar>
              <w:top w:type="dxa" w:w="90"/>
              <w:left w:type="dxa" w:w="120"/>
              <w:bottom w:type="dxa" w:w="90"/>
              <w:right w:type="dxa" w:w="120"/>
            </w:tcMar>
          </w:tcPr>
          <w:p>
            <w:pPr>
              <w:spacing w:after="0" w:line="260"/>
            </w:pPr>
            <w:r>
              <w:rPr>
                <w:b w:val="false"/>
                <w:bCs w:val="false"/>
                <w:color w:val="222222"/>
                <w:sz w:val="19"/>
                <w:szCs w:val="19"/>
              </w:rPr>
              <w:t xml:space="preserve">Nothing reaches production quality</w:t>
            </w:r>
          </w:p>
        </w:tc>
        <w:tc>
          <w:tcPr>
            <w:tcW w:type="dxa" w:w="3838"/>
            <w:tcMar>
              <w:top w:type="dxa" w:w="90"/>
              <w:left w:type="dxa" w:w="120"/>
              <w:bottom w:type="dxa" w:w="90"/>
              <w:right w:type="dxa" w:w="120"/>
            </w:tcMar>
          </w:tcPr>
          <w:p>
            <w:pPr>
              <w:spacing w:after="0" w:line="260"/>
            </w:pPr>
            <w:r>
              <w:rPr>
                <w:b w:val="false"/>
                <w:bCs w:val="false"/>
                <w:color w:val="222222"/>
                <w:sz w:val="19"/>
                <w:szCs w:val="19"/>
              </w:rPr>
              <w:t xml:space="preserve">Phase 0 is five small items that stand alone; each later phase has a single load-bearing dependency and can ship independently</w:t>
            </w:r>
          </w:p>
        </w:tc>
      </w:tr>
    </w:tbl>
    <w:p>
      <w:pPr>
        <w:spacing w:after="200"/>
      </w:pPr>
    </w:p>
    <w:p>
      <w:pPr>
        <w:pStyle w:val="Heading2"/>
        <w:spacing w:after="150" w:before="300"/>
      </w:pPr>
      <w:r>
        <w:rPr>
          <w:b/>
          <w:bCs/>
          <w:color w:val="222222"/>
          <w:sz w:val="25"/>
          <w:szCs w:val="25"/>
        </w:rPr>
        <w:t xml:space="preserve">14.2 Decisions required before build</w:t>
      </w:r>
    </w:p>
    <w:p>
      <w:pPr>
        <w:pStyle w:val="ListParagraph"/>
        <w:numPr>
          <w:ilvl w:val="0"/>
          <w:numId w:val="5"/>
        </w:numPr>
        <w:spacing w:after="90" w:line="290" w:lineRule="auto"/>
      </w:pPr>
      <w:r>
        <w:rPr>
          <w:color w:val="222222"/>
          <w:sz w:val="21"/>
          <w:szCs w:val="21"/>
        </w:rPr>
        <w:t xml:space="preserve">Graph store: a dedicated graph database, or graph tables plus a vector index in the existing store. The second is simpler operationally and sufficient at the scale implied by the current tenant model; the first is easier if multi-hop traversal depth grows.</w:t>
      </w:r>
    </w:p>
    <w:p>
      <w:pPr>
        <w:pStyle w:val="ListParagraph"/>
        <w:numPr>
          <w:ilvl w:val="0"/>
          <w:numId w:val="5"/>
        </w:numPr>
        <w:spacing w:after="90" w:line="290" w:lineRule="auto"/>
      </w:pPr>
      <w:r>
        <w:rPr>
          <w:color w:val="222222"/>
          <w:sz w:val="21"/>
          <w:szCs w:val="21"/>
        </w:rPr>
        <w:t xml:space="preserve">Whether teams and workflows are two artifacts or one. This document proposes two, because their governance differs, but a single artifact with a mode flag is defensible and reduces surface area.</w:t>
      </w:r>
    </w:p>
    <w:p>
      <w:pPr>
        <w:pStyle w:val="ListParagraph"/>
        <w:numPr>
          <w:ilvl w:val="0"/>
          <w:numId w:val="5"/>
        </w:numPr>
        <w:spacing w:after="90" w:line="290" w:lineRule="auto"/>
      </w:pPr>
      <w:r>
        <w:rPr>
          <w:color w:val="222222"/>
          <w:sz w:val="21"/>
          <w:szCs w:val="21"/>
        </w:rPr>
        <w:t xml:space="preserve">Whether skills are tenant-scoped only, or whether a platform-level blueprint library is shared across tenants. Sharing creates a cross-tenant supply-chain question that the current isolation model does not have.</w:t>
      </w:r>
    </w:p>
    <w:p>
      <w:pPr>
        <w:pStyle w:val="ListParagraph"/>
        <w:numPr>
          <w:ilvl w:val="0"/>
          <w:numId w:val="5"/>
        </w:numPr>
        <w:spacing w:after="90" w:line="290" w:lineRule="auto"/>
      </w:pPr>
      <w:r>
        <w:rPr>
          <w:color w:val="222222"/>
          <w:sz w:val="21"/>
          <w:szCs w:val="21"/>
        </w:rPr>
        <w:t xml:space="preserve">Whether the knowledge subsystem indexes conversation history as a source. It is valuable and it interacts directly with retention, DSR deletion and the masking matrix.</w:t>
      </w:r>
    </w:p>
    <w:p>
      <w:pPr>
        <w:pStyle w:val="ListParagraph"/>
        <w:numPr>
          <w:ilvl w:val="0"/>
          <w:numId w:val="5"/>
        </w:numPr>
        <w:spacing w:after="90" w:line="290" w:lineRule="auto"/>
      </w:pPr>
      <w:r>
        <w:rPr>
          <w:color w:val="222222"/>
          <w:sz w:val="21"/>
          <w:szCs w:val="21"/>
        </w:rPr>
        <w:t xml:space="preserve">How far the Platform Manager console governs provider types per plan tier, given that bring-your-own endpoints are a stated capability today.</w:t>
      </w:r>
    </w:p>
    <w:p>
      <w:pPr>
        <w:pStyle w:val="ListParagraph"/>
        <w:numPr>
          <w:ilvl w:val="0"/>
          <w:numId w:val="5"/>
        </w:numPr>
        <w:spacing w:after="90" w:line="290" w:lineRule="auto"/>
      </w:pPr>
      <w:r>
        <w:rPr>
          <w:color w:val="222222"/>
          <w:sz w:val="21"/>
          <w:szCs w:val="21"/>
        </w:rPr>
        <w:t xml:space="preserve">Whether routing decisions in a team are recorded as a customer-visible event. They are useful in the takeover panel and they expose internal structure.</w:t>
      </w:r>
    </w:p>
    <w:p>
      <w:r>
        <w:br w:type="page"/>
      </w:r>
    </w:p>
    <w:p>
      <w:pPr>
        <w:pStyle w:val="Heading1"/>
        <w:spacing w:after="200" w:before="360"/>
      </w:pPr>
      <w:r>
        <w:rPr>
          <w:b/>
          <w:bCs/>
          <w:color w:val="222222"/>
          <w:sz w:val="30"/>
          <w:szCs w:val="30"/>
        </w:rPr>
        <w:t xml:space="preserve">Appendix A — Wireframe index</w:t>
      </w:r>
    </w:p>
    <w:p>
      <w:pPr>
        <w:spacing w:after="140" w:line="300" w:lineRule="auto"/>
      </w:pPr>
      <w:r>
        <w:rPr>
          <w:color w:val="222222"/>
          <w:sz w:val="21"/>
          <w:szCs w:val="21"/>
        </w:rPr>
        <w:t xml:space="preserve">All wireframes are indicative layouts intended to fix information architecture and the placement of controls, not visual design. They deliberately reuse the existing console chrome, sidebar grouping and read-only affordances described in the Screen Reference.</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900"/>
        <w:gridCol w:w="5200"/>
        <w:gridCol w:w="1000"/>
        <w:gridCol w:w="2538"/>
      </w:tblGrid>
      <w:tr>
        <w:trPr>
          <w:tblHeader/>
        </w:trPr>
        <w:tc>
          <w:tcPr>
            <w:tcW w:type="dxa" w:w="900"/>
            <w:shd w:fill="F3F3F1" w:val="clear"/>
            <w:tcMar>
              <w:top w:type="dxa" w:w="90"/>
              <w:left w:type="dxa" w:w="120"/>
              <w:bottom w:type="dxa" w:w="90"/>
              <w:right w:type="dxa" w:w="120"/>
            </w:tcMar>
          </w:tcPr>
          <w:p>
            <w:pPr>
              <w:spacing w:after="0" w:line="260"/>
            </w:pPr>
            <w:r>
              <w:rPr>
                <w:b/>
                <w:bCs/>
                <w:color w:val="6E6E6E"/>
                <w:sz w:val="17"/>
                <w:szCs w:val="17"/>
              </w:rPr>
              <w:t xml:space="preserve">Figure</w:t>
            </w:r>
          </w:p>
        </w:tc>
        <w:tc>
          <w:tcPr>
            <w:tcW w:type="dxa" w:w="5200"/>
            <w:shd w:fill="F3F3F1" w:val="clear"/>
            <w:tcMar>
              <w:top w:type="dxa" w:w="90"/>
              <w:left w:type="dxa" w:w="120"/>
              <w:bottom w:type="dxa" w:w="90"/>
              <w:right w:type="dxa" w:w="120"/>
            </w:tcMar>
          </w:tcPr>
          <w:p>
            <w:pPr>
              <w:spacing w:after="0" w:line="260"/>
            </w:pPr>
            <w:r>
              <w:rPr>
                <w:b/>
                <w:bCs/>
                <w:color w:val="6E6E6E"/>
                <w:sz w:val="17"/>
                <w:szCs w:val="17"/>
              </w:rPr>
              <w:t xml:space="preserve">Screen</w:t>
            </w:r>
          </w:p>
        </w:tc>
        <w:tc>
          <w:tcPr>
            <w:tcW w:type="dxa" w:w="1000"/>
            <w:shd w:fill="F3F3F1" w:val="clear"/>
            <w:tcMar>
              <w:top w:type="dxa" w:w="90"/>
              <w:left w:type="dxa" w:w="120"/>
              <w:bottom w:type="dxa" w:w="90"/>
              <w:right w:type="dxa" w:w="120"/>
            </w:tcMar>
          </w:tcPr>
          <w:p>
            <w:pPr>
              <w:spacing w:after="0" w:line="260"/>
            </w:pPr>
            <w:r>
              <w:rPr>
                <w:b/>
                <w:bCs/>
                <w:color w:val="6E6E6E"/>
                <w:sz w:val="17"/>
                <w:szCs w:val="17"/>
              </w:rPr>
              <w:t xml:space="preserve">Section</w:t>
            </w:r>
          </w:p>
        </w:tc>
        <w:tc>
          <w:tcPr>
            <w:tcW w:type="dxa" w:w="2538"/>
            <w:shd w:fill="F3F3F1" w:val="clear"/>
            <w:tcMar>
              <w:top w:type="dxa" w:w="90"/>
              <w:left w:type="dxa" w:w="120"/>
              <w:bottom w:type="dxa" w:w="90"/>
              <w:right w:type="dxa" w:w="120"/>
            </w:tcMar>
          </w:tcPr>
          <w:p>
            <w:pPr>
              <w:spacing w:after="0" w:line="260"/>
            </w:pPr>
            <w:r>
              <w:rPr>
                <w:b/>
                <w:bCs/>
                <w:color w:val="6E6E6E"/>
                <w:sz w:val="17"/>
                <w:szCs w:val="17"/>
              </w:rPr>
              <w:t xml:space="preserve">File</w:t>
            </w:r>
          </w:p>
        </w:tc>
      </w:tr>
      <w:tr>
        <w:tc>
          <w:tcPr>
            <w:tcW w:type="dxa" w:w="900"/>
            <w:tcMar>
              <w:top w:type="dxa" w:w="90"/>
              <w:left w:type="dxa" w:w="120"/>
              <w:bottom w:type="dxa" w:w="90"/>
              <w:right w:type="dxa" w:w="120"/>
            </w:tcMar>
          </w:tcPr>
          <w:p>
            <w:pPr>
              <w:spacing w:after="0" w:line="260"/>
            </w:pPr>
            <w:r>
              <w:rPr>
                <w:b/>
                <w:bCs/>
                <w:color w:val="222222"/>
                <w:sz w:val="19"/>
                <w:szCs w:val="19"/>
              </w:rPr>
              <w:t xml:space="preserve">1</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MCP registry list</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wf01-mcp-registry.png</w:t>
            </w:r>
          </w:p>
        </w:tc>
      </w:tr>
      <w:tr>
        <w:tc>
          <w:tcPr>
            <w:tcW w:type="dxa" w:w="900"/>
            <w:tcMar>
              <w:top w:type="dxa" w:w="90"/>
              <w:left w:type="dxa" w:w="120"/>
              <w:bottom w:type="dxa" w:w="90"/>
              <w:right w:type="dxa" w:w="120"/>
            </w:tcMar>
          </w:tcPr>
          <w:p>
            <w:pPr>
              <w:spacing w:after="0" w:line="260"/>
            </w:pPr>
            <w:r>
              <w:rPr>
                <w:b/>
                <w:bCs/>
                <w:color w:val="222222"/>
                <w:sz w:val="19"/>
                <w:szCs w:val="19"/>
              </w:rPr>
              <w:t xml:space="preserve">2</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Enrolment wizard, discovery and classification step</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wf02-mcp-enrolment.png</w:t>
            </w:r>
          </w:p>
        </w:tc>
      </w:tr>
      <w:tr>
        <w:tc>
          <w:tcPr>
            <w:tcW w:type="dxa" w:w="900"/>
            <w:tcMar>
              <w:top w:type="dxa" w:w="90"/>
              <w:left w:type="dxa" w:w="120"/>
              <w:bottom w:type="dxa" w:w="90"/>
              <w:right w:type="dxa" w:w="120"/>
            </w:tcMar>
          </w:tcPr>
          <w:p>
            <w:pPr>
              <w:spacing w:after="0" w:line="260"/>
            </w:pPr>
            <w:r>
              <w:rPr>
                <w:b/>
                <w:bCs/>
                <w:color w:val="222222"/>
                <w:sz w:val="19"/>
                <w:szCs w:val="19"/>
              </w:rPr>
              <w:t xml:space="preserve">3</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Knowledge collections with the ingestion pipeline for one collection</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wf03-knowledge-collections.png</w:t>
            </w:r>
          </w:p>
        </w:tc>
      </w:tr>
      <w:tr>
        <w:tc>
          <w:tcPr>
            <w:tcW w:type="dxa" w:w="900"/>
            <w:tcMar>
              <w:top w:type="dxa" w:w="90"/>
              <w:left w:type="dxa" w:w="120"/>
              <w:bottom w:type="dxa" w:w="90"/>
              <w:right w:type="dxa" w:w="120"/>
            </w:tcMar>
          </w:tcPr>
          <w:p>
            <w:pPr>
              <w:spacing w:after="0" w:line="260"/>
            </w:pPr>
            <w:r>
              <w:rPr>
                <w:b/>
                <w:bCs/>
                <w:color w:val="222222"/>
                <w:sz w:val="19"/>
                <w:szCs w:val="19"/>
              </w:rPr>
              <w:t xml:space="preserve">4</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Graph explorer with an entity inspector</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wf04-graph-explorer.png</w:t>
            </w:r>
          </w:p>
        </w:tc>
      </w:tr>
      <w:tr>
        <w:tc>
          <w:tcPr>
            <w:tcW w:type="dxa" w:w="900"/>
            <w:tcMar>
              <w:top w:type="dxa" w:w="90"/>
              <w:left w:type="dxa" w:w="120"/>
              <w:bottom w:type="dxa" w:w="90"/>
              <w:right w:type="dxa" w:w="120"/>
            </w:tcMar>
          </w:tcPr>
          <w:p>
            <w:pPr>
              <w:spacing w:after="0" w:line="260"/>
            </w:pPr>
            <w:r>
              <w:rPr>
                <w:b/>
                <w:bCs/>
                <w:color w:val="222222"/>
                <w:sz w:val="19"/>
                <w:szCs w:val="19"/>
              </w:rPr>
              <w:t xml:space="preserve">5</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Retrieval playground comparing three strategies on one query, with groundedness, latency and cost per strategy</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wf05-retrieval-playground.png</w:t>
            </w:r>
          </w:p>
        </w:tc>
      </w:tr>
      <w:tr>
        <w:tc>
          <w:tcPr>
            <w:tcW w:type="dxa" w:w="900"/>
            <w:tcMar>
              <w:top w:type="dxa" w:w="90"/>
              <w:left w:type="dxa" w:w="120"/>
              <w:bottom w:type="dxa" w:w="90"/>
              <w:right w:type="dxa" w:w="120"/>
            </w:tcMar>
          </w:tcPr>
          <w:p>
            <w:pPr>
              <w:spacing w:after="0" w:line="260"/>
            </w:pPr>
            <w:r>
              <w:rPr>
                <w:b/>
                <w:bCs/>
                <w:color w:val="222222"/>
                <w:sz w:val="19"/>
                <w:szCs w:val="19"/>
              </w:rPr>
              <w:t xml:space="preserve">6</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Skills library with a where-used panel</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wf09-skills-library.png</w:t>
            </w:r>
          </w:p>
        </w:tc>
      </w:tr>
      <w:tr>
        <w:tc>
          <w:tcPr>
            <w:tcW w:type="dxa" w:w="900"/>
            <w:tcMar>
              <w:top w:type="dxa" w:w="90"/>
              <w:left w:type="dxa" w:w="120"/>
              <w:bottom w:type="dxa" w:w="90"/>
              <w:right w:type="dxa" w:w="120"/>
            </w:tcMar>
          </w:tcPr>
          <w:p>
            <w:pPr>
              <w:spacing w:after="0" w:line="260"/>
            </w:pPr>
            <w:r>
              <w:rPr>
                <w:b/>
                <w:bCs/>
                <w:color w:val="222222"/>
                <w:sz w:val="19"/>
                <w:szCs w:val="19"/>
              </w:rPr>
              <w:t xml:space="preserve">7</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Agent Design Studio, skills step</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wf10-studio-wizard.png</w:t>
            </w:r>
          </w:p>
        </w:tc>
      </w:tr>
      <w:tr>
        <w:tc>
          <w:tcPr>
            <w:tcW w:type="dxa" w:w="900"/>
            <w:tcMar>
              <w:top w:type="dxa" w:w="90"/>
              <w:left w:type="dxa" w:w="120"/>
              <w:bottom w:type="dxa" w:w="90"/>
              <w:right w:type="dxa" w:w="120"/>
            </w:tcMar>
          </w:tcPr>
          <w:p>
            <w:pPr>
              <w:spacing w:after="0" w:line="260"/>
            </w:pPr>
            <w:r>
              <w:rPr>
                <w:b/>
                <w:bCs/>
                <w:color w:val="222222"/>
                <w:sz w:val="19"/>
                <w:szCs w:val="19"/>
              </w:rPr>
              <w:t xml:space="preserve">8</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Workflow canvas</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wf11-workflow-canvas.png</w:t>
            </w:r>
          </w:p>
        </w:tc>
      </w:tr>
      <w:tr>
        <w:tc>
          <w:tcPr>
            <w:tcW w:type="dxa" w:w="900"/>
            <w:tcMar>
              <w:top w:type="dxa" w:w="90"/>
              <w:left w:type="dxa" w:w="120"/>
              <w:bottom w:type="dxa" w:w="90"/>
              <w:right w:type="dxa" w:w="120"/>
            </w:tcMar>
          </w:tcPr>
          <w:p>
            <w:pPr>
              <w:spacing w:after="0" w:line="260"/>
            </w:pPr>
            <w:r>
              <w:rPr>
                <w:b/>
                <w:bCs/>
                <w:color w:val="222222"/>
                <w:sz w:val="19"/>
                <w:szCs w:val="19"/>
              </w:rPr>
              <w:t xml:space="preserve">9</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Team definition with a routing simulator</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wf12-team-routing.png</w:t>
            </w:r>
          </w:p>
        </w:tc>
      </w:tr>
      <w:tr>
        <w:tc>
          <w:tcPr>
            <w:tcW w:type="dxa" w:w="900"/>
            <w:tcMar>
              <w:top w:type="dxa" w:w="90"/>
              <w:left w:type="dxa" w:w="120"/>
              <w:bottom w:type="dxa" w:w="90"/>
              <w:right w:type="dxa" w:w="120"/>
            </w:tcMar>
          </w:tcPr>
          <w:p>
            <w:pPr>
              <w:spacing w:after="0" w:line="260"/>
            </w:pPr>
            <w:r>
              <w:rPr>
                <w:b/>
                <w:bCs/>
                <w:color w:val="222222"/>
                <w:sz w:val="19"/>
                <w:szCs w:val="19"/>
              </w:rPr>
              <w:t xml:space="preserve">10</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Runtime trace as a tree, with per-agent model, token, cost and outcome attribution across a delegated run including an approval pause and resume</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wf13-trace-tree.png</w:t>
            </w:r>
          </w:p>
        </w:tc>
      </w:tr>
      <w:tr>
        <w:tc>
          <w:tcPr>
            <w:tcW w:type="dxa" w:w="900"/>
            <w:tcMar>
              <w:top w:type="dxa" w:w="90"/>
              <w:left w:type="dxa" w:w="120"/>
              <w:bottom w:type="dxa" w:w="90"/>
              <w:right w:type="dxa" w:w="120"/>
            </w:tcMar>
          </w:tcPr>
          <w:p>
            <w:pPr>
              <w:spacing w:after="0" w:line="260"/>
            </w:pPr>
            <w:r>
              <w:rPr>
                <w:b/>
                <w:bCs/>
                <w:color w:val="222222"/>
                <w:sz w:val="19"/>
                <w:szCs w:val="19"/>
              </w:rPr>
              <w:t xml:space="preserve">11</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Approval Queue with the delegation chain, arguments including an idempotency key, and the policy context that caused the stop</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wf14-approval-delegation.png</w:t>
            </w:r>
          </w:p>
        </w:tc>
      </w:tr>
      <w:tr>
        <w:tc>
          <w:tcPr>
            <w:tcW w:type="dxa" w:w="900"/>
            <w:tcMar>
              <w:top w:type="dxa" w:w="90"/>
              <w:left w:type="dxa" w:w="120"/>
              <w:bottom w:type="dxa" w:w="90"/>
              <w:right w:type="dxa" w:w="120"/>
            </w:tcMar>
          </w:tcPr>
          <w:p>
            <w:pPr>
              <w:spacing w:after="0" w:line="260"/>
            </w:pPr>
            <w:r>
              <w:rPr>
                <w:b/>
                <w:bCs/>
                <w:color w:val="222222"/>
                <w:sz w:val="19"/>
                <w:szCs w:val="19"/>
              </w:rPr>
              <w:t xml:space="preserve">12</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Provider registry</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wf06-model-providers.png</w:t>
            </w:r>
          </w:p>
        </w:tc>
      </w:tr>
      <w:tr>
        <w:tc>
          <w:tcPr>
            <w:tcW w:type="dxa" w:w="900"/>
            <w:tcMar>
              <w:top w:type="dxa" w:w="90"/>
              <w:left w:type="dxa" w:w="120"/>
              <w:bottom w:type="dxa" w:w="90"/>
              <w:right w:type="dxa" w:w="120"/>
            </w:tcMar>
          </w:tcPr>
          <w:p>
            <w:pPr>
              <w:spacing w:after="0" w:line="260"/>
            </w:pPr>
            <w:r>
              <w:rPr>
                <w:b/>
                <w:bCs/>
                <w:color w:val="222222"/>
                <w:sz w:val="19"/>
                <w:szCs w:val="19"/>
              </w:rPr>
              <w:t xml:space="preserve">13</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Model catalogue across providers, including self-hosted vLLM and Ollama entries and an embedding and a rerank model</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wf07-model-catalog.png</w:t>
            </w:r>
          </w:p>
        </w:tc>
      </w:tr>
      <w:tr>
        <w:tc>
          <w:tcPr>
            <w:tcW w:type="dxa" w:w="900"/>
            <w:tcMar>
              <w:top w:type="dxa" w:w="90"/>
              <w:left w:type="dxa" w:w="120"/>
              <w:bottom w:type="dxa" w:w="90"/>
              <w:right w:type="dxa" w:w="120"/>
            </w:tcMar>
          </w:tcPr>
          <w:p>
            <w:pPr>
              <w:spacing w:after="0" w:line="260"/>
            </w:pPr>
            <w:r>
              <w:rPr>
                <w:b/>
                <w:bCs/>
                <w:color w:val="222222"/>
                <w:sz w:val="19"/>
                <w:szCs w:val="19"/>
              </w:rPr>
              <w:t xml:space="preserve">14</w:t>
            </w:r>
          </w:p>
        </w:tc>
        <w:tc>
          <w:tcPr>
            <w:tcW w:type="dxa" w:w="5200"/>
            <w:tcMar>
              <w:top w:type="dxa" w:w="90"/>
              <w:left w:type="dxa" w:w="120"/>
              <w:bottom w:type="dxa" w:w="90"/>
              <w:right w:type="dxa" w:w="120"/>
            </w:tcMar>
          </w:tcPr>
          <w:p>
            <w:pPr>
              <w:spacing w:after="0" w:line="260"/>
            </w:pPr>
            <w:r>
              <w:rPr>
                <w:b w:val="false"/>
                <w:bCs w:val="false"/>
                <w:color w:val="222222"/>
                <w:sz w:val="19"/>
                <w:szCs w:val="19"/>
              </w:rPr>
              <w:t xml:space="preserve">Route editor with the fallback chain, policy, the capability intersection the route can guarantee, and live cost</w:t>
            </w:r>
          </w:p>
        </w:tc>
        <w:tc>
          <w:tcPr>
            <w:tcW w:type="dxa" w:w="1000"/>
            <w:tcMar>
              <w:top w:type="dxa" w:w="90"/>
              <w:left w:type="dxa" w:w="120"/>
              <w:bottom w:type="dxa" w:w="90"/>
              <w:right w:type="dxa" w:w="120"/>
            </w:tcMar>
          </w:tcPr>
          <w:p>
            <w:pPr>
              <w:spacing w:after="0" w:line="260"/>
            </w:pPr>
            <w:r>
              <w:rPr>
                <w:b w:val="false"/>
                <w:bCs w:val="false"/>
                <w:color w:val="222222"/>
                <w:sz w:val="19"/>
                <w:szCs w:val="19"/>
              </w:rPr>
              <w:t xml:space="preserve">—</w:t>
            </w:r>
          </w:p>
        </w:tc>
        <w:tc>
          <w:tcPr>
            <w:tcW w:type="dxa" w:w="2538"/>
            <w:tcMar>
              <w:top w:type="dxa" w:w="90"/>
              <w:left w:type="dxa" w:w="120"/>
              <w:bottom w:type="dxa" w:w="90"/>
              <w:right w:type="dxa" w:w="120"/>
            </w:tcMar>
          </w:tcPr>
          <w:p>
            <w:pPr>
              <w:spacing w:after="0" w:line="260"/>
            </w:pPr>
            <w:r>
              <w:rPr>
                <w:b w:val="false"/>
                <w:bCs w:val="false"/>
                <w:color w:val="222222"/>
                <w:sz w:val="19"/>
                <w:szCs w:val="19"/>
              </w:rPr>
              <w:t xml:space="preserve">wf08-route-editor.png</w:t>
            </w:r>
          </w:p>
        </w:tc>
      </w:tr>
    </w:tbl>
    <w:p>
      <w:pPr>
        <w:spacing w:after="200"/>
      </w:pPr>
    </w:p>
    <w:p>
      <w:pPr>
        <w:pStyle w:val="Heading1"/>
        <w:spacing w:after="200" w:before="360"/>
      </w:pPr>
      <w:r>
        <w:rPr>
          <w:b/>
          <w:bCs/>
          <w:color w:val="222222"/>
          <w:sz w:val="30"/>
          <w:szCs w:val="30"/>
        </w:rPr>
        <w:t xml:space="preserve">Appendix B — Glossary</w:t>
      </w:r>
    </w:p>
    <w:tbl>
      <w:tblPr>
        <w:tblW w:type="dxa" w:w="9638"/>
        <w:tblBorders>
          <w:top w:val="single" w:color="CFCFCF" w:sz="2"/>
          <w:left w:val="single" w:color="CFCFCF" w:sz="2"/>
          <w:bottom w:val="single" w:color="CFCFCF" w:sz="2"/>
          <w:right w:val="single" w:color="CFCFCF" w:sz="2"/>
          <w:insideH w:val="single" w:color="CFCFCF" w:sz="2"/>
          <w:insideV w:val="single" w:color="CFCFCF" w:sz="2"/>
        </w:tblBorders>
      </w:tblPr>
      <w:tblGrid>
        <w:gridCol w:w="2000"/>
        <w:gridCol w:w="7638"/>
      </w:tblGrid>
      <w:tr>
        <w:trPr>
          <w:tblHeader/>
        </w:trPr>
        <w:tc>
          <w:tcPr>
            <w:tcW w:type="dxa" w:w="2000"/>
            <w:shd w:fill="F3F3F1" w:val="clear"/>
            <w:tcMar>
              <w:top w:type="dxa" w:w="90"/>
              <w:left w:type="dxa" w:w="120"/>
              <w:bottom w:type="dxa" w:w="90"/>
              <w:right w:type="dxa" w:w="120"/>
            </w:tcMar>
          </w:tcPr>
          <w:p>
            <w:pPr>
              <w:spacing w:after="0" w:line="260"/>
            </w:pPr>
            <w:r>
              <w:rPr>
                <w:b/>
                <w:bCs/>
                <w:color w:val="6E6E6E"/>
                <w:sz w:val="17"/>
                <w:szCs w:val="17"/>
              </w:rPr>
              <w:t xml:space="preserve">Term</w:t>
            </w:r>
          </w:p>
        </w:tc>
        <w:tc>
          <w:tcPr>
            <w:tcW w:type="dxa" w:w="7638"/>
            <w:shd w:fill="F3F3F1" w:val="clear"/>
            <w:tcMar>
              <w:top w:type="dxa" w:w="90"/>
              <w:left w:type="dxa" w:w="120"/>
              <w:bottom w:type="dxa" w:w="90"/>
              <w:right w:type="dxa" w:w="120"/>
            </w:tcMar>
          </w:tcPr>
          <w:p>
            <w:pPr>
              <w:spacing w:after="0" w:line="260"/>
            </w:pPr>
            <w:r>
              <w:rPr>
                <w:b/>
                <w:bCs/>
                <w:color w:val="6E6E6E"/>
                <w:sz w:val="17"/>
                <w:szCs w:val="17"/>
              </w:rPr>
              <w:t xml:space="preserve">Definition</w:t>
            </w:r>
          </w:p>
        </w:tc>
      </w:tr>
      <w:tr>
        <w:tc>
          <w:tcPr>
            <w:tcW w:type="dxa" w:w="2000"/>
            <w:tcMar>
              <w:top w:type="dxa" w:w="90"/>
              <w:left w:type="dxa" w:w="120"/>
              <w:bottom w:type="dxa" w:w="90"/>
              <w:right w:type="dxa" w:w="120"/>
            </w:tcMar>
          </w:tcPr>
          <w:p>
            <w:pPr>
              <w:spacing w:after="0" w:line="260"/>
            </w:pPr>
            <w:r>
              <w:rPr>
                <w:b/>
                <w:bCs/>
                <w:color w:val="222222"/>
                <w:sz w:val="19"/>
                <w:szCs w:val="19"/>
              </w:rPr>
              <w:t xml:space="preserve">Agent definition</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The named, versioned identity a channel talks to, with a history of versions underneath it</w:t>
            </w:r>
          </w:p>
        </w:tc>
      </w:tr>
      <w:tr>
        <w:tc>
          <w:tcPr>
            <w:tcW w:type="dxa" w:w="2000"/>
            <w:tcMar>
              <w:top w:type="dxa" w:w="90"/>
              <w:left w:type="dxa" w:w="120"/>
              <w:bottom w:type="dxa" w:w="90"/>
              <w:right w:type="dxa" w:w="120"/>
            </w:tcMar>
          </w:tcPr>
          <w:p>
            <w:pPr>
              <w:spacing w:after="0" w:line="260"/>
            </w:pPr>
            <w:r>
              <w:rPr>
                <w:b/>
                <w:bCs/>
                <w:color w:val="222222"/>
                <w:sz w:val="19"/>
                <w:szCs w:val="19"/>
              </w:rPr>
              <w:t xml:space="preserve">Agent version</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An immutable YAML document describing model route, instructions, tool policy, guardrails, memory strategy, eval suite and budgets</w:t>
            </w:r>
          </w:p>
        </w:tc>
      </w:tr>
      <w:tr>
        <w:tc>
          <w:tcPr>
            <w:tcW w:type="dxa" w:w="2000"/>
            <w:tcMar>
              <w:top w:type="dxa" w:w="90"/>
              <w:left w:type="dxa" w:w="120"/>
              <w:bottom w:type="dxa" w:w="90"/>
              <w:right w:type="dxa" w:w="120"/>
            </w:tcMar>
          </w:tcPr>
          <w:p>
            <w:pPr>
              <w:spacing w:after="0" w:line="260"/>
            </w:pPr>
            <w:r>
              <w:rPr>
                <w:b/>
                <w:bCs/>
                <w:color w:val="222222"/>
                <w:sz w:val="19"/>
                <w:szCs w:val="19"/>
              </w:rPr>
              <w:t xml:space="preserve">Capability group</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A named, curated set of tools drawn from one or more MCP servers, selectable when scoping an agent version</w:t>
            </w:r>
          </w:p>
        </w:tc>
      </w:tr>
      <w:tr>
        <w:tc>
          <w:tcPr>
            <w:tcW w:type="dxa" w:w="2000"/>
            <w:tcMar>
              <w:top w:type="dxa" w:w="90"/>
              <w:left w:type="dxa" w:w="120"/>
              <w:bottom w:type="dxa" w:w="90"/>
              <w:right w:type="dxa" w:w="120"/>
            </w:tcMar>
          </w:tcPr>
          <w:p>
            <w:pPr>
              <w:spacing w:after="0" w:line="260"/>
            </w:pPr>
            <w:r>
              <w:rPr>
                <w:b/>
                <w:bCs/>
                <w:color w:val="222222"/>
                <w:sz w:val="19"/>
                <w:szCs w:val="19"/>
              </w:rPr>
              <w:t xml:space="preserve">Community</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A cluster of related entities in the knowledge graph, summarised so that broad questions can be answered without reading every chunk</w:t>
            </w:r>
          </w:p>
        </w:tc>
      </w:tr>
      <w:tr>
        <w:tc>
          <w:tcPr>
            <w:tcW w:type="dxa" w:w="2000"/>
            <w:tcMar>
              <w:top w:type="dxa" w:w="90"/>
              <w:left w:type="dxa" w:w="120"/>
              <w:bottom w:type="dxa" w:w="90"/>
              <w:right w:type="dxa" w:w="120"/>
            </w:tcMar>
          </w:tcPr>
          <w:p>
            <w:pPr>
              <w:spacing w:after="0" w:line="260"/>
            </w:pPr>
            <w:r>
              <w:rPr>
                <w:b/>
                <w:bCs/>
                <w:color w:val="222222"/>
                <w:sz w:val="19"/>
                <w:szCs w:val="19"/>
              </w:rPr>
              <w:t xml:space="preserve">Delegation chain</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The ordered record of which agent invoked which, used for audit attribution and for approval context</w:t>
            </w:r>
          </w:p>
        </w:tc>
      </w:tr>
      <w:tr>
        <w:tc>
          <w:tcPr>
            <w:tcW w:type="dxa" w:w="2000"/>
            <w:tcMar>
              <w:top w:type="dxa" w:w="90"/>
              <w:left w:type="dxa" w:w="120"/>
              <w:bottom w:type="dxa" w:w="90"/>
              <w:right w:type="dxa" w:w="120"/>
            </w:tcMar>
          </w:tcPr>
          <w:p>
            <w:pPr>
              <w:spacing w:after="0" w:line="260"/>
            </w:pPr>
            <w:r>
              <w:rPr>
                <w:b/>
                <w:bCs/>
                <w:color w:val="222222"/>
                <w:sz w:val="19"/>
                <w:szCs w:val="19"/>
              </w:rPr>
              <w:t xml:space="preserve">Groundedness</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The proportion of an answer supported by retrieved evidence; used as an eval metric and as a runtime refusal condition</w:t>
            </w:r>
          </w:p>
        </w:tc>
      </w:tr>
      <w:tr>
        <w:tc>
          <w:tcPr>
            <w:tcW w:type="dxa" w:w="2000"/>
            <w:tcMar>
              <w:top w:type="dxa" w:w="90"/>
              <w:left w:type="dxa" w:w="120"/>
              <w:bottom w:type="dxa" w:w="90"/>
              <w:right w:type="dxa" w:w="120"/>
            </w:tcMar>
          </w:tcPr>
          <w:p>
            <w:pPr>
              <w:spacing w:after="0" w:line="260"/>
            </w:pPr>
            <w:r>
              <w:rPr>
                <w:b/>
                <w:bCs/>
                <w:color w:val="222222"/>
                <w:sz w:val="19"/>
                <w:szCs w:val="19"/>
              </w:rPr>
              <w:t xml:space="preserve">Manifest</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The hashed snapshot of the tools, resources and prompts an MCP server exposed at the moment it was approved</w:t>
            </w:r>
          </w:p>
        </w:tc>
      </w:tr>
      <w:tr>
        <w:tc>
          <w:tcPr>
            <w:tcW w:type="dxa" w:w="2000"/>
            <w:tcMar>
              <w:top w:type="dxa" w:w="90"/>
              <w:left w:type="dxa" w:w="120"/>
              <w:bottom w:type="dxa" w:w="90"/>
              <w:right w:type="dxa" w:w="120"/>
            </w:tcMar>
          </w:tcPr>
          <w:p>
            <w:pPr>
              <w:spacing w:after="0" w:line="260"/>
            </w:pPr>
            <w:r>
              <w:rPr>
                <w:b/>
                <w:bCs/>
                <w:color w:val="222222"/>
                <w:sz w:val="19"/>
                <w:szCs w:val="19"/>
              </w:rPr>
              <w:t xml:space="preserve">Promotion gate</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The three conditions required to reach Production: a passing eval run, an approver who is not the author, and a completed sandbox conversation</w:t>
            </w:r>
          </w:p>
        </w:tc>
      </w:tr>
      <w:tr>
        <w:tc>
          <w:tcPr>
            <w:tcW w:type="dxa" w:w="2000"/>
            <w:tcMar>
              <w:top w:type="dxa" w:w="90"/>
              <w:left w:type="dxa" w:w="120"/>
              <w:bottom w:type="dxa" w:w="90"/>
              <w:right w:type="dxa" w:w="120"/>
            </w:tcMar>
          </w:tcPr>
          <w:p>
            <w:pPr>
              <w:spacing w:after="0" w:line="260"/>
            </w:pPr>
            <w:r>
              <w:rPr>
                <w:b/>
                <w:bCs/>
                <w:color w:val="222222"/>
                <w:sz w:val="19"/>
                <w:szCs w:val="19"/>
              </w:rPr>
              <w:t xml:space="preserve">Route</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A named logical model endpoint, backed by an ordered chain of provider-and-model targets with failover policy</w:t>
            </w:r>
          </w:p>
        </w:tc>
      </w:tr>
      <w:tr>
        <w:tc>
          <w:tcPr>
            <w:tcW w:type="dxa" w:w="2000"/>
            <w:tcMar>
              <w:top w:type="dxa" w:w="90"/>
              <w:left w:type="dxa" w:w="120"/>
              <w:bottom w:type="dxa" w:w="90"/>
              <w:right w:type="dxa" w:w="120"/>
            </w:tcMar>
          </w:tcPr>
          <w:p>
            <w:pPr>
              <w:spacing w:after="0" w:line="260"/>
            </w:pPr>
            <w:r>
              <w:rPr>
                <w:b/>
                <w:bCs/>
                <w:color w:val="222222"/>
                <w:sz w:val="19"/>
                <w:szCs w:val="19"/>
              </w:rPr>
              <w:t xml:space="preserve">Skill</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A versioned bundle of one capability: trigger, scope, instructions, success criteria, escalation conditions and eval cases</w:t>
            </w:r>
          </w:p>
        </w:tc>
      </w:tr>
      <w:tr>
        <w:tc>
          <w:tcPr>
            <w:tcW w:type="dxa" w:w="2000"/>
            <w:tcMar>
              <w:top w:type="dxa" w:w="90"/>
              <w:left w:type="dxa" w:w="120"/>
              <w:bottom w:type="dxa" w:w="90"/>
              <w:right w:type="dxa" w:w="120"/>
            </w:tcMar>
          </w:tcPr>
          <w:p>
            <w:pPr>
              <w:spacing w:after="0" w:line="260"/>
            </w:pPr>
            <w:r>
              <w:rPr>
                <w:b/>
                <w:bCs/>
                <w:color w:val="222222"/>
                <w:sz w:val="19"/>
                <w:szCs w:val="19"/>
              </w:rPr>
              <w:t xml:space="preserve">Team</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A supervisor agent plus scoped member agents, with delegation limits and a failure mode</w:t>
            </w:r>
          </w:p>
        </w:tc>
      </w:tr>
      <w:tr>
        <w:tc>
          <w:tcPr>
            <w:tcW w:type="dxa" w:w="2000"/>
            <w:tcMar>
              <w:top w:type="dxa" w:w="90"/>
              <w:left w:type="dxa" w:w="120"/>
              <w:bottom w:type="dxa" w:w="90"/>
              <w:right w:type="dxa" w:w="120"/>
            </w:tcMar>
          </w:tcPr>
          <w:p>
            <w:pPr>
              <w:spacing w:after="0" w:line="260"/>
            </w:pPr>
            <w:r>
              <w:rPr>
                <w:b/>
                <w:bCs/>
                <w:color w:val="222222"/>
                <w:sz w:val="19"/>
                <w:szCs w:val="19"/>
              </w:rPr>
              <w:t xml:space="preserve">Tier 1 / 2 / 3</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Tool approval tiers: executed automatically, executed and logged, and held for human approval respectively</w:t>
            </w:r>
          </w:p>
        </w:tc>
      </w:tr>
      <w:tr>
        <w:tc>
          <w:tcPr>
            <w:tcW w:type="dxa" w:w="2000"/>
            <w:tcMar>
              <w:top w:type="dxa" w:w="90"/>
              <w:left w:type="dxa" w:w="120"/>
              <w:bottom w:type="dxa" w:w="90"/>
              <w:right w:type="dxa" w:w="120"/>
            </w:tcMar>
          </w:tcPr>
          <w:p>
            <w:pPr>
              <w:spacing w:after="0" w:line="260"/>
            </w:pPr>
            <w:r>
              <w:rPr>
                <w:b/>
                <w:bCs/>
                <w:color w:val="222222"/>
                <w:sz w:val="19"/>
                <w:szCs w:val="19"/>
              </w:rPr>
              <w:t xml:space="preserve">Workflow</w:t>
            </w:r>
          </w:p>
        </w:tc>
        <w:tc>
          <w:tcPr>
            <w:tcW w:type="dxa" w:w="7638"/>
            <w:tcMar>
              <w:top w:type="dxa" w:w="90"/>
              <w:left w:type="dxa" w:w="120"/>
              <w:bottom w:type="dxa" w:w="90"/>
              <w:right w:type="dxa" w:w="120"/>
            </w:tcMar>
          </w:tcPr>
          <w:p>
            <w:pPr>
              <w:spacing w:after="0" w:line="260"/>
            </w:pPr>
            <w:r>
              <w:rPr>
                <w:b w:val="false"/>
                <w:bCs w:val="false"/>
                <w:color w:val="222222"/>
                <w:sz w:val="19"/>
                <w:szCs w:val="19"/>
              </w:rPr>
              <w:t xml:space="preserve">A versioned orchestration graph of triggers, agents, tools, routers, human tasks and terminal outcomes</w:t>
            </w:r>
          </w:p>
        </w:tc>
      </w:tr>
    </w:tbl>
    <w:p>
      <w:pPr>
        <w:spacing w:after="20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pBdr>
      <w:spacing w:before="120"/>
    </w:pPr>
    <w:r>
      <w:rPr>
        <w:color w:val="6E6E6E"/>
        <w:sz w:val="15"/>
        <w:szCs w:val="15"/>
      </w:rPr>
      <w:t xml:space="preserve">NextBot — Target Architecture and Enhancement Blueprint</w:t>
    </w:r>
    <w:r>
      <w:ptab w:alignment="right" w:relativeTo="margin" w:leader="none"/>
    </w:r>
    <w:r>
      <w:rPr>
        <w:color w:val="6E6E6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22222"/>
      <w:sz w:val="30"/>
      <w:szCs w:val="30"/>
    </w:rPr>
  </w:style>
  <w:style w:type="paragraph" w:styleId="Heading2">
    <w:name w:val="Heading 2"/>
    <w:basedOn w:val="Normal"/>
    <w:next w:val="Normal"/>
    <w:qFormat/>
    <w:rPr>
      <w:rFonts w:ascii="Calibri" w:cs="Calibri" w:eastAsia="Calibri" w:hAnsi="Calibri"/>
      <w:b/>
      <w:bCs/>
      <w:color w:val="222222"/>
      <w:sz w:val="25"/>
      <w:szCs w:val="25"/>
    </w:rPr>
  </w:style>
  <w:style w:type="paragraph" w:styleId="Heading3">
    <w:name w:val="Heading 3"/>
    <w:basedOn w:val="Normal"/>
    <w:next w:val="Normal"/>
    <w:qFormat/>
    <w:rPr>
      <w:rFonts w:ascii="Calibri" w:cs="Calibri" w:eastAsia="Calibri" w:hAnsi="Calibri"/>
      <w:b/>
      <w:bCs/>
      <w:color w:val="22222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7e9bd109c6f21251434ec24340177e407d59ba.png"/><Relationship Id="rId9" Type="http://schemas.openxmlformats.org/officeDocument/2006/relationships/image" Target="media/8f38d0668c5ddda15f829f2128e034395e0ee8af.png"/><Relationship Id="rId10" Type="http://schemas.openxmlformats.org/officeDocument/2006/relationships/image" Target="media/49490288c5d07a944a6ae3eaf0a2a69e5b812a7c.png"/><Relationship Id="rId11" Type="http://schemas.openxmlformats.org/officeDocument/2006/relationships/image" Target="media/44a1e7d5ed930103d094cc821053977cdf56f1e0.png"/><Relationship Id="rId12" Type="http://schemas.openxmlformats.org/officeDocument/2006/relationships/image" Target="media/e635842fc594b58f976af0915f2cad08f5ba15ef.png"/><Relationship Id="rId13" Type="http://schemas.openxmlformats.org/officeDocument/2006/relationships/image" Target="media/893f566176f0b53734f8ffd3d33bdd2d2c6a23ed.png"/><Relationship Id="rId14" Type="http://schemas.openxmlformats.org/officeDocument/2006/relationships/image" Target="media/8ba94cc3ecb03b7648b577ed4871dedc032b8916.png"/><Relationship Id="rId15" Type="http://schemas.openxmlformats.org/officeDocument/2006/relationships/image" Target="media/c154179377192713534aed5ce71d3f41098601d1.png"/><Relationship Id="rId16" Type="http://schemas.openxmlformats.org/officeDocument/2006/relationships/image" Target="media/dde9934710a3cba6a763cf42da78e7893004b177.png"/><Relationship Id="rId17" Type="http://schemas.openxmlformats.org/officeDocument/2006/relationships/image" Target="media/0884208cc3ca98b017ed291a3f57c6bef0d08c6c.png"/><Relationship Id="rId18" Type="http://schemas.openxmlformats.org/officeDocument/2006/relationships/image" Target="media/40de20751041a9f610d1706a4d49ca83182817f7.png"/><Relationship Id="rId19" Type="http://schemas.openxmlformats.org/officeDocument/2006/relationships/image" Target="media/d5260e20d7a6efd64cd447f06da5cc4b3704696f.png"/><Relationship Id="rId20" Type="http://schemas.openxmlformats.org/officeDocument/2006/relationships/image" Target="media/4b81d926dd9e3d1c15a94e33d0f7855c9bf69ae2.png"/><Relationship Id="rId21" Type="http://schemas.openxmlformats.org/officeDocument/2006/relationships/image" Target="media/a4ab2c86d7fee09ee9bab307c77dbdf43096f7f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NextBot — Target Architecture and Enhancement Blueprint</dc:title>
  <dc:creator>NextBot Architecture</dc:creator>
  <dc:description>Architecture review, gap analysis and module design</dc:description>
  <cp:lastModifiedBy>Un-named</cp:lastModifiedBy>
  <cp:revision>1</cp:revision>
  <dcterms:created xsi:type="dcterms:W3CDTF">2026-08-28T18:47:47.700Z</dcterms:created>
  <dcterms:modified xsi:type="dcterms:W3CDTF">2026-08-28T18:47:47.700Z</dcterms:modified>
</cp:coreProperties>
</file>

<file path=docProps/custom.xml><?xml version="1.0" encoding="utf-8"?>
<Properties xmlns="http://schemas.openxmlformats.org/officeDocument/2006/custom-properties" xmlns:vt="http://schemas.openxmlformats.org/officeDocument/2006/docPropsVTypes"/>
</file>