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00AB" w14:textId="77777777" w:rsidR="00DD640E" w:rsidRPr="00DD640E" w:rsidRDefault="00DD640E">
      <w:pPr>
        <w:pStyle w:val="Title"/>
        <w:rPr>
          <w:rFonts w:ascii="Times New Roman" w:eastAsia="Times New Roman" w:hAnsi="Times New Roman" w:cs="Times New Roman"/>
          <w:kern w:val="2"/>
          <w:sz w:val="24"/>
          <w:szCs w:val="24"/>
          <w:lang w:eastAsia="de-DE"/>
          <w14:ligatures w14:val="standardContextual"/>
        </w:rPr>
      </w:pPr>
      <w:r>
        <w:rPr>
          <w:rFonts w:ascii="Times New Roman" w:eastAsia="Times New Roman" w:hAnsi="Times New Roman" w:cs="Times New Roman"/>
        </w:rPr>
        <w:t>NetScaler Replacement with Azure-Native Services</w:t>
      </w:r>
    </w:p>
    <w:p w14:paraId="2ADC796C" w14:textId="77777777" w:rsidR="00DD640E" w:rsidRPr="00DD640E" w:rsidRDefault="00DD640E">
      <w:pPr>
        <w:pStyle w:val="Subtitle"/>
        <w:rPr>
          <w:rFonts w:eastAsia="Times New Roman" w:cs="Times New Roman"/>
          <w:kern w:val="2"/>
          <w:lang w:eastAsia="de-DE"/>
          <w14:ligatures w14:val="standardContextual"/>
        </w:rPr>
      </w:pPr>
      <w:r>
        <w:rPr>
          <w:rFonts w:ascii="Times New Roman" w:eastAsia="Times New Roman" w:hAnsi="Times New Roman" w:cs="Times New Roman"/>
        </w:rPr>
        <w:t>Design recommendation for Fresenius: Azure-native replacement for Citrix NetScaler</w:t>
      </w:r>
    </w:p>
    <w:tbl>
      <w:tblPr>
        <w:tblStyle w:val="GridTable1Light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549"/>
        <w:gridCol w:w="7648"/>
      </w:tblGrid>
      <w:tr w:rsidR="00DD640E" w14:paraId="1DC14815" w14:textId="77777777">
        <w:tc>
          <w:tcPr>
            <w:tcW w:w="1250" w:type="pct"/>
            <w:vAlign w:val="center"/>
            <w:hideMark/>
          </w:tcPr>
          <w:p w14:paraId="40149CEF" w14:textId="77777777" w:rsidR="00DD640E" w:rsidRDefault="00DD640E">
            <w:pPr>
              <w:rPr>
                <w:rFonts w:eastAsia="Times New Roman"/>
                <w:szCs w:val="20"/>
                <w:lang w:val="de-DE" w:eastAsia="de-DE"/>
              </w:rPr>
            </w:pPr>
            <w:r>
              <w:rPr>
                <w:rFonts w:eastAsia="Times New Roman"/>
                <w:b/>
                <w:bCs/>
              </w:rPr>
              <w:t>Document version</w:t>
            </w:r>
          </w:p>
        </w:tc>
        <w:tc>
          <w:tcPr>
            <w:tcW w:w="0" w:type="auto"/>
            <w:vAlign w:val="center"/>
            <w:hideMark/>
          </w:tcPr>
          <w:p w14:paraId="6F5E6CB9" w14:textId="77777777" w:rsidR="00DD640E" w:rsidRDefault="00DD640E">
            <w:pPr>
              <w:rPr>
                <w:rFonts w:eastAsia="Times New Roman"/>
                <w:szCs w:val="20"/>
                <w:lang w:val="de-DE" w:eastAsia="de-DE"/>
              </w:rPr>
            </w:pPr>
            <w:r>
              <w:rPr>
                <w:rFonts w:eastAsia="Times New Roman"/>
              </w:rPr>
              <w:t>0.2 (design recommendation draft)</w:t>
            </w:r>
          </w:p>
          <w:p w14:paraId="71D544E7" w14:textId="1828C6C7" w:rsidR="00DD640E" w:rsidRDefault="00DD640E">
            <w:pPr>
              <w:rPr>
                <w:rFonts w:eastAsia="Times New Roman"/>
              </w:rPr>
            </w:pPr>
          </w:p>
        </w:tc>
      </w:tr>
      <w:tr w:rsidR="00DD640E" w14:paraId="4AFD7CED" w14:textId="77777777">
        <w:tc>
          <w:tcPr>
            <w:tcW w:w="0" w:type="auto"/>
            <w:vAlign w:val="center"/>
            <w:hideMark/>
          </w:tcPr>
          <w:p w14:paraId="1AF71257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3875CBD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 May 2026</w:t>
            </w:r>
          </w:p>
        </w:tc>
      </w:tr>
      <w:tr w:rsidR="00DD640E" w14:paraId="6011EB8E" w14:textId="77777777">
        <w:tc>
          <w:tcPr>
            <w:tcW w:w="0" w:type="auto"/>
            <w:vAlign w:val="center"/>
            <w:hideMark/>
          </w:tcPr>
          <w:p w14:paraId="79AE67C3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36FF3018" w14:textId="77777777" w:rsidR="00DD640E" w:rsidRPr="00DD640E" w:rsidRDefault="00DD640E">
            <w:pPr>
              <w:rPr>
                <w:rFonts w:eastAsia="Times New Roman"/>
                <w:szCs w:val="20"/>
                <w:lang w:eastAsia="de-DE"/>
              </w:rPr>
            </w:pPr>
            <w:r>
              <w:rPr>
                <w:rFonts w:eastAsia="Times New Roman"/>
              </w:rPr>
              <w:t>Fresenius stakeholders, Management, Architecture &amp; Security teams</w:t>
            </w:r>
          </w:p>
          <w:p w14:paraId="32CF919C" w14:textId="60A1B73B" w:rsidR="00DD640E" w:rsidRDefault="00DD640E">
            <w:pPr>
              <w:rPr>
                <w:rFonts w:eastAsia="Times New Roman"/>
              </w:rPr>
            </w:pPr>
          </w:p>
        </w:tc>
      </w:tr>
      <w:tr w:rsidR="00DD640E" w14:paraId="5A77041B" w14:textId="77777777">
        <w:tc>
          <w:tcPr>
            <w:tcW w:w="0" w:type="auto"/>
            <w:vAlign w:val="center"/>
            <w:hideMark/>
          </w:tcPr>
          <w:p w14:paraId="2A869748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6953A2" w14:textId="77777777" w:rsidR="00DD640E" w:rsidRPr="00DD640E" w:rsidRDefault="00DD640E">
            <w:pPr>
              <w:rPr>
                <w:rFonts w:eastAsia="Times New Roman"/>
                <w:szCs w:val="20"/>
                <w:lang w:eastAsia="de-DE"/>
              </w:rPr>
            </w:pPr>
            <w:r>
              <w:rPr>
                <w:rFonts w:eastAsia="Times New Roman"/>
              </w:rPr>
              <w:t>Provide a design recommendation for Fresenius to replace the current Citrix NetScaler footprint with Azure-native application delivery, WAF, identity, and network security services, including a phased migration approach and next actions.</w:t>
            </w:r>
          </w:p>
          <w:p w14:paraId="08665FD4" w14:textId="6593E948" w:rsidR="00DD640E" w:rsidRDefault="00DD640E">
            <w:pPr>
              <w:rPr>
                <w:rFonts w:eastAsia="Times New Roman"/>
              </w:rPr>
            </w:pPr>
          </w:p>
        </w:tc>
      </w:tr>
    </w:tbl>
    <w:p w14:paraId="723C8778" w14:textId="77777777" w:rsidR="00DD640E" w:rsidRDefault="00DD640E" w:rsidP="00DD640E">
      <w:pPr>
        <w:pStyle w:val="Heading1"/>
        <w:spacing w:after="0"/>
        <w:rPr>
          <w:kern w:val="36"/>
          <w:szCs w:val="48"/>
          <w:lang w:val="de-DE" w:eastAsia="de-DE"/>
          <w14:ligatures w14:val="standardContextual"/>
        </w:rPr>
      </w:pPr>
      <w:r>
        <w:lastRenderedPageBreak/>
        <w:t>Executive summary</w:t>
      </w:r>
    </w:p>
    <w:p w14:paraId="4C171646" w14:textId="77777777" w:rsidR="00DD640E" w:rsidRPr="00DD640E" w:rsidRDefault="00DD640E">
      <w:pPr>
        <w:rPr>
          <w:rFonts w:eastAsia="Times New Roman"/>
          <w:kern w:val="2"/>
          <w:szCs w:val="20"/>
          <w:lang w:eastAsia="de-DE"/>
          <w14:ligatures w14:val="standardContextual"/>
        </w:rPr>
      </w:pPr>
      <w:r>
        <w:rPr>
          <w:rFonts w:eastAsia="Times New Roman"/>
        </w:rPr>
        <w:t>The goal is to replace the current Citrix NetScaler footprint with an Azure-native design covering application delivery, web application security (WAF), authentication and access, and supporting network security controls.</w:t>
      </w:r>
    </w:p>
    <w:p w14:paraId="3D5E6A94" w14:textId="77777777" w:rsidR="00DD640E" w:rsidRPr="00DD640E" w:rsidRDefault="00DD640E">
      <w:pPr>
        <w:numPr>
          <w:ilvl w:val="0"/>
          <w:numId w:val="8"/>
        </w:numPr>
        <w:spacing w:line="276" w:lineRule="auto"/>
        <w:rPr>
          <w:kern w:val="2"/>
          <w:szCs w:val="20"/>
          <w:lang w:eastAsia="de-DE"/>
          <w14:ligatures w14:val="standardContextual"/>
        </w:rPr>
      </w:pPr>
      <w:r>
        <w:rPr>
          <w:sz w:val="24"/>
          <w:szCs w:val="24"/>
        </w:rPr>
        <w:t xml:space="preserve">The main migration risk is not the load balancing layer itself, but the </w:t>
      </w:r>
      <w:r>
        <w:rPr>
          <w:b/>
          <w:bCs/>
          <w:sz w:val="24"/>
          <w:szCs w:val="24"/>
        </w:rPr>
        <w:t>identity and authentication fragmentation</w:t>
      </w:r>
      <w:r>
        <w:rPr>
          <w:sz w:val="24"/>
          <w:szCs w:val="24"/>
        </w:rPr>
        <w:t xml:space="preserve"> (local users, built-in app auth, customer LDAP, service accounts) and the </w:t>
      </w:r>
      <w:r>
        <w:rPr>
          <w:b/>
          <w:bCs/>
          <w:sz w:val="24"/>
          <w:szCs w:val="24"/>
        </w:rPr>
        <w:t>volume/complexity of URL rewrite and responder rules</w:t>
      </w:r>
      <w:r>
        <w:rPr>
          <w:sz w:val="24"/>
          <w:szCs w:val="24"/>
        </w:rPr>
        <w:t>.</w:t>
      </w:r>
    </w:p>
    <w:p w14:paraId="3236B490" w14:textId="77777777" w:rsidR="00DD640E" w:rsidRPr="00DD640E" w:rsidRDefault="00DD640E">
      <w:pPr>
        <w:numPr>
          <w:ilvl w:val="0"/>
          <w:numId w:val="8"/>
        </w:numPr>
        <w:spacing w:line="276" w:lineRule="auto"/>
        <w:rPr>
          <w:kern w:val="2"/>
          <w:szCs w:val="20"/>
          <w:lang w:eastAsia="de-DE"/>
          <w14:ligatures w14:val="standardContextual"/>
        </w:rPr>
      </w:pPr>
      <w:r>
        <w:rPr>
          <w:sz w:val="24"/>
          <w:szCs w:val="24"/>
        </w:rPr>
        <w:t xml:space="preserve">For Fresenius, the recommended target state uses a layered pattern: </w:t>
      </w:r>
      <w:r>
        <w:rPr>
          <w:b/>
          <w:bCs/>
          <w:sz w:val="24"/>
          <w:szCs w:val="24"/>
        </w:rPr>
        <w:t>Azure Front Door Premium</w:t>
      </w:r>
      <w:r>
        <w:rPr>
          <w:sz w:val="24"/>
          <w:szCs w:val="24"/>
        </w:rPr>
        <w:t xml:space="preserve"> as the global internet entry point, </w:t>
      </w:r>
      <w:r>
        <w:rPr>
          <w:b/>
          <w:bCs/>
          <w:sz w:val="24"/>
          <w:szCs w:val="24"/>
        </w:rPr>
        <w:t>Azure Application Gateway v2 (WAF)</w:t>
      </w:r>
      <w:r>
        <w:rPr>
          <w:sz w:val="24"/>
          <w:szCs w:val="24"/>
        </w:rPr>
        <w:t xml:space="preserve"> for regional L7 routing, and </w:t>
      </w:r>
      <w:r>
        <w:rPr>
          <w:b/>
          <w:bCs/>
          <w:sz w:val="24"/>
          <w:szCs w:val="24"/>
        </w:rPr>
        <w:t>Microsoft Entra ID</w:t>
      </w:r>
      <w:r>
        <w:rPr>
          <w:sz w:val="24"/>
          <w:szCs w:val="24"/>
        </w:rPr>
        <w:t xml:space="preserve"> for centralized identity, MFA, and Conditional Access, supported by </w:t>
      </w:r>
      <w:r>
        <w:rPr>
          <w:b/>
          <w:bCs/>
          <w:sz w:val="24"/>
          <w:szCs w:val="24"/>
        </w:rPr>
        <w:t>hub-and-spoke networking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Azure Firewall Premium</w:t>
      </w:r>
      <w:r>
        <w:rPr>
          <w:sz w:val="24"/>
          <w:szCs w:val="24"/>
        </w:rPr>
        <w:t>.</w:t>
      </w:r>
    </w:p>
    <w:p w14:paraId="24E8989F" w14:textId="77777777" w:rsidR="00DD640E" w:rsidRDefault="00DD640E">
      <w:pPr>
        <w:numPr>
          <w:ilvl w:val="0"/>
          <w:numId w:val="8"/>
        </w:numPr>
        <w:spacing w:before="100" w:beforeAutospacing="1" w:after="0" w:afterAutospacing="1" w:line="278" w:lineRule="auto"/>
        <w:rPr>
          <w:sz w:val="24"/>
          <w:szCs w:val="24"/>
        </w:rPr>
      </w:pPr>
      <w:r>
        <w:rPr>
          <w:sz w:val="24"/>
          <w:szCs w:val="24"/>
        </w:rPr>
        <w:t>A phased migration (application-by-application) with early proofs of concept (</w:t>
      </w:r>
      <w:proofErr w:type="spellStart"/>
      <w:r>
        <w:rPr>
          <w:sz w:val="24"/>
          <w:szCs w:val="24"/>
        </w:rPr>
        <w:t>PoCs</w:t>
      </w:r>
      <w:proofErr w:type="spellEnd"/>
      <w:r>
        <w:rPr>
          <w:sz w:val="24"/>
          <w:szCs w:val="24"/>
        </w:rPr>
        <w:t>) is recommended to validate rewrite rules, authentication flows, and Citrix integration before broad rollout.</w:t>
      </w:r>
    </w:p>
    <w:p w14:paraId="75548CE9" w14:textId="77777777" w:rsidR="00DD640E" w:rsidRDefault="00DD640E" w:rsidP="00DD640E">
      <w:pPr>
        <w:pStyle w:val="Heading1"/>
        <w:spacing w:after="0"/>
        <w:rPr>
          <w:kern w:val="36"/>
          <w:szCs w:val="48"/>
          <w:lang w:val="de-DE" w:eastAsia="de-DE"/>
          <w14:ligatures w14:val="standardContextual"/>
        </w:rPr>
      </w:pPr>
      <w:r>
        <w:lastRenderedPageBreak/>
        <w:t>Objectives and scope</w:t>
      </w:r>
    </w:p>
    <w:p w14:paraId="548951D8" w14:textId="77777777" w:rsidR="00DD640E" w:rsidRPr="00DD640E" w:rsidRDefault="00DD640E" w:rsidP="00DD640E">
      <w:pPr>
        <w:pStyle w:val="Heading1"/>
        <w:rPr>
          <w:kern w:val="2"/>
          <w:lang w:val="en-US" w:eastAsia="de-DE"/>
          <w14:ligatures w14:val="standardContextual"/>
        </w:rPr>
      </w:pPr>
      <w:r>
        <w:rPr>
          <w:b/>
          <w:bCs/>
        </w:rPr>
        <w:lastRenderedPageBreak/>
        <w:t>Identify</w:t>
      </w:r>
      <w:r>
        <w:t xml:space="preserve"> the key NetScaler functions in use (L7 routing/reverse proxy, WAF, SSL offload, URL rewriting, and authentication gateway patterns).</w:t>
      </w:r>
    </w:p>
    <w:p w14:paraId="5C01EA30" w14:textId="77777777" w:rsidR="00DD640E" w:rsidRDefault="00DD640E">
      <w:pPr>
        <w:numPr>
          <w:ilvl w:val="0"/>
          <w:numId w:val="9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Recommend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an Azure</w:t>
      </w:r>
      <w:proofErr w:type="gramEnd"/>
      <w:r>
        <w:rPr>
          <w:sz w:val="24"/>
          <w:szCs w:val="24"/>
        </w:rPr>
        <w:t>-native target architecture with clear mapping to Azure services.</w:t>
      </w:r>
    </w:p>
    <w:p w14:paraId="50822BFF" w14:textId="77777777" w:rsidR="00DD640E" w:rsidRDefault="00DD640E">
      <w:pPr>
        <w:numPr>
          <w:ilvl w:val="0"/>
          <w:numId w:val="9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Highlight</w:t>
      </w:r>
      <w:r>
        <w:rPr>
          <w:sz w:val="24"/>
          <w:szCs w:val="24"/>
        </w:rPr>
        <w:t xml:space="preserve"> major risks, dependencies, and areas requiring deeper discovery and PoC validation.</w:t>
      </w:r>
    </w:p>
    <w:p w14:paraId="2CDEB971" w14:textId="77777777" w:rsidR="00DD640E" w:rsidRDefault="00DD640E">
      <w:pPr>
        <w:numPr>
          <w:ilvl w:val="0"/>
          <w:numId w:val="9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Propose</w:t>
      </w:r>
      <w:r>
        <w:rPr>
          <w:sz w:val="24"/>
          <w:szCs w:val="24"/>
        </w:rPr>
        <w:t xml:space="preserve"> a practical, phased migration approach suitable for production change control and customer communication.</w:t>
      </w:r>
    </w:p>
    <w:p w14:paraId="451B493C" w14:textId="77777777" w:rsidR="00DD640E" w:rsidRDefault="00DD640E">
      <w:pPr>
        <w:pStyle w:val="Heading1"/>
        <w:rPr>
          <w:kern w:val="36"/>
          <w:szCs w:val="48"/>
          <w:lang w:val="de-DE" w:eastAsia="de-DE"/>
          <w14:ligatures w14:val="standardContextual"/>
        </w:rPr>
      </w:pPr>
      <w:r>
        <w:lastRenderedPageBreak/>
        <w:t>Challenges and recommendations</w:t>
      </w:r>
    </w:p>
    <w:p w14:paraId="2EBEBF91" w14:textId="77777777" w:rsidR="00DD640E" w:rsidRPr="00DD640E" w:rsidRDefault="00DD640E">
      <w:pPr>
        <w:rPr>
          <w:rFonts w:eastAsia="Times New Roman"/>
          <w:kern w:val="2"/>
          <w:szCs w:val="20"/>
          <w:lang w:eastAsia="de-DE"/>
          <w14:ligatures w14:val="standardContextual"/>
        </w:rPr>
      </w:pPr>
      <w:r>
        <w:rPr>
          <w:rFonts w:eastAsia="Times New Roman"/>
        </w:rPr>
        <w:t>The current NetScaler implementation provides a broad set of capabilities: load balancing and reverse proxy, WAF, SSL offload, URL rewriting, and advanced authentication (SSO, MFA/2FA, and identity-provider functions). A like-for-like replacement with Azure services requires coordinated changes across identity, application configuration, and network/security controls.</w:t>
      </w:r>
    </w:p>
    <w:tbl>
      <w:tblPr>
        <w:tblStyle w:val="GridTable4-Accent1"/>
        <w:tblW w:w="5000" w:type="pct"/>
        <w:tblInd w:w="0" w:type="dxa"/>
        <w:tblLook w:val="04A0" w:firstRow="1" w:lastRow="0" w:firstColumn="1" w:lastColumn="0" w:noHBand="0" w:noVBand="1"/>
      </w:tblPr>
      <w:tblGrid>
        <w:gridCol w:w="2243"/>
        <w:gridCol w:w="3875"/>
        <w:gridCol w:w="4079"/>
      </w:tblGrid>
      <w:tr w:rsidR="00DD640E" w14:paraId="49FEA97C" w14:textId="77777777">
        <w:tc>
          <w:tcPr>
            <w:tcW w:w="1100" w:type="pct"/>
            <w:vAlign w:val="center"/>
            <w:hideMark/>
          </w:tcPr>
          <w:p w14:paraId="30A69679" w14:textId="77777777" w:rsidR="00DD640E" w:rsidRDefault="00DD640E">
            <w:pPr>
              <w:rPr>
                <w:rFonts w:eastAsia="Times New Roman"/>
                <w:szCs w:val="20"/>
                <w:lang w:val="de-DE" w:eastAsia="de-DE"/>
              </w:rPr>
            </w:pPr>
            <w:r>
              <w:rPr>
                <w:rFonts w:eastAsia="Times New Roman"/>
                <w:b/>
                <w:bCs/>
              </w:rPr>
              <w:t>Challenge</w:t>
            </w:r>
          </w:p>
        </w:tc>
        <w:tc>
          <w:tcPr>
            <w:tcW w:w="1900" w:type="pct"/>
            <w:vAlign w:val="center"/>
            <w:hideMark/>
          </w:tcPr>
          <w:p w14:paraId="01E774B4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Impact</w:t>
            </w:r>
          </w:p>
        </w:tc>
        <w:tc>
          <w:tcPr>
            <w:tcW w:w="2000" w:type="pct"/>
            <w:vAlign w:val="center"/>
            <w:hideMark/>
          </w:tcPr>
          <w:p w14:paraId="2774E194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Recommendation (summary)</w:t>
            </w:r>
          </w:p>
        </w:tc>
      </w:tr>
      <w:tr w:rsidR="00DD640E" w14:paraId="0860D0EB" w14:textId="77777777">
        <w:tc>
          <w:tcPr>
            <w:tcW w:w="0" w:type="auto"/>
            <w:vAlign w:val="center"/>
            <w:hideMark/>
          </w:tcPr>
          <w:p w14:paraId="49B8C5CD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Identity fragmentation</w:t>
            </w:r>
          </w:p>
        </w:tc>
        <w:tc>
          <w:tcPr>
            <w:tcW w:w="0" w:type="auto"/>
            <w:vAlign w:val="center"/>
            <w:hideMark/>
          </w:tcPr>
          <w:p w14:paraId="50891573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Weak/uneven MFA and SSO, higher operational overhead, increased security risk; “security exceptions” become hard to justify.</w:t>
            </w:r>
          </w:p>
        </w:tc>
        <w:tc>
          <w:tcPr>
            <w:tcW w:w="0" w:type="auto"/>
            <w:vAlign w:val="center"/>
            <w:hideMark/>
          </w:tcPr>
          <w:p w14:paraId="3608BDA9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Standardize on </w:t>
            </w:r>
            <w:r>
              <w:rPr>
                <w:rFonts w:eastAsia="Times New Roman"/>
                <w:b/>
                <w:bCs/>
              </w:rPr>
              <w:t>Microsoft Entra ID</w:t>
            </w:r>
            <w:r>
              <w:rPr>
                <w:rFonts w:eastAsia="Times New Roman"/>
              </w:rPr>
              <w:t xml:space="preserve"> (SSO + Conditional Access). Create a modernization plan for apps that cannot support SAML/OIDC; use interim patterns (e.g., Entra Application Proxy) where suitable.</w:t>
            </w:r>
          </w:p>
        </w:tc>
      </w:tr>
      <w:tr w:rsidR="00DD640E" w14:paraId="1C799E7C" w14:textId="77777777">
        <w:tc>
          <w:tcPr>
            <w:tcW w:w="0" w:type="auto"/>
            <w:vAlign w:val="center"/>
            <w:hideMark/>
          </w:tcPr>
          <w:p w14:paraId="053B76A8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Rewrite / responder policy complexity</w:t>
            </w:r>
          </w:p>
        </w:tc>
        <w:tc>
          <w:tcPr>
            <w:tcW w:w="0" w:type="auto"/>
            <w:vAlign w:val="center"/>
            <w:hideMark/>
          </w:tcPr>
          <w:p w14:paraId="5543AFBF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Risk of functional regressions (routing, headers, URL shortening) if rules are not captured and validated.</w:t>
            </w:r>
          </w:p>
        </w:tc>
        <w:tc>
          <w:tcPr>
            <w:tcW w:w="0" w:type="auto"/>
            <w:vAlign w:val="center"/>
            <w:hideMark/>
          </w:tcPr>
          <w:p w14:paraId="20BA0C61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Inventory all rewrite/responder rules; validate equivalents in </w:t>
            </w:r>
            <w:r>
              <w:rPr>
                <w:rFonts w:eastAsia="Times New Roman"/>
                <w:b/>
                <w:bCs/>
              </w:rPr>
              <w:t>Front Door</w:t>
            </w:r>
            <w:r>
              <w:rPr>
                <w:rFonts w:eastAsia="Times New Roman"/>
              </w:rPr>
              <w:t>/</w:t>
            </w:r>
            <w:r>
              <w:rPr>
                <w:rFonts w:eastAsia="Times New Roman"/>
                <w:b/>
                <w:bCs/>
              </w:rPr>
              <w:t>Application Gateway</w:t>
            </w:r>
            <w:r>
              <w:rPr>
                <w:rFonts w:eastAsia="Times New Roman"/>
              </w:rPr>
              <w:t xml:space="preserve">. Use </w:t>
            </w:r>
            <w:proofErr w:type="spellStart"/>
            <w:r>
              <w:rPr>
                <w:rFonts w:eastAsia="Times New Roman"/>
              </w:rPr>
              <w:t>PoCs</w:t>
            </w:r>
            <w:proofErr w:type="spellEnd"/>
            <w:r>
              <w:rPr>
                <w:rFonts w:eastAsia="Times New Roman"/>
              </w:rPr>
              <w:t xml:space="preserve"> for complex logic; consider supporting components (e.g., lightweight middleware) only where strictly required.</w:t>
            </w:r>
          </w:p>
        </w:tc>
      </w:tr>
      <w:tr w:rsidR="00DD640E" w14:paraId="64CC7003" w14:textId="77777777">
        <w:tc>
          <w:tcPr>
            <w:tcW w:w="0" w:type="auto"/>
            <w:vAlign w:val="center"/>
            <w:hideMark/>
          </w:tcPr>
          <w:p w14:paraId="00C1CC33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Internet-facing apps without user auth</w:t>
            </w:r>
          </w:p>
        </w:tc>
        <w:tc>
          <w:tcPr>
            <w:tcW w:w="0" w:type="auto"/>
            <w:vAlign w:val="center"/>
            <w:hideMark/>
          </w:tcPr>
          <w:p w14:paraId="25C36924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Expanded attack surface; higher likelihood of compromise and lateral movement, even with segmentation.</w:t>
            </w:r>
          </w:p>
        </w:tc>
        <w:tc>
          <w:tcPr>
            <w:tcW w:w="0" w:type="auto"/>
            <w:vAlign w:val="center"/>
            <w:hideMark/>
          </w:tcPr>
          <w:p w14:paraId="54A54ECA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Reassess and enforce authentication wherever possible; otherwise harden via WAF, strict isolation, and least-privilege network access.</w:t>
            </w:r>
          </w:p>
        </w:tc>
      </w:tr>
      <w:tr w:rsidR="00DD640E" w14:paraId="3BB950FD" w14:textId="77777777">
        <w:tc>
          <w:tcPr>
            <w:tcW w:w="0" w:type="auto"/>
            <w:vAlign w:val="center"/>
            <w:hideMark/>
          </w:tcPr>
          <w:p w14:paraId="11F21655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Citrix access patterns</w:t>
            </w:r>
          </w:p>
        </w:tc>
        <w:tc>
          <w:tcPr>
            <w:tcW w:w="0" w:type="auto"/>
            <w:vAlign w:val="center"/>
            <w:hideMark/>
          </w:tcPr>
          <w:p w14:paraId="0F4F7C4B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experience and security depend on correct integration (SSO, MFA, Kerberos constraints).</w:t>
            </w:r>
          </w:p>
        </w:tc>
        <w:tc>
          <w:tcPr>
            <w:tcW w:w="0" w:type="auto"/>
            <w:vAlign w:val="center"/>
            <w:hideMark/>
          </w:tcPr>
          <w:p w14:paraId="776012AC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Follow Citrix/Microsoft reference designs: </w:t>
            </w:r>
            <w:r>
              <w:rPr>
                <w:rFonts w:eastAsia="Times New Roman"/>
                <w:b/>
                <w:bCs/>
              </w:rPr>
              <w:t>Citrix Cloud Gateway Service</w:t>
            </w:r>
            <w:r>
              <w:rPr>
                <w:rFonts w:eastAsia="Times New Roman"/>
              </w:rPr>
              <w:t xml:space="preserve"> with </w:t>
            </w:r>
            <w:r>
              <w:rPr>
                <w:rFonts w:eastAsia="Times New Roman"/>
                <w:b/>
                <w:bCs/>
              </w:rPr>
              <w:t>Entra ID</w:t>
            </w:r>
            <w:r>
              <w:rPr>
                <w:rFonts w:eastAsia="Times New Roman"/>
              </w:rPr>
              <w:t xml:space="preserve"> Conditional Access; use </w:t>
            </w:r>
            <w:r>
              <w:rPr>
                <w:rFonts w:eastAsia="Times New Roman"/>
                <w:b/>
                <w:bCs/>
              </w:rPr>
              <w:t>Citrix FAS</w:t>
            </w:r>
            <w:r>
              <w:rPr>
                <w:rFonts w:eastAsia="Times New Roman"/>
              </w:rPr>
              <w:t xml:space="preserve"> if Kerberos-based SSO is required.</w:t>
            </w:r>
          </w:p>
        </w:tc>
      </w:tr>
      <w:tr w:rsidR="00DD640E" w14:paraId="7DE5AC10" w14:textId="77777777">
        <w:tc>
          <w:tcPr>
            <w:tcW w:w="0" w:type="auto"/>
            <w:vAlign w:val="center"/>
            <w:hideMark/>
          </w:tcPr>
          <w:p w14:paraId="4F64C12B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Connectivity / VPN transition</w:t>
            </w:r>
          </w:p>
        </w:tc>
        <w:tc>
          <w:tcPr>
            <w:tcW w:w="0" w:type="auto"/>
            <w:vAlign w:val="center"/>
            <w:hideMark/>
          </w:tcPr>
          <w:p w14:paraId="67535E7E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Routing and firewall rule changes can cause outages if </w:t>
            </w:r>
            <w:proofErr w:type="gramStart"/>
            <w:r>
              <w:rPr>
                <w:rFonts w:eastAsia="Times New Roman"/>
              </w:rPr>
              <w:t>cutover is</w:t>
            </w:r>
            <w:proofErr w:type="gramEnd"/>
            <w:r>
              <w:rPr>
                <w:rFonts w:eastAsia="Times New Roman"/>
              </w:rPr>
              <w:t xml:space="preserve"> not coordinated.</w:t>
            </w:r>
          </w:p>
        </w:tc>
        <w:tc>
          <w:tcPr>
            <w:tcW w:w="0" w:type="auto"/>
            <w:vAlign w:val="center"/>
            <w:hideMark/>
          </w:tcPr>
          <w:p w14:paraId="045CF9BE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Adopt </w:t>
            </w:r>
            <w:r>
              <w:rPr>
                <w:rFonts w:eastAsia="Times New Roman"/>
                <w:b/>
                <w:bCs/>
              </w:rPr>
              <w:t>hub-and-spoke</w:t>
            </w:r>
            <w:r>
              <w:rPr>
                <w:rFonts w:eastAsia="Times New Roman"/>
              </w:rPr>
              <w:t xml:space="preserve"> with centralized controls; implement redundant connectivity (VPN/ExpressRoute where applicable) and test failover.</w:t>
            </w:r>
          </w:p>
        </w:tc>
      </w:tr>
      <w:tr w:rsidR="00DD640E" w14:paraId="51A79110" w14:textId="77777777">
        <w:tc>
          <w:tcPr>
            <w:tcW w:w="0" w:type="auto"/>
            <w:vAlign w:val="center"/>
            <w:hideMark/>
          </w:tcPr>
          <w:p w14:paraId="6F06CAEF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Cost at scale</w:t>
            </w:r>
          </w:p>
        </w:tc>
        <w:tc>
          <w:tcPr>
            <w:tcW w:w="0" w:type="auto"/>
            <w:vAlign w:val="center"/>
            <w:hideMark/>
          </w:tcPr>
          <w:p w14:paraId="72A42D08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Multiple premium services deployed per-app can inflate costs.</w:t>
            </w:r>
          </w:p>
        </w:tc>
        <w:tc>
          <w:tcPr>
            <w:tcW w:w="0" w:type="auto"/>
            <w:vAlign w:val="center"/>
            <w:hideMark/>
          </w:tcPr>
          <w:p w14:paraId="1F606FA3" w14:textId="77777777" w:rsidR="00DD640E" w:rsidRDefault="00DD640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Consolidate where appropriate (multi-site listeners, shared WAF policies), enable autoscaling, and apply cost governance (budgets, tagging, alerts).</w:t>
            </w:r>
          </w:p>
        </w:tc>
      </w:tr>
    </w:tbl>
    <w:p w14:paraId="362F764B" w14:textId="77777777" w:rsidR="00DD640E" w:rsidRDefault="00DD640E">
      <w:pPr>
        <w:pStyle w:val="Heading1"/>
        <w:rPr>
          <w:kern w:val="36"/>
          <w:szCs w:val="48"/>
          <w:lang w:val="de-DE" w:eastAsia="de-DE"/>
          <w14:ligatures w14:val="standardContextual"/>
        </w:rPr>
      </w:pPr>
      <w:r>
        <w:lastRenderedPageBreak/>
        <w:t>Target architecture (Azure-native)</w:t>
      </w:r>
    </w:p>
    <w:p w14:paraId="2BC72DD5" w14:textId="77777777" w:rsidR="00DD640E" w:rsidRDefault="00DD640E" w:rsidP="00DD640E"/>
    <w:p w14:paraId="56A3BBA4" w14:textId="77777777" w:rsidR="00DD640E" w:rsidRPr="00DD640E" w:rsidRDefault="00DD640E">
      <w:pPr>
        <w:rPr>
          <w:rFonts w:eastAsia="Times New Roman"/>
          <w:kern w:val="2"/>
          <w:szCs w:val="20"/>
          <w:lang w:eastAsia="de-DE"/>
          <w14:ligatures w14:val="standardContextual"/>
        </w:rPr>
      </w:pPr>
      <w:r>
        <w:rPr>
          <w:rFonts w:eastAsia="Times New Roman"/>
        </w:rPr>
        <w:t>The target state is a layered application delivery and security design: global edge entry with Azure Front Door, regional L7 routing and WAF with Application Gateway, centralized identity with Entra ID, and hub-and-spoke network segmentation with Azure Firewall. Certificates and secrets are centralized in Key Vault; monitoring and governance are enabled by Azure Monitor, Policy, and Defender for Cloud.</w:t>
      </w:r>
    </w:p>
    <w:p w14:paraId="4E965F6B" w14:textId="77777777" w:rsidR="00DD640E" w:rsidRDefault="00DD640E" w:rsidP="00DD640E"/>
    <w:p w14:paraId="3A8A92E5" w14:textId="77777777" w:rsidR="00DD640E" w:rsidRPr="00DD640E" w:rsidRDefault="00DD640E">
      <w:pPr>
        <w:pStyle w:val="Heading2"/>
        <w:rPr>
          <w:kern w:val="2"/>
          <w:sz w:val="36"/>
          <w:szCs w:val="36"/>
          <w:lang w:val="en-US" w:eastAsia="de-DE"/>
          <w14:ligatures w14:val="standardContextual"/>
        </w:rPr>
      </w:pPr>
      <w:r>
        <w:t>1. Global internet entry: Azure Front Door Premium</w:t>
      </w:r>
    </w:p>
    <w:p w14:paraId="74155876" w14:textId="77777777" w:rsidR="00DD640E" w:rsidRPr="00DD640E" w:rsidRDefault="00DD640E">
      <w:pPr>
        <w:rPr>
          <w:rFonts w:eastAsia="Times New Roman"/>
          <w:kern w:val="2"/>
          <w:szCs w:val="20"/>
          <w:lang w:eastAsia="de-DE"/>
          <w14:ligatures w14:val="standardContextual"/>
        </w:rPr>
      </w:pPr>
      <w:r>
        <w:rPr>
          <w:rFonts w:eastAsia="Times New Roman"/>
        </w:rPr>
        <w:t>Use Azure Front Door Premium to publish internet-facing applications. It provides global routing, edge SSL offload, WAF (managed + custom rules), and URL rewrite capabilities needed to handle many application hostnames/paths behind a consolidated public entry point. Certificates are sourced from Azure Key Vault with automated renewal/rotation where applicable.</w:t>
      </w:r>
    </w:p>
    <w:p w14:paraId="70048DFD" w14:textId="77777777" w:rsidR="00DD640E" w:rsidRPr="00DD640E" w:rsidRDefault="00DD640E">
      <w:pPr>
        <w:pStyle w:val="Heading2"/>
        <w:rPr>
          <w:kern w:val="2"/>
          <w:sz w:val="36"/>
          <w:szCs w:val="36"/>
          <w:lang w:val="en-US" w:eastAsia="de-DE"/>
          <w14:ligatures w14:val="standardContextual"/>
        </w:rPr>
      </w:pPr>
      <w:r>
        <w:t>2. Regional L7 routing and WAF: Azure Application Gateway v2</w:t>
      </w:r>
    </w:p>
    <w:p w14:paraId="3E96B17B" w14:textId="77777777" w:rsidR="00DD640E" w:rsidRPr="00DD640E" w:rsidRDefault="00DD640E">
      <w:pPr>
        <w:rPr>
          <w:rFonts w:eastAsia="Times New Roman"/>
          <w:kern w:val="2"/>
          <w:szCs w:val="20"/>
          <w:lang w:eastAsia="de-DE"/>
          <w14:ligatures w14:val="standardContextual"/>
        </w:rPr>
      </w:pPr>
      <w:r>
        <w:rPr>
          <w:rFonts w:eastAsia="Times New Roman"/>
        </w:rPr>
        <w:t>Deploy Application Gateway v2 (WAF) in dedicated subnets per landing zone/spoke as the regional reverse proxy and L7 load balancer. It provides host/path-based routing, health probes, SSL offload, and WAF protection close to workloads. For internet-facing apps, Front Door routes to Application Gateway backends; for internal apps, Application Gateway can be consumed privately.</w:t>
      </w:r>
    </w:p>
    <w:p w14:paraId="0EC20974" w14:textId="77777777" w:rsidR="00DD640E" w:rsidRPr="00DD640E" w:rsidRDefault="00DD640E">
      <w:pPr>
        <w:pStyle w:val="Heading2"/>
        <w:rPr>
          <w:kern w:val="2"/>
          <w:sz w:val="36"/>
          <w:szCs w:val="36"/>
          <w:lang w:val="en-US" w:eastAsia="de-DE"/>
          <w14:ligatures w14:val="standardContextual"/>
        </w:rPr>
      </w:pPr>
      <w:r>
        <w:t>3. Identity, SSO, and MFA: Microsoft Entra ID</w:t>
      </w:r>
    </w:p>
    <w:p w14:paraId="0A23C2D7" w14:textId="77777777" w:rsidR="00DD640E" w:rsidRPr="00DD640E" w:rsidRDefault="00DD640E">
      <w:pPr>
        <w:rPr>
          <w:rFonts w:eastAsia="Times New Roman"/>
          <w:kern w:val="2"/>
          <w:szCs w:val="20"/>
          <w:lang w:eastAsia="de-DE"/>
          <w14:ligatures w14:val="standardContextual"/>
        </w:rPr>
      </w:pPr>
      <w:r>
        <w:rPr>
          <w:rFonts w:eastAsia="Times New Roman"/>
        </w:rPr>
        <w:t>Use Microsoft Entra ID as the central identity provider for users and administrators. Enforce MFA and access controls through Conditional Access (for example: require MFA, require compliant devices where appropriate, restrict risky sign-ins, and apply least-privilege access).</w:t>
      </w:r>
    </w:p>
    <w:p w14:paraId="12A2E05C" w14:textId="77777777" w:rsidR="00DD640E" w:rsidRPr="00DD640E" w:rsidRDefault="00DD640E">
      <w:pPr>
        <w:numPr>
          <w:ilvl w:val="0"/>
          <w:numId w:val="10"/>
        </w:numPr>
        <w:spacing w:before="100" w:beforeAutospacing="1" w:after="100" w:afterAutospacing="1" w:line="278" w:lineRule="auto"/>
        <w:rPr>
          <w:kern w:val="2"/>
          <w:sz w:val="24"/>
          <w:szCs w:val="24"/>
          <w:lang w:eastAsia="de-DE"/>
          <w14:ligatures w14:val="standardContextual"/>
        </w:rPr>
      </w:pPr>
      <w:r>
        <w:rPr>
          <w:b/>
          <w:bCs/>
          <w:sz w:val="24"/>
          <w:szCs w:val="24"/>
        </w:rPr>
        <w:t>Citrix access</w:t>
      </w:r>
      <w:r>
        <w:rPr>
          <w:sz w:val="24"/>
          <w:szCs w:val="24"/>
        </w:rPr>
        <w:t>: Integrate Citrix Cloud Gateway Service with Entra ID; use Conditional Access for MFA and, if needed, Citrix FAS for Kerberos-based SSO to VDAs.</w:t>
      </w:r>
    </w:p>
    <w:p w14:paraId="0D85F2C8" w14:textId="77777777" w:rsidR="00DD640E" w:rsidRDefault="00DD640E">
      <w:pPr>
        <w:numPr>
          <w:ilvl w:val="0"/>
          <w:numId w:val="10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SaaS applications</w:t>
      </w:r>
      <w:r>
        <w:rPr>
          <w:sz w:val="24"/>
          <w:szCs w:val="24"/>
        </w:rPr>
        <w:t>: Configure as Entra Enterprise Applications using SAML/OIDC as supported.</w:t>
      </w:r>
    </w:p>
    <w:p w14:paraId="66BF8F76" w14:textId="77777777" w:rsidR="00DD640E" w:rsidRDefault="00DD640E">
      <w:pPr>
        <w:numPr>
          <w:ilvl w:val="0"/>
          <w:numId w:val="10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Legacy web applications</w:t>
      </w:r>
      <w:r>
        <w:rPr>
          <w:sz w:val="24"/>
          <w:szCs w:val="24"/>
        </w:rPr>
        <w:t>: Prefer application modernization. Where that is not immediately possible, assess interim options (for example, Entra Application Proxy) and clearly document residual risk.</w:t>
      </w:r>
    </w:p>
    <w:p w14:paraId="5DEF9388" w14:textId="77777777" w:rsidR="00DD640E" w:rsidRDefault="00DD640E">
      <w:pPr>
        <w:numPr>
          <w:ilvl w:val="0"/>
          <w:numId w:val="10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Customer identity (LDAP)</w:t>
      </w:r>
      <w:r>
        <w:rPr>
          <w:sz w:val="24"/>
          <w:szCs w:val="24"/>
        </w:rPr>
        <w:t>: Prefer federation with the customer’s identity provider (SAML/OIDC). If LDAP connectivity is unavoidable, use private connectivity and strict security controls.</w:t>
      </w:r>
    </w:p>
    <w:p w14:paraId="787854A6" w14:textId="77777777" w:rsidR="00DD640E" w:rsidRPr="00DD640E" w:rsidRDefault="00DD640E">
      <w:pPr>
        <w:pStyle w:val="Heading2"/>
        <w:rPr>
          <w:kern w:val="2"/>
          <w:sz w:val="36"/>
          <w:szCs w:val="36"/>
          <w:lang w:val="en-US" w:eastAsia="de-DE"/>
          <w14:ligatures w14:val="standardContextual"/>
        </w:rPr>
      </w:pPr>
      <w:r>
        <w:lastRenderedPageBreak/>
        <w:t>4. Network segmentation and egress control: Hub-and-spoke with Azure Firewall</w:t>
      </w:r>
    </w:p>
    <w:p w14:paraId="2F741CB1" w14:textId="77777777" w:rsidR="00DD640E" w:rsidRPr="00DD640E" w:rsidRDefault="00DD640E">
      <w:pPr>
        <w:rPr>
          <w:rFonts w:eastAsia="Times New Roman"/>
          <w:kern w:val="2"/>
          <w:szCs w:val="20"/>
          <w:lang w:eastAsia="de-DE"/>
          <w14:ligatures w14:val="standardContextual"/>
        </w:rPr>
      </w:pPr>
      <w:r>
        <w:rPr>
          <w:rFonts w:eastAsia="Times New Roman"/>
        </w:rPr>
        <w:t xml:space="preserve">Implement </w:t>
      </w:r>
      <w:proofErr w:type="gramStart"/>
      <w:r>
        <w:rPr>
          <w:rFonts w:eastAsia="Times New Roman"/>
        </w:rPr>
        <w:t>a hub</w:t>
      </w:r>
      <w:proofErr w:type="gramEnd"/>
      <w:r>
        <w:rPr>
          <w:rFonts w:eastAsia="Times New Roman"/>
        </w:rPr>
        <w:t xml:space="preserve">-and-spoke virtual network topology. Place shared services in the hub (Azure Firewall Premium for centralized inspection and policy, VPN/ExpressRoute gateway for connectivity, and Bastion for secure administration). Place workloads in dedicated spoke </w:t>
      </w:r>
      <w:proofErr w:type="spellStart"/>
      <w:r>
        <w:rPr>
          <w:rFonts w:eastAsia="Times New Roman"/>
        </w:rPr>
        <w:t>VNets</w:t>
      </w:r>
      <w:proofErr w:type="spellEnd"/>
      <w:r>
        <w:rPr>
          <w:rFonts w:eastAsia="Times New Roman"/>
        </w:rPr>
        <w:t xml:space="preserve"> and apply NSGs and routing to enforce least privilege and controlled east-west and north-south traffic flows.</w:t>
      </w:r>
    </w:p>
    <w:p w14:paraId="0447CA0C" w14:textId="77777777" w:rsidR="00DD640E" w:rsidRPr="00DD640E" w:rsidRDefault="00DD640E">
      <w:pPr>
        <w:numPr>
          <w:ilvl w:val="0"/>
          <w:numId w:val="11"/>
        </w:numPr>
        <w:spacing w:before="100" w:beforeAutospacing="1" w:after="100" w:afterAutospacing="1" w:line="278" w:lineRule="auto"/>
        <w:rPr>
          <w:kern w:val="2"/>
          <w:sz w:val="24"/>
          <w:szCs w:val="24"/>
          <w:lang w:eastAsia="de-DE"/>
          <w14:ligatures w14:val="standardContextual"/>
        </w:rPr>
      </w:pPr>
      <w:r>
        <w:rPr>
          <w:b/>
          <w:bCs/>
          <w:sz w:val="24"/>
          <w:szCs w:val="24"/>
        </w:rPr>
        <w:t>Web applications spoke</w:t>
      </w:r>
      <w:r>
        <w:rPr>
          <w:sz w:val="24"/>
          <w:szCs w:val="24"/>
        </w:rPr>
        <w:t xml:space="preserve"> (general web workloads)</w:t>
      </w:r>
    </w:p>
    <w:p w14:paraId="511EE881" w14:textId="77777777" w:rsidR="00DD640E" w:rsidRDefault="00DD640E">
      <w:pPr>
        <w:numPr>
          <w:ilvl w:val="0"/>
          <w:numId w:val="11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Citrix spoke</w:t>
      </w:r>
      <w:r>
        <w:rPr>
          <w:sz w:val="24"/>
          <w:szCs w:val="24"/>
        </w:rPr>
        <w:t xml:space="preserve"> (VDAs and supporting services)</w:t>
      </w:r>
    </w:p>
    <w:p w14:paraId="29CA74E8" w14:textId="77777777" w:rsidR="00DD640E" w:rsidRDefault="00DD640E">
      <w:pPr>
        <w:numPr>
          <w:ilvl w:val="0"/>
          <w:numId w:val="11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Restricted/untrusted spoke</w:t>
      </w:r>
      <w:r>
        <w:rPr>
          <w:sz w:val="24"/>
          <w:szCs w:val="24"/>
        </w:rPr>
        <w:t xml:space="preserve"> (only where authentication cannot yet be enforced, with strict isolation)</w:t>
      </w:r>
    </w:p>
    <w:p w14:paraId="56F3AC2A" w14:textId="77777777" w:rsidR="00DD640E" w:rsidRDefault="00DD640E">
      <w:pPr>
        <w:numPr>
          <w:ilvl w:val="0"/>
          <w:numId w:val="11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Mobile backend spoke</w:t>
      </w:r>
      <w:r>
        <w:rPr>
          <w:sz w:val="24"/>
          <w:szCs w:val="24"/>
        </w:rPr>
        <w:t xml:space="preserve"> (mobile API/services)</w:t>
      </w:r>
    </w:p>
    <w:p w14:paraId="51AA3C67" w14:textId="77777777" w:rsidR="00DD640E" w:rsidRPr="00DD640E" w:rsidRDefault="00DD640E">
      <w:pPr>
        <w:pStyle w:val="Heading2"/>
        <w:rPr>
          <w:kern w:val="2"/>
          <w:sz w:val="36"/>
          <w:szCs w:val="36"/>
          <w:lang w:val="en-US" w:eastAsia="de-DE"/>
          <w14:ligatures w14:val="standardContextual"/>
        </w:rPr>
      </w:pPr>
      <w:r>
        <w:t>5. Mobile access (if required): Microsoft Tunnel for Intune</w:t>
      </w:r>
    </w:p>
    <w:p w14:paraId="535FF06A" w14:textId="77777777" w:rsidR="00DD640E" w:rsidRPr="00DD640E" w:rsidRDefault="00DD640E">
      <w:pPr>
        <w:rPr>
          <w:rFonts w:eastAsia="Times New Roman"/>
          <w:kern w:val="2"/>
          <w:szCs w:val="20"/>
          <w:lang w:eastAsia="de-DE"/>
          <w14:ligatures w14:val="standardContextual"/>
        </w:rPr>
      </w:pPr>
      <w:r>
        <w:rPr>
          <w:rFonts w:eastAsia="Times New Roman"/>
        </w:rPr>
        <w:t>For managed mobile access to internal resources, use Microsoft Tunnel for Intune integrated with Entra ID (user authentication) and Intune (device compliance). Publish mobile endpoints via Front Door/Application Gateway as appropriate.</w:t>
      </w:r>
    </w:p>
    <w:p w14:paraId="45C80739" w14:textId="77777777" w:rsidR="00DD640E" w:rsidRDefault="00DD640E" w:rsidP="00DD640E"/>
    <w:p w14:paraId="14E78A3D" w14:textId="77777777" w:rsidR="00DD640E" w:rsidRPr="00DD640E" w:rsidRDefault="00DD640E">
      <w:pPr>
        <w:pStyle w:val="Heading2"/>
        <w:rPr>
          <w:kern w:val="2"/>
          <w:sz w:val="36"/>
          <w:szCs w:val="36"/>
          <w:lang w:val="en-US" w:eastAsia="de-DE"/>
          <w14:ligatures w14:val="standardContextual"/>
        </w:rPr>
      </w:pPr>
      <w:r>
        <w:t>6. Certificates and secrets: Azure Key Vault</w:t>
      </w:r>
    </w:p>
    <w:p w14:paraId="5A61DFA3" w14:textId="77777777" w:rsidR="00DD640E" w:rsidRPr="00DD640E" w:rsidRDefault="00DD640E">
      <w:pPr>
        <w:rPr>
          <w:rFonts w:eastAsia="Times New Roman"/>
          <w:kern w:val="2"/>
          <w:szCs w:val="20"/>
          <w:lang w:eastAsia="de-DE"/>
          <w14:ligatures w14:val="standardContextual"/>
        </w:rPr>
      </w:pPr>
      <w:r>
        <w:rPr>
          <w:rFonts w:eastAsia="Times New Roman"/>
        </w:rPr>
        <w:t>Store SSL certificates for Front Door, Application Gateway, and other services in Azure Key Vault to enable centralized lifecycle management and controlled rotation.</w:t>
      </w:r>
    </w:p>
    <w:p w14:paraId="679427BA" w14:textId="77777777" w:rsidR="00DD640E" w:rsidRDefault="00DD640E" w:rsidP="00DD640E"/>
    <w:p w14:paraId="558D811B" w14:textId="77777777" w:rsidR="00DD640E" w:rsidRDefault="00DD640E">
      <w:pPr>
        <w:pStyle w:val="Heading2"/>
        <w:rPr>
          <w:kern w:val="2"/>
          <w:sz w:val="36"/>
          <w:szCs w:val="36"/>
          <w:lang w:val="de-DE" w:eastAsia="de-DE"/>
          <w14:ligatures w14:val="standardContextual"/>
        </w:rPr>
      </w:pPr>
      <w:r>
        <w:t>7. Observability and governance</w:t>
      </w:r>
    </w:p>
    <w:p w14:paraId="0DC0ADCB" w14:textId="77777777" w:rsidR="00DD640E" w:rsidRPr="00DD640E" w:rsidRDefault="00DD640E">
      <w:pPr>
        <w:numPr>
          <w:ilvl w:val="0"/>
          <w:numId w:val="12"/>
        </w:numPr>
        <w:spacing w:before="100" w:beforeAutospacing="1" w:after="100" w:afterAutospacing="1" w:line="278" w:lineRule="auto"/>
        <w:rPr>
          <w:kern w:val="2"/>
          <w:sz w:val="24"/>
          <w:szCs w:val="24"/>
          <w:lang w:eastAsia="de-DE"/>
          <w14:ligatures w14:val="standardContextual"/>
        </w:rPr>
      </w:pPr>
      <w:r>
        <w:rPr>
          <w:b/>
          <w:bCs/>
          <w:sz w:val="24"/>
          <w:szCs w:val="24"/>
        </w:rPr>
        <w:t>Azure Monitor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Log Analytics</w:t>
      </w:r>
      <w:r>
        <w:rPr>
          <w:sz w:val="24"/>
          <w:szCs w:val="24"/>
        </w:rPr>
        <w:t xml:space="preserve"> for centralized logs/metrics/alerts across Front Door, App Gateway, Firewall, and workloads.</w:t>
      </w:r>
    </w:p>
    <w:p w14:paraId="33D7FA6F" w14:textId="77777777" w:rsidR="00DD640E" w:rsidRDefault="00DD640E">
      <w:pPr>
        <w:numPr>
          <w:ilvl w:val="0"/>
          <w:numId w:val="12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Application Insights</w:t>
      </w:r>
      <w:r>
        <w:rPr>
          <w:sz w:val="24"/>
          <w:szCs w:val="24"/>
        </w:rPr>
        <w:t xml:space="preserve"> for application performance monitoring where applicable.</w:t>
      </w:r>
    </w:p>
    <w:p w14:paraId="7FAF408F" w14:textId="77777777" w:rsidR="00DD640E" w:rsidRDefault="00DD640E">
      <w:pPr>
        <w:numPr>
          <w:ilvl w:val="0"/>
          <w:numId w:val="12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Azure Policy</w:t>
      </w:r>
      <w:r>
        <w:rPr>
          <w:sz w:val="24"/>
          <w:szCs w:val="24"/>
        </w:rPr>
        <w:t xml:space="preserve"> to enforce required configurations (tagging, diagnostics, security baselines).</w:t>
      </w:r>
    </w:p>
    <w:p w14:paraId="014CBA68" w14:textId="77777777" w:rsidR="00DD640E" w:rsidRDefault="00DD640E">
      <w:pPr>
        <w:numPr>
          <w:ilvl w:val="0"/>
          <w:numId w:val="12"/>
        </w:numPr>
        <w:spacing w:before="100" w:beforeAutospacing="1" w:after="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Defender for Cloud</w:t>
      </w:r>
      <w:r>
        <w:rPr>
          <w:sz w:val="24"/>
          <w:szCs w:val="24"/>
        </w:rPr>
        <w:t xml:space="preserve"> for continuous security posture management and threat protection.</w:t>
      </w:r>
    </w:p>
    <w:p w14:paraId="045E91DB" w14:textId="77777777" w:rsidR="00DD640E" w:rsidRDefault="00DD640E">
      <w:pPr>
        <w:pStyle w:val="Heading1"/>
        <w:numPr>
          <w:ilvl w:val="0"/>
          <w:numId w:val="12"/>
        </w:numPr>
        <w:spacing w:beforeAutospacing="1" w:after="0" w:afterAutospacing="1"/>
        <w:rPr>
          <w:kern w:val="36"/>
          <w:szCs w:val="48"/>
          <w:lang w:val="de-DE" w:eastAsia="de-DE"/>
          <w14:ligatures w14:val="standardContextual"/>
        </w:rPr>
      </w:pPr>
      <w:r>
        <w:lastRenderedPageBreak/>
        <w:t>Migration approach (recommended)</w:t>
      </w:r>
    </w:p>
    <w:p w14:paraId="275CE52A" w14:textId="77777777" w:rsidR="00DD640E" w:rsidRPr="00DD640E" w:rsidRDefault="00DD640E">
      <w:pPr>
        <w:numPr>
          <w:ilvl w:val="0"/>
          <w:numId w:val="13"/>
        </w:numPr>
        <w:spacing w:beforeAutospacing="1" w:after="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Discovery &amp; inventory</w:t>
      </w:r>
      <w:r>
        <w:rPr>
          <w:sz w:val="24"/>
          <w:szCs w:val="24"/>
        </w:rPr>
        <w:t>: capture all applications, domains/URLs, certificates, rewrite/responder rules, backend pools, health probes, authentication methods, and customer connectivity dependencies.</w:t>
      </w:r>
    </w:p>
    <w:p w14:paraId="6FBE8B15" w14:textId="77777777" w:rsidR="00DD640E" w:rsidRDefault="00DD640E">
      <w:pPr>
        <w:numPr>
          <w:ilvl w:val="0"/>
          <w:numId w:val="13"/>
        </w:numPr>
        <w:spacing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Identity standardization plan</w:t>
      </w:r>
      <w:r>
        <w:rPr>
          <w:sz w:val="24"/>
          <w:szCs w:val="24"/>
        </w:rPr>
        <w:t>: agree target identity model (Entra ID), map each application to SAML/OIDC/Proxy/Modernization, and define the exception process and timeline for legacy items.</w:t>
      </w:r>
    </w:p>
    <w:p w14:paraId="7BEAA1FB" w14:textId="77777777" w:rsidR="00DD640E" w:rsidRDefault="00DD640E">
      <w:pPr>
        <w:numPr>
          <w:ilvl w:val="0"/>
          <w:numId w:val="13"/>
        </w:numPr>
        <w:spacing w:before="100" w:beforeAutospacing="1" w:after="100" w:afterAutospacing="1" w:line="278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PoCs</w:t>
      </w:r>
      <w:proofErr w:type="spellEnd"/>
      <w:r>
        <w:rPr>
          <w:b/>
          <w:bCs/>
          <w:sz w:val="24"/>
          <w:szCs w:val="24"/>
        </w:rPr>
        <w:t xml:space="preserve"> for high-risk items</w:t>
      </w:r>
      <w:r>
        <w:rPr>
          <w:sz w:val="24"/>
          <w:szCs w:val="24"/>
        </w:rPr>
        <w:t>: validate (a) complex rewrite rules, (b) Citrix + Entra ID Conditional Access, and (c) any customer identity integration requirements.</w:t>
      </w:r>
    </w:p>
    <w:p w14:paraId="7355160A" w14:textId="77777777" w:rsidR="00DD640E" w:rsidRDefault="00DD640E">
      <w:pPr>
        <w:numPr>
          <w:ilvl w:val="0"/>
          <w:numId w:val="13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Landing </w:t>
      </w:r>
      <w:proofErr w:type="gramStart"/>
      <w:r>
        <w:rPr>
          <w:b/>
          <w:bCs/>
          <w:sz w:val="24"/>
          <w:szCs w:val="24"/>
        </w:rPr>
        <w:t>zone</w:t>
      </w:r>
      <w:proofErr w:type="gram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build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deploy hub-and-spoke networking, Firewall, Key Vault, logging, and baseline policies; deploy shared Front Door/App Gateway patterns.</w:t>
      </w:r>
    </w:p>
    <w:p w14:paraId="223B6137" w14:textId="77777777" w:rsidR="00DD640E" w:rsidRDefault="00DD640E">
      <w:pPr>
        <w:numPr>
          <w:ilvl w:val="0"/>
          <w:numId w:val="13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Phased cutover</w:t>
      </w:r>
      <w:r>
        <w:rPr>
          <w:sz w:val="24"/>
          <w:szCs w:val="24"/>
        </w:rPr>
        <w:t>: migrate applications in waves (by criticality and dependency), with parallel run and rollback plans.</w:t>
      </w:r>
    </w:p>
    <w:p w14:paraId="5B0D3DE4" w14:textId="77777777" w:rsidR="00DD640E" w:rsidRDefault="00DD640E">
      <w:pPr>
        <w:numPr>
          <w:ilvl w:val="0"/>
          <w:numId w:val="13"/>
        </w:numPr>
        <w:spacing w:before="100" w:beforeAutospacing="1" w:after="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Operationalization</w:t>
      </w:r>
      <w:r>
        <w:rPr>
          <w:sz w:val="24"/>
          <w:szCs w:val="24"/>
        </w:rPr>
        <w:t>: finalize monitoring/alerting, runbooks, cost governance, and handover to operations/support.</w:t>
      </w:r>
    </w:p>
    <w:p w14:paraId="74A0CCE4" w14:textId="77777777" w:rsidR="00DD640E" w:rsidRPr="00DD640E" w:rsidRDefault="00DD640E">
      <w:pPr>
        <w:pStyle w:val="Heading1"/>
        <w:numPr>
          <w:ilvl w:val="0"/>
          <w:numId w:val="13"/>
        </w:numPr>
        <w:spacing w:beforeAutospacing="1" w:after="0" w:afterAutospacing="1"/>
        <w:rPr>
          <w:kern w:val="36"/>
          <w:szCs w:val="48"/>
          <w:lang w:val="en-US" w:eastAsia="de-DE"/>
          <w14:ligatures w14:val="standardContextual"/>
        </w:rPr>
      </w:pPr>
      <w:r>
        <w:lastRenderedPageBreak/>
        <w:t>Key risks, assumptions, and open items</w:t>
      </w:r>
    </w:p>
    <w:p w14:paraId="36C26995" w14:textId="77777777" w:rsidR="00DD640E" w:rsidRPr="00DD640E" w:rsidRDefault="00DD640E">
      <w:pPr>
        <w:numPr>
          <w:ilvl w:val="0"/>
          <w:numId w:val="14"/>
        </w:numPr>
        <w:spacing w:beforeAutospacing="1" w:after="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Rewrite/routing parity</w:t>
      </w:r>
      <w:r>
        <w:rPr>
          <w:sz w:val="24"/>
          <w:szCs w:val="24"/>
        </w:rPr>
        <w:t>: complex NetScaler rules must be fully discovered and tested; gaps may require application changes.</w:t>
      </w:r>
    </w:p>
    <w:p w14:paraId="48357AD9" w14:textId="77777777" w:rsidR="00DD640E" w:rsidRDefault="00DD640E">
      <w:pPr>
        <w:numPr>
          <w:ilvl w:val="0"/>
          <w:numId w:val="14"/>
        </w:numPr>
        <w:spacing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Legacy authentication</w:t>
      </w:r>
      <w:r>
        <w:rPr>
          <w:sz w:val="24"/>
          <w:szCs w:val="24"/>
        </w:rPr>
        <w:t>: some applications may not support modern auth; an agreed exception and remediation plan is required to avoid long-term security debt.</w:t>
      </w:r>
    </w:p>
    <w:p w14:paraId="46B6B671" w14:textId="77777777" w:rsidR="00DD640E" w:rsidRDefault="00DD640E">
      <w:pPr>
        <w:numPr>
          <w:ilvl w:val="0"/>
          <w:numId w:val="14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Customer integration</w:t>
      </w:r>
      <w:r>
        <w:rPr>
          <w:sz w:val="24"/>
          <w:szCs w:val="24"/>
        </w:rPr>
        <w:t>: customer identity and network constraints (e.g., LDAP connectivity) may drive additional controls and connectivity requirements.</w:t>
      </w:r>
    </w:p>
    <w:p w14:paraId="6A81EC95" w14:textId="77777777" w:rsidR="00DD640E" w:rsidRDefault="00DD640E">
      <w:pPr>
        <w:numPr>
          <w:ilvl w:val="0"/>
          <w:numId w:val="14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Service selection</w:t>
      </w:r>
      <w:r>
        <w:rPr>
          <w:sz w:val="24"/>
          <w:szCs w:val="24"/>
        </w:rPr>
        <w:t xml:space="preserve">: final decision between Front Door vs. App Gateway-only patterns per application </w:t>
      </w:r>
      <w:proofErr w:type="gramStart"/>
      <w:r>
        <w:rPr>
          <w:sz w:val="24"/>
          <w:szCs w:val="24"/>
        </w:rPr>
        <w:t>depends</w:t>
      </w:r>
      <w:proofErr w:type="gramEnd"/>
      <w:r>
        <w:rPr>
          <w:sz w:val="24"/>
          <w:szCs w:val="24"/>
        </w:rPr>
        <w:t xml:space="preserve"> on exposure model (internet vs. private), performance needs, and rewrite feature fit.</w:t>
      </w:r>
    </w:p>
    <w:p w14:paraId="155E00AD" w14:textId="77777777" w:rsidR="00DD640E" w:rsidRDefault="00DD640E">
      <w:pPr>
        <w:numPr>
          <w:ilvl w:val="0"/>
          <w:numId w:val="14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Non-functional requirements</w:t>
      </w:r>
      <w:r>
        <w:rPr>
          <w:sz w:val="24"/>
          <w:szCs w:val="24"/>
        </w:rPr>
        <w:t>: confirm SLA targets, RTO/RPO, logging retention, and data residency requirements.</w:t>
      </w:r>
    </w:p>
    <w:p w14:paraId="10607B78" w14:textId="77777777" w:rsidR="00DD640E" w:rsidRDefault="00DD640E" w:rsidP="00DD640E"/>
    <w:p w14:paraId="5F59E33A" w14:textId="77777777" w:rsidR="00DD640E" w:rsidRDefault="00DD640E" w:rsidP="00DD640E"/>
    <w:p w14:paraId="2914B0B2" w14:textId="77777777" w:rsidR="00DD640E" w:rsidRDefault="00DD640E">
      <w:pPr>
        <w:pStyle w:val="Heading1"/>
        <w:rPr>
          <w:kern w:val="36"/>
          <w:szCs w:val="48"/>
          <w:lang w:val="de-DE" w:eastAsia="de-DE"/>
          <w14:ligatures w14:val="standardContextual"/>
        </w:rPr>
      </w:pPr>
      <w:r>
        <w:lastRenderedPageBreak/>
        <w:t>Benefits of the proposed approach</w:t>
      </w:r>
    </w:p>
    <w:p w14:paraId="1A2B922B" w14:textId="77777777" w:rsidR="00DD640E" w:rsidRPr="00DD640E" w:rsidRDefault="00DD640E">
      <w:pPr>
        <w:numPr>
          <w:ilvl w:val="0"/>
          <w:numId w:val="15"/>
        </w:numPr>
        <w:spacing w:before="100" w:beforeAutospacing="1" w:after="100" w:afterAutospacing="1" w:line="278" w:lineRule="auto"/>
        <w:rPr>
          <w:kern w:val="2"/>
          <w:sz w:val="24"/>
          <w:szCs w:val="24"/>
          <w:lang w:eastAsia="de-DE"/>
          <w14:ligatures w14:val="standardContextual"/>
        </w:rPr>
      </w:pPr>
      <w:r>
        <w:rPr>
          <w:b/>
          <w:bCs/>
          <w:sz w:val="24"/>
          <w:szCs w:val="24"/>
        </w:rPr>
        <w:t>Security</w:t>
      </w:r>
      <w:r>
        <w:rPr>
          <w:sz w:val="24"/>
          <w:szCs w:val="24"/>
        </w:rPr>
        <w:t>: centralized identity (SSO + MFA + Conditional Access) and layered WAF/network controls aligned to Zero Trust principles.</w:t>
      </w:r>
    </w:p>
    <w:p w14:paraId="149328BB" w14:textId="77777777" w:rsidR="00DD640E" w:rsidRDefault="00DD640E">
      <w:pPr>
        <w:numPr>
          <w:ilvl w:val="0"/>
          <w:numId w:val="15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Performance and availability</w:t>
      </w:r>
      <w:r>
        <w:rPr>
          <w:sz w:val="24"/>
          <w:szCs w:val="24"/>
        </w:rPr>
        <w:t>: global edge entry and resilient regional backends reduce latency and improve continuity options.</w:t>
      </w:r>
    </w:p>
    <w:p w14:paraId="6C8E4EBF" w14:textId="77777777" w:rsidR="00DD640E" w:rsidRDefault="00DD640E">
      <w:pPr>
        <w:numPr>
          <w:ilvl w:val="0"/>
          <w:numId w:val="15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Scalability</w:t>
      </w:r>
      <w:r>
        <w:rPr>
          <w:sz w:val="24"/>
          <w:szCs w:val="24"/>
        </w:rPr>
        <w:t>: managed services with autoscaling reduce manual capacity management.</w:t>
      </w:r>
    </w:p>
    <w:p w14:paraId="2A6FD3CC" w14:textId="77777777" w:rsidR="00DD640E" w:rsidRDefault="00DD640E">
      <w:pPr>
        <w:numPr>
          <w:ilvl w:val="0"/>
          <w:numId w:val="15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Cost control</w:t>
      </w:r>
      <w:r>
        <w:rPr>
          <w:sz w:val="24"/>
          <w:szCs w:val="24"/>
        </w:rPr>
        <w:t>: consumption-based services, consolidation opportunities, and cost governance tooling improve TCO transparency.</w:t>
      </w:r>
    </w:p>
    <w:p w14:paraId="1F1D0DDB" w14:textId="77777777" w:rsidR="00DD640E" w:rsidRDefault="00DD640E">
      <w:pPr>
        <w:numPr>
          <w:ilvl w:val="0"/>
          <w:numId w:val="15"/>
        </w:numPr>
        <w:spacing w:before="100" w:beforeAutospacing="1" w:after="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Operations</w:t>
      </w:r>
      <w:r>
        <w:rPr>
          <w:sz w:val="24"/>
          <w:szCs w:val="24"/>
        </w:rPr>
        <w:t>: unified monitoring and policy-driven governance simplify day-2 operations.</w:t>
      </w:r>
    </w:p>
    <w:p w14:paraId="40E0ED12" w14:textId="77777777" w:rsidR="00DD640E" w:rsidRPr="00DD640E" w:rsidRDefault="00DD640E" w:rsidP="00D86B40">
      <w:pPr>
        <w:pStyle w:val="Heading1"/>
        <w:numPr>
          <w:ilvl w:val="0"/>
          <w:numId w:val="0"/>
        </w:numPr>
        <w:spacing w:beforeAutospacing="1" w:after="0" w:afterAutospacing="1" w:line="278" w:lineRule="auto"/>
        <w:rPr>
          <w:rFonts w:asciiTheme="minorHAnsi" w:hAnsiTheme="minorHAnsi"/>
          <w:color w:val="auto"/>
          <w:sz w:val="24"/>
          <w:szCs w:val="24"/>
          <w:lang w:val="en-US"/>
        </w:rPr>
      </w:pPr>
      <w:r>
        <w:lastRenderedPageBreak/>
        <w:t>Next actions</w:t>
      </w:r>
    </w:p>
    <w:p w14:paraId="72750C32" w14:textId="77777777" w:rsidR="00DD640E" w:rsidRPr="00DD640E" w:rsidRDefault="00DD640E">
      <w:pPr>
        <w:numPr>
          <w:ilvl w:val="0"/>
          <w:numId w:val="15"/>
        </w:numPr>
        <w:spacing w:beforeAutospacing="1" w:after="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Confirm scope and application inventory (Fresenius + delivery team)</w:t>
      </w:r>
      <w:r>
        <w:rPr>
          <w:sz w:val="24"/>
          <w:szCs w:val="24"/>
        </w:rPr>
        <w:t xml:space="preserve">: </w:t>
      </w:r>
      <w:proofErr w:type="gramStart"/>
      <w:r>
        <w:rPr>
          <w:sz w:val="24"/>
          <w:szCs w:val="24"/>
        </w:rPr>
        <w:t>agree</w:t>
      </w:r>
      <w:proofErr w:type="gramEnd"/>
      <w:r>
        <w:rPr>
          <w:sz w:val="24"/>
          <w:szCs w:val="24"/>
        </w:rPr>
        <w:t xml:space="preserve"> the list of applications, domains, environments (prod/non-prod), and whether each is internet-facing or internal-only.</w:t>
      </w:r>
    </w:p>
    <w:p w14:paraId="0F61DE44" w14:textId="77777777" w:rsidR="00DD640E" w:rsidRDefault="00DD640E">
      <w:pPr>
        <w:numPr>
          <w:ilvl w:val="0"/>
          <w:numId w:val="16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Identity target decision (Fresenius security/identity)</w:t>
      </w:r>
      <w:r>
        <w:rPr>
          <w:sz w:val="24"/>
          <w:szCs w:val="24"/>
        </w:rPr>
        <w:t>: confirm Entra ID as the primary identity provider; define required MFA/Conditional Access policies and the exception process for legacy applications.</w:t>
      </w:r>
    </w:p>
    <w:p w14:paraId="3898932C" w14:textId="77777777" w:rsidR="00DD640E" w:rsidRDefault="00DD640E">
      <w:pPr>
        <w:numPr>
          <w:ilvl w:val="0"/>
          <w:numId w:val="16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NetScaler configuration export and rules inventory (network/app team)</w:t>
      </w:r>
      <w:r>
        <w:rPr>
          <w:sz w:val="24"/>
          <w:szCs w:val="24"/>
        </w:rPr>
        <w:t>: export current NetScaler config and produce a catalog of VIPs, certificates, WAF policies, and rewrite/responder rules with application owners.</w:t>
      </w:r>
    </w:p>
    <w:p w14:paraId="5052C8DD" w14:textId="77777777" w:rsidR="00DD640E" w:rsidRDefault="00DD640E">
      <w:pPr>
        <w:numPr>
          <w:ilvl w:val="0"/>
          <w:numId w:val="16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Architecture </w:t>
      </w:r>
      <w:proofErr w:type="spellStart"/>
      <w:r>
        <w:rPr>
          <w:b/>
          <w:bCs/>
          <w:sz w:val="24"/>
          <w:szCs w:val="24"/>
        </w:rPr>
        <w:t>PoCs</w:t>
      </w:r>
      <w:proofErr w:type="spellEnd"/>
      <w:r>
        <w:rPr>
          <w:b/>
          <w:bCs/>
          <w:sz w:val="24"/>
          <w:szCs w:val="24"/>
        </w:rPr>
        <w:t xml:space="preserve"> (joint)</w:t>
      </w:r>
      <w:r>
        <w:rPr>
          <w:sz w:val="24"/>
          <w:szCs w:val="24"/>
        </w:rPr>
        <w:t xml:space="preserve">: run </w:t>
      </w:r>
      <w:proofErr w:type="spellStart"/>
      <w:r>
        <w:rPr>
          <w:sz w:val="24"/>
          <w:szCs w:val="24"/>
        </w:rPr>
        <w:t>PoCs</w:t>
      </w:r>
      <w:proofErr w:type="spellEnd"/>
      <w:r>
        <w:rPr>
          <w:sz w:val="24"/>
          <w:szCs w:val="24"/>
        </w:rPr>
        <w:t xml:space="preserve"> for (a) complex rewrite/routing patterns, (b) WAF policy migration/false-positive tuning, and (c) Citrix + Entra ID Conditional Access/FAS (if applicable).</w:t>
      </w:r>
    </w:p>
    <w:p w14:paraId="12F0A3E0" w14:textId="77777777" w:rsidR="00DD640E" w:rsidRDefault="00DD640E">
      <w:pPr>
        <w:numPr>
          <w:ilvl w:val="0"/>
          <w:numId w:val="16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Landing zone readiness (platform team)</w:t>
      </w:r>
      <w:r>
        <w:rPr>
          <w:sz w:val="24"/>
          <w:szCs w:val="24"/>
        </w:rPr>
        <w:t>: validate hub-and-spoke, Firewall policies, private DNS, logging/monitoring, and Key Vault standards needed for Front Door/Application Gateway rollout.</w:t>
      </w:r>
    </w:p>
    <w:p w14:paraId="34CB76D5" w14:textId="77777777" w:rsidR="00DD640E" w:rsidRDefault="00DD640E">
      <w:pPr>
        <w:numPr>
          <w:ilvl w:val="0"/>
          <w:numId w:val="16"/>
        </w:numPr>
        <w:spacing w:before="100" w:beforeAutospacing="1" w:after="100" w:afterAutospacing="1" w:line="278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Migration plan and wave schedule (project team)</w:t>
      </w:r>
      <w:r>
        <w:rPr>
          <w:sz w:val="24"/>
          <w:szCs w:val="24"/>
        </w:rPr>
        <w:t>: define migration waves, cutover method (blue/green where possible), rollback criteria, and change windows; produce a customer-facing communication plan.</w:t>
      </w:r>
    </w:p>
    <w:p w14:paraId="0CED5265" w14:textId="77777777" w:rsidR="00DD640E" w:rsidRDefault="00DD640E"/>
    <w:sectPr w:rsidR="00DD640E" w:rsidSect="00E831F6">
      <w:pgSz w:w="11909" w:h="16834" w:code="9"/>
      <w:pgMar w:top="1134" w:right="851" w:bottom="1043" w:left="851" w:header="720" w:footer="102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EA693" w14:textId="77777777" w:rsidR="009F48C3" w:rsidRDefault="009F48C3" w:rsidP="00E720AA">
      <w:r>
        <w:separator/>
      </w:r>
    </w:p>
  </w:endnote>
  <w:endnote w:type="continuationSeparator" w:id="0">
    <w:p w14:paraId="4C2BF330" w14:textId="77777777" w:rsidR="009F48C3" w:rsidRDefault="009F48C3" w:rsidP="00E72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Ubuntu Medium">
    <w:panose1 w:val="020B0604030602030204"/>
    <w:charset w:val="00"/>
    <w:family w:val="swiss"/>
    <w:pitch w:val="variable"/>
    <w:sig w:usb0="E00002FF" w:usb1="50002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1664B" w14:textId="77777777" w:rsidR="009F48C3" w:rsidRDefault="009F48C3" w:rsidP="00E720AA">
      <w:r>
        <w:separator/>
      </w:r>
    </w:p>
  </w:footnote>
  <w:footnote w:type="continuationSeparator" w:id="0">
    <w:p w14:paraId="4FCC367F" w14:textId="77777777" w:rsidR="009F48C3" w:rsidRDefault="009F48C3" w:rsidP="00E720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2A2"/>
    <w:multiLevelType w:val="multilevel"/>
    <w:tmpl w:val="F234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341"/>
    <w:multiLevelType w:val="hybridMultilevel"/>
    <w:tmpl w:val="31225322"/>
    <w:lvl w:ilvl="0" w:tplc="CDD02DA2">
      <w:start w:val="1"/>
      <w:numFmt w:val="decimal"/>
      <w:pStyle w:val="Numbering1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61777"/>
    <w:multiLevelType w:val="hybridMultilevel"/>
    <w:tmpl w:val="C8D63794"/>
    <w:lvl w:ilvl="0" w:tplc="7FB844EC">
      <w:start w:val="1"/>
      <w:numFmt w:val="bullet"/>
      <w:pStyle w:val="Bullet2"/>
      <w:lvlText w:val="•"/>
      <w:lvlJc w:val="left"/>
      <w:pPr>
        <w:ind w:left="720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765C1"/>
    <w:multiLevelType w:val="multilevel"/>
    <w:tmpl w:val="F2D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E0D75"/>
    <w:multiLevelType w:val="hybridMultilevel"/>
    <w:tmpl w:val="FEC20F6A"/>
    <w:lvl w:ilvl="0" w:tplc="913AC20A">
      <w:start w:val="1"/>
      <w:numFmt w:val="bullet"/>
      <w:pStyle w:val="Bullet1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i w:val="0"/>
        <w:color w:val="12ABDB" w:themeColor="accen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D072F"/>
    <w:multiLevelType w:val="multilevel"/>
    <w:tmpl w:val="8884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27BD7"/>
    <w:multiLevelType w:val="hybridMultilevel"/>
    <w:tmpl w:val="A69AFA5C"/>
    <w:lvl w:ilvl="0" w:tplc="22EAB7AC">
      <w:start w:val="1"/>
      <w:numFmt w:val="lowerLetter"/>
      <w:pStyle w:val="Numbering3"/>
      <w:lvlText w:val="%1."/>
      <w:lvlJc w:val="left"/>
      <w:pPr>
        <w:ind w:left="99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036200"/>
    <w:multiLevelType w:val="multilevel"/>
    <w:tmpl w:val="B7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30543"/>
    <w:multiLevelType w:val="hybridMultilevel"/>
    <w:tmpl w:val="0B1ECBC0"/>
    <w:lvl w:ilvl="0" w:tplc="0C0682B8">
      <w:start w:val="1"/>
      <w:numFmt w:val="bullet"/>
      <w:pStyle w:val="Bullet3"/>
      <w:lvlText w:val="–"/>
      <w:lvlJc w:val="left"/>
      <w:pPr>
        <w:ind w:left="1080" w:hanging="360"/>
      </w:pPr>
      <w:rPr>
        <w:rFonts w:ascii="Arial" w:hAnsi="Arial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581A1456"/>
    <w:multiLevelType w:val="multilevel"/>
    <w:tmpl w:val="D920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D2275"/>
    <w:multiLevelType w:val="multilevel"/>
    <w:tmpl w:val="4098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6F4939"/>
    <w:multiLevelType w:val="hybridMultilevel"/>
    <w:tmpl w:val="EF564BD0"/>
    <w:lvl w:ilvl="0" w:tplc="EFFA12EC">
      <w:start w:val="1"/>
      <w:numFmt w:val="lowerRoman"/>
      <w:pStyle w:val="Numbering2"/>
      <w:lvlText w:val="%1."/>
      <w:lvlJc w:val="right"/>
      <w:pPr>
        <w:ind w:left="72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DD53F5"/>
    <w:multiLevelType w:val="multilevel"/>
    <w:tmpl w:val="28DA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1E364A"/>
    <w:multiLevelType w:val="multilevel"/>
    <w:tmpl w:val="E17A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151D8"/>
    <w:multiLevelType w:val="multilevel"/>
    <w:tmpl w:val="C7A24BD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1247" w:hanging="124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871"/>
        </w:tabs>
        <w:ind w:left="1871" w:hanging="187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9B6163A"/>
    <w:multiLevelType w:val="multilevel"/>
    <w:tmpl w:val="E088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151506">
    <w:abstractNumId w:val="11"/>
  </w:num>
  <w:num w:numId="2" w16cid:durableId="1876311047">
    <w:abstractNumId w:val="2"/>
  </w:num>
  <w:num w:numId="3" w16cid:durableId="1720595660">
    <w:abstractNumId w:val="4"/>
  </w:num>
  <w:num w:numId="4" w16cid:durableId="942884006">
    <w:abstractNumId w:val="8"/>
  </w:num>
  <w:num w:numId="5" w16cid:durableId="1497963069">
    <w:abstractNumId w:val="1"/>
  </w:num>
  <w:num w:numId="6" w16cid:durableId="441069832">
    <w:abstractNumId w:val="6"/>
  </w:num>
  <w:num w:numId="7" w16cid:durableId="545605117">
    <w:abstractNumId w:val="14"/>
  </w:num>
  <w:num w:numId="8" w16cid:durableId="1256936356">
    <w:abstractNumId w:val="9"/>
  </w:num>
  <w:num w:numId="9" w16cid:durableId="2087066709">
    <w:abstractNumId w:val="3"/>
  </w:num>
  <w:num w:numId="10" w16cid:durableId="1280987309">
    <w:abstractNumId w:val="0"/>
  </w:num>
  <w:num w:numId="11" w16cid:durableId="956839443">
    <w:abstractNumId w:val="7"/>
  </w:num>
  <w:num w:numId="12" w16cid:durableId="580724426">
    <w:abstractNumId w:val="13"/>
  </w:num>
  <w:num w:numId="13" w16cid:durableId="1254359387">
    <w:abstractNumId w:val="12"/>
  </w:num>
  <w:num w:numId="14" w16cid:durableId="1759592283">
    <w:abstractNumId w:val="15"/>
  </w:num>
  <w:num w:numId="15" w16cid:durableId="962806304">
    <w:abstractNumId w:val="5"/>
  </w:num>
  <w:num w:numId="16" w16cid:durableId="529345770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0E"/>
    <w:rsid w:val="000020DF"/>
    <w:rsid w:val="00003792"/>
    <w:rsid w:val="0001045C"/>
    <w:rsid w:val="00012219"/>
    <w:rsid w:val="00017244"/>
    <w:rsid w:val="00032D8D"/>
    <w:rsid w:val="00035159"/>
    <w:rsid w:val="00045785"/>
    <w:rsid w:val="00045C38"/>
    <w:rsid w:val="00050738"/>
    <w:rsid w:val="0005229F"/>
    <w:rsid w:val="0005253D"/>
    <w:rsid w:val="00055870"/>
    <w:rsid w:val="00060C94"/>
    <w:rsid w:val="0006550B"/>
    <w:rsid w:val="00067996"/>
    <w:rsid w:val="00071189"/>
    <w:rsid w:val="00072003"/>
    <w:rsid w:val="00073B48"/>
    <w:rsid w:val="00073F32"/>
    <w:rsid w:val="00074237"/>
    <w:rsid w:val="000842CC"/>
    <w:rsid w:val="00085BD6"/>
    <w:rsid w:val="0009306F"/>
    <w:rsid w:val="00097B51"/>
    <w:rsid w:val="000A03F7"/>
    <w:rsid w:val="000A7827"/>
    <w:rsid w:val="000B4FCB"/>
    <w:rsid w:val="000B6336"/>
    <w:rsid w:val="000C09AE"/>
    <w:rsid w:val="000C1BB9"/>
    <w:rsid w:val="000C299C"/>
    <w:rsid w:val="000C3F35"/>
    <w:rsid w:val="000C64AD"/>
    <w:rsid w:val="000C6B2B"/>
    <w:rsid w:val="000C6DA8"/>
    <w:rsid w:val="000C74B3"/>
    <w:rsid w:val="000D1003"/>
    <w:rsid w:val="000D7502"/>
    <w:rsid w:val="000D7A0D"/>
    <w:rsid w:val="000E003F"/>
    <w:rsid w:val="000E4C3F"/>
    <w:rsid w:val="000F0EF1"/>
    <w:rsid w:val="000F369A"/>
    <w:rsid w:val="000F3823"/>
    <w:rsid w:val="000F785B"/>
    <w:rsid w:val="00101DFC"/>
    <w:rsid w:val="00104197"/>
    <w:rsid w:val="0011295B"/>
    <w:rsid w:val="00114BA3"/>
    <w:rsid w:val="001233CE"/>
    <w:rsid w:val="0013254C"/>
    <w:rsid w:val="00132F93"/>
    <w:rsid w:val="00135842"/>
    <w:rsid w:val="001429F0"/>
    <w:rsid w:val="00145482"/>
    <w:rsid w:val="00150A36"/>
    <w:rsid w:val="00150AA3"/>
    <w:rsid w:val="0015367C"/>
    <w:rsid w:val="0015516F"/>
    <w:rsid w:val="001554E0"/>
    <w:rsid w:val="00156428"/>
    <w:rsid w:val="00161EB3"/>
    <w:rsid w:val="001621D0"/>
    <w:rsid w:val="0017057C"/>
    <w:rsid w:val="001829D2"/>
    <w:rsid w:val="0019178B"/>
    <w:rsid w:val="001924C2"/>
    <w:rsid w:val="00193631"/>
    <w:rsid w:val="00193AC0"/>
    <w:rsid w:val="00193CD9"/>
    <w:rsid w:val="00194D09"/>
    <w:rsid w:val="00195DF1"/>
    <w:rsid w:val="00196143"/>
    <w:rsid w:val="001A6A17"/>
    <w:rsid w:val="001B0A2A"/>
    <w:rsid w:val="001B52A0"/>
    <w:rsid w:val="001B5C01"/>
    <w:rsid w:val="001B672E"/>
    <w:rsid w:val="001C2277"/>
    <w:rsid w:val="001C2C09"/>
    <w:rsid w:val="001C43CA"/>
    <w:rsid w:val="001D14DC"/>
    <w:rsid w:val="001D452F"/>
    <w:rsid w:val="001E6D32"/>
    <w:rsid w:val="001E7E7C"/>
    <w:rsid w:val="001F530B"/>
    <w:rsid w:val="001F73D7"/>
    <w:rsid w:val="00201CDD"/>
    <w:rsid w:val="00202E27"/>
    <w:rsid w:val="0020443F"/>
    <w:rsid w:val="0021070C"/>
    <w:rsid w:val="002121E5"/>
    <w:rsid w:val="00212EF2"/>
    <w:rsid w:val="00213447"/>
    <w:rsid w:val="00220D13"/>
    <w:rsid w:val="00235092"/>
    <w:rsid w:val="002406C1"/>
    <w:rsid w:val="002424BC"/>
    <w:rsid w:val="002426D4"/>
    <w:rsid w:val="00244551"/>
    <w:rsid w:val="0025523F"/>
    <w:rsid w:val="00255537"/>
    <w:rsid w:val="002573EB"/>
    <w:rsid w:val="00265C7B"/>
    <w:rsid w:val="00265C9E"/>
    <w:rsid w:val="0027139C"/>
    <w:rsid w:val="00280A95"/>
    <w:rsid w:val="00281E25"/>
    <w:rsid w:val="00292562"/>
    <w:rsid w:val="002940D6"/>
    <w:rsid w:val="00296319"/>
    <w:rsid w:val="00296F29"/>
    <w:rsid w:val="002A0155"/>
    <w:rsid w:val="002B6A17"/>
    <w:rsid w:val="002C0C00"/>
    <w:rsid w:val="002C3364"/>
    <w:rsid w:val="002D52A8"/>
    <w:rsid w:val="002E1FD3"/>
    <w:rsid w:val="002E24D0"/>
    <w:rsid w:val="002E4A4A"/>
    <w:rsid w:val="002F080E"/>
    <w:rsid w:val="002F225F"/>
    <w:rsid w:val="002F58FD"/>
    <w:rsid w:val="002F617D"/>
    <w:rsid w:val="0030100A"/>
    <w:rsid w:val="003014F1"/>
    <w:rsid w:val="00302489"/>
    <w:rsid w:val="00302CFD"/>
    <w:rsid w:val="0030408A"/>
    <w:rsid w:val="0031243D"/>
    <w:rsid w:val="0031370C"/>
    <w:rsid w:val="00321F2C"/>
    <w:rsid w:val="003354DC"/>
    <w:rsid w:val="00341798"/>
    <w:rsid w:val="00346337"/>
    <w:rsid w:val="00375C02"/>
    <w:rsid w:val="00384E78"/>
    <w:rsid w:val="00385331"/>
    <w:rsid w:val="00386CFA"/>
    <w:rsid w:val="003926E0"/>
    <w:rsid w:val="003A3CDD"/>
    <w:rsid w:val="003A6488"/>
    <w:rsid w:val="003A6D45"/>
    <w:rsid w:val="003A729C"/>
    <w:rsid w:val="003B3546"/>
    <w:rsid w:val="003C2443"/>
    <w:rsid w:val="003C4339"/>
    <w:rsid w:val="003C6E17"/>
    <w:rsid w:val="003C6FB9"/>
    <w:rsid w:val="003D42E7"/>
    <w:rsid w:val="003E1305"/>
    <w:rsid w:val="003E3C71"/>
    <w:rsid w:val="003E5991"/>
    <w:rsid w:val="003F2560"/>
    <w:rsid w:val="003F3027"/>
    <w:rsid w:val="003F728C"/>
    <w:rsid w:val="00400A5F"/>
    <w:rsid w:val="004021F0"/>
    <w:rsid w:val="00407C06"/>
    <w:rsid w:val="00416349"/>
    <w:rsid w:val="00422791"/>
    <w:rsid w:val="0043163A"/>
    <w:rsid w:val="00435873"/>
    <w:rsid w:val="004447B1"/>
    <w:rsid w:val="00445810"/>
    <w:rsid w:val="00454107"/>
    <w:rsid w:val="00454B5D"/>
    <w:rsid w:val="00461BE2"/>
    <w:rsid w:val="00481879"/>
    <w:rsid w:val="00486B51"/>
    <w:rsid w:val="004909DA"/>
    <w:rsid w:val="004924DC"/>
    <w:rsid w:val="0049527F"/>
    <w:rsid w:val="004A3F7F"/>
    <w:rsid w:val="004A56A9"/>
    <w:rsid w:val="004A5EB1"/>
    <w:rsid w:val="004A715B"/>
    <w:rsid w:val="004B06A6"/>
    <w:rsid w:val="004C5914"/>
    <w:rsid w:val="004C6C76"/>
    <w:rsid w:val="004C7AF4"/>
    <w:rsid w:val="004D053B"/>
    <w:rsid w:val="004D105F"/>
    <w:rsid w:val="004D1FFE"/>
    <w:rsid w:val="004E454E"/>
    <w:rsid w:val="004F0A62"/>
    <w:rsid w:val="004F5EC0"/>
    <w:rsid w:val="004F73DB"/>
    <w:rsid w:val="00510ED1"/>
    <w:rsid w:val="005152FD"/>
    <w:rsid w:val="005153F5"/>
    <w:rsid w:val="00525629"/>
    <w:rsid w:val="00533AA7"/>
    <w:rsid w:val="0053533F"/>
    <w:rsid w:val="00536CC4"/>
    <w:rsid w:val="00542D9E"/>
    <w:rsid w:val="00546104"/>
    <w:rsid w:val="005526A3"/>
    <w:rsid w:val="00555C2B"/>
    <w:rsid w:val="00565953"/>
    <w:rsid w:val="0057149D"/>
    <w:rsid w:val="00572D5D"/>
    <w:rsid w:val="005739C3"/>
    <w:rsid w:val="005863C0"/>
    <w:rsid w:val="00587A39"/>
    <w:rsid w:val="00590733"/>
    <w:rsid w:val="005910CD"/>
    <w:rsid w:val="005917B5"/>
    <w:rsid w:val="00591D5D"/>
    <w:rsid w:val="00592EE8"/>
    <w:rsid w:val="005A0DB4"/>
    <w:rsid w:val="005A648A"/>
    <w:rsid w:val="005B1309"/>
    <w:rsid w:val="005B216F"/>
    <w:rsid w:val="005B59A4"/>
    <w:rsid w:val="005C04D7"/>
    <w:rsid w:val="005C3455"/>
    <w:rsid w:val="005C50DB"/>
    <w:rsid w:val="005D2AF5"/>
    <w:rsid w:val="005D6B0E"/>
    <w:rsid w:val="005D782C"/>
    <w:rsid w:val="005E1865"/>
    <w:rsid w:val="005E1967"/>
    <w:rsid w:val="005E57BA"/>
    <w:rsid w:val="005E72EF"/>
    <w:rsid w:val="005F6F4D"/>
    <w:rsid w:val="00603802"/>
    <w:rsid w:val="00607607"/>
    <w:rsid w:val="00610C68"/>
    <w:rsid w:val="0061281E"/>
    <w:rsid w:val="006173BE"/>
    <w:rsid w:val="006238FD"/>
    <w:rsid w:val="00625CE4"/>
    <w:rsid w:val="00633C7E"/>
    <w:rsid w:val="006343AE"/>
    <w:rsid w:val="006352F9"/>
    <w:rsid w:val="00635DF1"/>
    <w:rsid w:val="0064629C"/>
    <w:rsid w:val="00646D7C"/>
    <w:rsid w:val="00647F24"/>
    <w:rsid w:val="00657157"/>
    <w:rsid w:val="00657927"/>
    <w:rsid w:val="006616D5"/>
    <w:rsid w:val="00666259"/>
    <w:rsid w:val="0068197E"/>
    <w:rsid w:val="00684709"/>
    <w:rsid w:val="006851A6"/>
    <w:rsid w:val="00686E2F"/>
    <w:rsid w:val="006941EF"/>
    <w:rsid w:val="006A32C9"/>
    <w:rsid w:val="006B5266"/>
    <w:rsid w:val="006C3C66"/>
    <w:rsid w:val="006C4A16"/>
    <w:rsid w:val="006D0354"/>
    <w:rsid w:val="006E3C6E"/>
    <w:rsid w:val="006E3C6F"/>
    <w:rsid w:val="00702345"/>
    <w:rsid w:val="00704E5B"/>
    <w:rsid w:val="007060E9"/>
    <w:rsid w:val="0070617C"/>
    <w:rsid w:val="00714A1F"/>
    <w:rsid w:val="00716A04"/>
    <w:rsid w:val="00716D5C"/>
    <w:rsid w:val="0072178B"/>
    <w:rsid w:val="00724626"/>
    <w:rsid w:val="00726E3A"/>
    <w:rsid w:val="00731906"/>
    <w:rsid w:val="00736069"/>
    <w:rsid w:val="00745424"/>
    <w:rsid w:val="007455A6"/>
    <w:rsid w:val="007502F8"/>
    <w:rsid w:val="00753822"/>
    <w:rsid w:val="00756155"/>
    <w:rsid w:val="00763919"/>
    <w:rsid w:val="00774E2A"/>
    <w:rsid w:val="00782282"/>
    <w:rsid w:val="00782BA2"/>
    <w:rsid w:val="007917F8"/>
    <w:rsid w:val="007927EC"/>
    <w:rsid w:val="00794ED3"/>
    <w:rsid w:val="00795672"/>
    <w:rsid w:val="007A0FBB"/>
    <w:rsid w:val="007A2CD6"/>
    <w:rsid w:val="007A335E"/>
    <w:rsid w:val="007A5E24"/>
    <w:rsid w:val="007A77DB"/>
    <w:rsid w:val="007B189A"/>
    <w:rsid w:val="007B205C"/>
    <w:rsid w:val="007B4F2A"/>
    <w:rsid w:val="007B65E5"/>
    <w:rsid w:val="007B7D1B"/>
    <w:rsid w:val="007C6E62"/>
    <w:rsid w:val="007D1477"/>
    <w:rsid w:val="007D4C1F"/>
    <w:rsid w:val="007F4436"/>
    <w:rsid w:val="007F47CF"/>
    <w:rsid w:val="007F67D8"/>
    <w:rsid w:val="007F7FBA"/>
    <w:rsid w:val="00804D82"/>
    <w:rsid w:val="00804DD4"/>
    <w:rsid w:val="0081016D"/>
    <w:rsid w:val="00815641"/>
    <w:rsid w:val="00815888"/>
    <w:rsid w:val="00816C7E"/>
    <w:rsid w:val="0083015C"/>
    <w:rsid w:val="008308D9"/>
    <w:rsid w:val="0083411B"/>
    <w:rsid w:val="00841520"/>
    <w:rsid w:val="00843C0E"/>
    <w:rsid w:val="008444F1"/>
    <w:rsid w:val="00851453"/>
    <w:rsid w:val="00853642"/>
    <w:rsid w:val="008569F1"/>
    <w:rsid w:val="008573E1"/>
    <w:rsid w:val="00857CFF"/>
    <w:rsid w:val="00863AD0"/>
    <w:rsid w:val="0086499B"/>
    <w:rsid w:val="008679F8"/>
    <w:rsid w:val="00867F17"/>
    <w:rsid w:val="0087023D"/>
    <w:rsid w:val="008704BB"/>
    <w:rsid w:val="00877796"/>
    <w:rsid w:val="00881532"/>
    <w:rsid w:val="00884784"/>
    <w:rsid w:val="00893E06"/>
    <w:rsid w:val="00896CB9"/>
    <w:rsid w:val="008A07CD"/>
    <w:rsid w:val="008A7238"/>
    <w:rsid w:val="008B3140"/>
    <w:rsid w:val="008B3F5F"/>
    <w:rsid w:val="008B54AE"/>
    <w:rsid w:val="008B5C26"/>
    <w:rsid w:val="008D2AF0"/>
    <w:rsid w:val="008F5114"/>
    <w:rsid w:val="00903161"/>
    <w:rsid w:val="00903E1F"/>
    <w:rsid w:val="00907ECD"/>
    <w:rsid w:val="00912EDB"/>
    <w:rsid w:val="00916825"/>
    <w:rsid w:val="00922105"/>
    <w:rsid w:val="009248BC"/>
    <w:rsid w:val="00925AFD"/>
    <w:rsid w:val="00931BC6"/>
    <w:rsid w:val="00932288"/>
    <w:rsid w:val="009347FA"/>
    <w:rsid w:val="009427BE"/>
    <w:rsid w:val="009442A8"/>
    <w:rsid w:val="00970F2C"/>
    <w:rsid w:val="0097418E"/>
    <w:rsid w:val="00974E16"/>
    <w:rsid w:val="00981433"/>
    <w:rsid w:val="00986C5C"/>
    <w:rsid w:val="0099029F"/>
    <w:rsid w:val="00991930"/>
    <w:rsid w:val="0099207D"/>
    <w:rsid w:val="00992B67"/>
    <w:rsid w:val="00994F17"/>
    <w:rsid w:val="009A001F"/>
    <w:rsid w:val="009A492C"/>
    <w:rsid w:val="009A7CDD"/>
    <w:rsid w:val="009B67DC"/>
    <w:rsid w:val="009B7471"/>
    <w:rsid w:val="009D21E5"/>
    <w:rsid w:val="009E0B92"/>
    <w:rsid w:val="009E0C6C"/>
    <w:rsid w:val="009E4060"/>
    <w:rsid w:val="009E5292"/>
    <w:rsid w:val="009E7E4C"/>
    <w:rsid w:val="009F48C3"/>
    <w:rsid w:val="00A028DB"/>
    <w:rsid w:val="00A10D0F"/>
    <w:rsid w:val="00A1403C"/>
    <w:rsid w:val="00A16411"/>
    <w:rsid w:val="00A20283"/>
    <w:rsid w:val="00A315E7"/>
    <w:rsid w:val="00A337DE"/>
    <w:rsid w:val="00A33DBE"/>
    <w:rsid w:val="00A34424"/>
    <w:rsid w:val="00A4542A"/>
    <w:rsid w:val="00A46DD8"/>
    <w:rsid w:val="00A50941"/>
    <w:rsid w:val="00A50FC1"/>
    <w:rsid w:val="00A514CB"/>
    <w:rsid w:val="00A51583"/>
    <w:rsid w:val="00A516C5"/>
    <w:rsid w:val="00A6146D"/>
    <w:rsid w:val="00A626A8"/>
    <w:rsid w:val="00A66858"/>
    <w:rsid w:val="00A677DA"/>
    <w:rsid w:val="00A721E1"/>
    <w:rsid w:val="00A7591B"/>
    <w:rsid w:val="00A81B90"/>
    <w:rsid w:val="00A93D65"/>
    <w:rsid w:val="00A9579B"/>
    <w:rsid w:val="00AB65CC"/>
    <w:rsid w:val="00AC3CBE"/>
    <w:rsid w:val="00AC51CB"/>
    <w:rsid w:val="00AD0359"/>
    <w:rsid w:val="00AD0F56"/>
    <w:rsid w:val="00AD193F"/>
    <w:rsid w:val="00AD3550"/>
    <w:rsid w:val="00AE404A"/>
    <w:rsid w:val="00AF6FF4"/>
    <w:rsid w:val="00AF7754"/>
    <w:rsid w:val="00B022AF"/>
    <w:rsid w:val="00B10EEB"/>
    <w:rsid w:val="00B10F5F"/>
    <w:rsid w:val="00B11CB9"/>
    <w:rsid w:val="00B265C5"/>
    <w:rsid w:val="00B34B35"/>
    <w:rsid w:val="00B45F68"/>
    <w:rsid w:val="00B51908"/>
    <w:rsid w:val="00B5302D"/>
    <w:rsid w:val="00B537B4"/>
    <w:rsid w:val="00B55CF4"/>
    <w:rsid w:val="00B57F24"/>
    <w:rsid w:val="00B61ABB"/>
    <w:rsid w:val="00B640A7"/>
    <w:rsid w:val="00B70B72"/>
    <w:rsid w:val="00B744CD"/>
    <w:rsid w:val="00B755AC"/>
    <w:rsid w:val="00B81CF2"/>
    <w:rsid w:val="00B9129E"/>
    <w:rsid w:val="00B9797F"/>
    <w:rsid w:val="00BA02C5"/>
    <w:rsid w:val="00BA29CB"/>
    <w:rsid w:val="00BA34E7"/>
    <w:rsid w:val="00BA4364"/>
    <w:rsid w:val="00BA78DF"/>
    <w:rsid w:val="00BA7D65"/>
    <w:rsid w:val="00BB71C2"/>
    <w:rsid w:val="00BC0B14"/>
    <w:rsid w:val="00BD216C"/>
    <w:rsid w:val="00BD646F"/>
    <w:rsid w:val="00BD774B"/>
    <w:rsid w:val="00BE105A"/>
    <w:rsid w:val="00BE14E2"/>
    <w:rsid w:val="00BE24D2"/>
    <w:rsid w:val="00BE47E1"/>
    <w:rsid w:val="00BE5872"/>
    <w:rsid w:val="00BE6A5F"/>
    <w:rsid w:val="00BF66C9"/>
    <w:rsid w:val="00BF76DC"/>
    <w:rsid w:val="00C015A2"/>
    <w:rsid w:val="00C02AFC"/>
    <w:rsid w:val="00C05D7E"/>
    <w:rsid w:val="00C107EC"/>
    <w:rsid w:val="00C10A50"/>
    <w:rsid w:val="00C143A6"/>
    <w:rsid w:val="00C26698"/>
    <w:rsid w:val="00C30525"/>
    <w:rsid w:val="00C31E89"/>
    <w:rsid w:val="00C40CE4"/>
    <w:rsid w:val="00C411AE"/>
    <w:rsid w:val="00C42A9D"/>
    <w:rsid w:val="00C46C4F"/>
    <w:rsid w:val="00C46CEB"/>
    <w:rsid w:val="00C47C6E"/>
    <w:rsid w:val="00C5170E"/>
    <w:rsid w:val="00C53560"/>
    <w:rsid w:val="00C63EFE"/>
    <w:rsid w:val="00C72817"/>
    <w:rsid w:val="00C75077"/>
    <w:rsid w:val="00C76944"/>
    <w:rsid w:val="00C77001"/>
    <w:rsid w:val="00C84CDF"/>
    <w:rsid w:val="00C929C8"/>
    <w:rsid w:val="00CA0D41"/>
    <w:rsid w:val="00CB02B2"/>
    <w:rsid w:val="00CB2B47"/>
    <w:rsid w:val="00CB2DDA"/>
    <w:rsid w:val="00CC0968"/>
    <w:rsid w:val="00CC0F40"/>
    <w:rsid w:val="00CC34EC"/>
    <w:rsid w:val="00CC650B"/>
    <w:rsid w:val="00CC6524"/>
    <w:rsid w:val="00CD0069"/>
    <w:rsid w:val="00CD0D77"/>
    <w:rsid w:val="00CD1271"/>
    <w:rsid w:val="00CD39A2"/>
    <w:rsid w:val="00CD4C3B"/>
    <w:rsid w:val="00CD72E6"/>
    <w:rsid w:val="00CD7E84"/>
    <w:rsid w:val="00CE2B99"/>
    <w:rsid w:val="00CE6194"/>
    <w:rsid w:val="00CF1967"/>
    <w:rsid w:val="00D06866"/>
    <w:rsid w:val="00D1742A"/>
    <w:rsid w:val="00D20F59"/>
    <w:rsid w:val="00D27B2B"/>
    <w:rsid w:val="00D304B9"/>
    <w:rsid w:val="00D329E6"/>
    <w:rsid w:val="00D32C23"/>
    <w:rsid w:val="00D3620B"/>
    <w:rsid w:val="00D47EAF"/>
    <w:rsid w:val="00D56377"/>
    <w:rsid w:val="00D605F3"/>
    <w:rsid w:val="00D6395D"/>
    <w:rsid w:val="00D6512B"/>
    <w:rsid w:val="00D65165"/>
    <w:rsid w:val="00D74C7C"/>
    <w:rsid w:val="00D76C75"/>
    <w:rsid w:val="00D83BDD"/>
    <w:rsid w:val="00D849AC"/>
    <w:rsid w:val="00D86B40"/>
    <w:rsid w:val="00D92CFB"/>
    <w:rsid w:val="00DA28E3"/>
    <w:rsid w:val="00DA4AC9"/>
    <w:rsid w:val="00DB1A27"/>
    <w:rsid w:val="00DB30B3"/>
    <w:rsid w:val="00DC4E2B"/>
    <w:rsid w:val="00DD1C0F"/>
    <w:rsid w:val="00DD2875"/>
    <w:rsid w:val="00DD640E"/>
    <w:rsid w:val="00DD6E8A"/>
    <w:rsid w:val="00DE1233"/>
    <w:rsid w:val="00DE27E7"/>
    <w:rsid w:val="00DE2DCB"/>
    <w:rsid w:val="00E02FFA"/>
    <w:rsid w:val="00E04DA2"/>
    <w:rsid w:val="00E35A14"/>
    <w:rsid w:val="00E432B1"/>
    <w:rsid w:val="00E448FB"/>
    <w:rsid w:val="00E468FE"/>
    <w:rsid w:val="00E52DE2"/>
    <w:rsid w:val="00E60458"/>
    <w:rsid w:val="00E67FA2"/>
    <w:rsid w:val="00E720AA"/>
    <w:rsid w:val="00E755A0"/>
    <w:rsid w:val="00E76B81"/>
    <w:rsid w:val="00E77FFB"/>
    <w:rsid w:val="00E8030A"/>
    <w:rsid w:val="00E80FBC"/>
    <w:rsid w:val="00E831F6"/>
    <w:rsid w:val="00E90F3E"/>
    <w:rsid w:val="00E91B55"/>
    <w:rsid w:val="00EA353C"/>
    <w:rsid w:val="00EC6BD0"/>
    <w:rsid w:val="00ED4F71"/>
    <w:rsid w:val="00ED6039"/>
    <w:rsid w:val="00EE132B"/>
    <w:rsid w:val="00EE3B44"/>
    <w:rsid w:val="00EE41C6"/>
    <w:rsid w:val="00EE52F6"/>
    <w:rsid w:val="00EF5425"/>
    <w:rsid w:val="00EF78AA"/>
    <w:rsid w:val="00F018A9"/>
    <w:rsid w:val="00F0281B"/>
    <w:rsid w:val="00F0387B"/>
    <w:rsid w:val="00F03CDC"/>
    <w:rsid w:val="00F07233"/>
    <w:rsid w:val="00F15A1A"/>
    <w:rsid w:val="00F361C7"/>
    <w:rsid w:val="00F37D5F"/>
    <w:rsid w:val="00F50D62"/>
    <w:rsid w:val="00F5326C"/>
    <w:rsid w:val="00F61F77"/>
    <w:rsid w:val="00F63FA7"/>
    <w:rsid w:val="00F64EF3"/>
    <w:rsid w:val="00F71DDE"/>
    <w:rsid w:val="00F73724"/>
    <w:rsid w:val="00F75ED6"/>
    <w:rsid w:val="00F801CC"/>
    <w:rsid w:val="00F82311"/>
    <w:rsid w:val="00F82FC0"/>
    <w:rsid w:val="00F843F3"/>
    <w:rsid w:val="00F87F42"/>
    <w:rsid w:val="00F97D8C"/>
    <w:rsid w:val="00FA56E1"/>
    <w:rsid w:val="00FA6D31"/>
    <w:rsid w:val="00FA71BC"/>
    <w:rsid w:val="00FB0CC8"/>
    <w:rsid w:val="00FB5010"/>
    <w:rsid w:val="00FC1488"/>
    <w:rsid w:val="00FD5115"/>
    <w:rsid w:val="00FD5626"/>
    <w:rsid w:val="00FE4F4D"/>
    <w:rsid w:val="00FE5BF1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A55D56"/>
  <w14:defaultImageDpi w14:val="32767"/>
  <w15:chartTrackingRefBased/>
  <w15:docId w15:val="{F8EEB98F-E80A-4F57-9A26-73A34B7C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D1742A"/>
    <w:pPr>
      <w:spacing w:after="120" w:line="264" w:lineRule="auto"/>
    </w:pPr>
    <w:rPr>
      <w:rFonts w:cs="Times New Roman"/>
      <w:sz w:val="20"/>
    </w:rPr>
  </w:style>
  <w:style w:type="paragraph" w:styleId="Heading1">
    <w:name w:val="heading 1"/>
    <w:next w:val="Normal"/>
    <w:link w:val="Heading1Char"/>
    <w:uiPriority w:val="9"/>
    <w:qFormat/>
    <w:locked/>
    <w:rsid w:val="007060E9"/>
    <w:pPr>
      <w:keepNext/>
      <w:keepLines/>
      <w:pageBreakBefore/>
      <w:numPr>
        <w:numId w:val="7"/>
      </w:numPr>
      <w:outlineLvl w:val="0"/>
    </w:pPr>
    <w:rPr>
      <w:rFonts w:asciiTheme="majorHAnsi" w:hAnsiTheme="majorHAnsi" w:cs="Times New Roman"/>
      <w:color w:val="272936" w:themeColor="accent4"/>
      <w:sz w:val="48"/>
      <w:szCs w:val="60"/>
      <w:lang w:val="en-GB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060E9"/>
    <w:pPr>
      <w:pageBreakBefore w:val="0"/>
      <w:numPr>
        <w:ilvl w:val="1"/>
      </w:numPr>
      <w:spacing w:before="360" w:after="240"/>
      <w:outlineLvl w:val="1"/>
    </w:pPr>
    <w:rPr>
      <w:sz w:val="44"/>
    </w:rPr>
  </w:style>
  <w:style w:type="paragraph" w:styleId="Heading3">
    <w:name w:val="heading 3"/>
    <w:basedOn w:val="Heading2"/>
    <w:next w:val="Normal"/>
    <w:link w:val="Heading3Char"/>
    <w:qFormat/>
    <w:rsid w:val="007060E9"/>
    <w:pPr>
      <w:numPr>
        <w:ilvl w:val="2"/>
      </w:numPr>
      <w:spacing w:after="200"/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7060E9"/>
    <w:pPr>
      <w:numPr>
        <w:ilvl w:val="3"/>
      </w:numPr>
      <w:spacing w:after="120"/>
      <w:outlineLvl w:val="3"/>
    </w:pPr>
    <w:rPr>
      <w:color w:val="000000" w:themeColor="text1"/>
      <w:sz w:val="36"/>
    </w:rPr>
  </w:style>
  <w:style w:type="paragraph" w:styleId="Heading5">
    <w:name w:val="heading 5"/>
    <w:next w:val="Normal"/>
    <w:link w:val="Heading5Char"/>
    <w:qFormat/>
    <w:rsid w:val="007060E9"/>
    <w:pPr>
      <w:keepNext/>
      <w:keepLines/>
      <w:numPr>
        <w:ilvl w:val="4"/>
        <w:numId w:val="7"/>
      </w:numPr>
      <w:spacing w:before="360" w:after="120"/>
      <w:outlineLvl w:val="4"/>
    </w:pPr>
    <w:rPr>
      <w:rFonts w:asciiTheme="majorHAnsi" w:hAnsiTheme="majorHAnsi" w:cs="Times New Roman"/>
      <w:color w:val="000000" w:themeColor="text1"/>
      <w:sz w:val="28"/>
      <w:lang w:val="en-GB"/>
    </w:rPr>
  </w:style>
  <w:style w:type="paragraph" w:styleId="Heading6">
    <w:name w:val="heading 6"/>
    <w:basedOn w:val="Heading5"/>
    <w:next w:val="Normal"/>
    <w:link w:val="Heading6Char"/>
    <w:uiPriority w:val="47"/>
    <w:semiHidden/>
    <w:unhideWhenUsed/>
    <w:rsid w:val="00D1742A"/>
    <w:pPr>
      <w:numPr>
        <w:ilvl w:val="5"/>
      </w:numPr>
      <w:spacing w:before="40" w:after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7F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75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7F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7F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1E5"/>
    <w:rPr>
      <w:rFonts w:asciiTheme="majorHAnsi" w:hAnsiTheme="majorHAnsi" w:cs="Times New Roman"/>
      <w:color w:val="272936" w:themeColor="accent4"/>
      <w:sz w:val="48"/>
      <w:szCs w:val="6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D21E5"/>
    <w:rPr>
      <w:rFonts w:asciiTheme="majorHAnsi" w:hAnsiTheme="majorHAnsi" w:cs="Times New Roman"/>
      <w:color w:val="272936" w:themeColor="accent4"/>
      <w:sz w:val="44"/>
      <w:szCs w:val="60"/>
      <w:lang w:val="en-GB"/>
    </w:rPr>
  </w:style>
  <w:style w:type="character" w:customStyle="1" w:styleId="Heading3Char">
    <w:name w:val="Heading 3 Char"/>
    <w:basedOn w:val="DefaultParagraphFont"/>
    <w:link w:val="Heading3"/>
    <w:rsid w:val="009D21E5"/>
    <w:rPr>
      <w:rFonts w:asciiTheme="majorHAnsi" w:hAnsiTheme="majorHAnsi" w:cs="Times New Roman"/>
      <w:color w:val="272936" w:themeColor="accent4"/>
      <w:sz w:val="40"/>
      <w:szCs w:val="60"/>
      <w:lang w:val="en-GB"/>
    </w:rPr>
  </w:style>
  <w:style w:type="character" w:customStyle="1" w:styleId="Heading4Char">
    <w:name w:val="Heading 4 Char"/>
    <w:basedOn w:val="DefaultParagraphFont"/>
    <w:link w:val="Heading4"/>
    <w:rsid w:val="009D21E5"/>
    <w:rPr>
      <w:rFonts w:asciiTheme="majorHAnsi" w:hAnsiTheme="majorHAnsi" w:cs="Times New Roman"/>
      <w:color w:val="000000" w:themeColor="text1"/>
      <w:sz w:val="36"/>
      <w:szCs w:val="60"/>
      <w:lang w:val="en-GB"/>
    </w:rPr>
  </w:style>
  <w:style w:type="paragraph" w:customStyle="1" w:styleId="CoverSubtitle">
    <w:name w:val="Cover Subtitle"/>
    <w:uiPriority w:val="1"/>
    <w:qFormat/>
    <w:rsid w:val="00454B5D"/>
    <w:pPr>
      <w:spacing w:after="120" w:line="240" w:lineRule="auto"/>
    </w:pPr>
    <w:rPr>
      <w:rFonts w:asciiTheme="majorHAnsi" w:hAnsiTheme="majorHAnsi" w:cs="Times New Roman"/>
      <w:bCs/>
      <w:color w:val="FFFFFF" w:themeColor="background1"/>
      <w:sz w:val="28"/>
    </w:rPr>
  </w:style>
  <w:style w:type="paragraph" w:customStyle="1" w:styleId="Cover-Sector">
    <w:name w:val="Cover-Sector"/>
    <w:uiPriority w:val="1"/>
    <w:qFormat/>
    <w:rsid w:val="00843C0E"/>
    <w:pPr>
      <w:spacing w:after="120" w:line="240" w:lineRule="auto"/>
      <w:jc w:val="right"/>
    </w:pPr>
    <w:rPr>
      <w:rFonts w:cs="Arial Narrow"/>
      <w:b/>
      <w:sz w:val="16"/>
    </w:rPr>
  </w:style>
  <w:style w:type="paragraph" w:styleId="Header">
    <w:name w:val="header"/>
    <w:basedOn w:val="Normal"/>
    <w:link w:val="HeaderChar"/>
    <w:locked/>
    <w:rsid w:val="00ED4F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25AFD"/>
    <w:rPr>
      <w:rFonts w:eastAsia="Arial" w:cs="Times New Roman"/>
      <w:sz w:val="20"/>
    </w:rPr>
  </w:style>
  <w:style w:type="paragraph" w:styleId="Footer">
    <w:name w:val="footer"/>
    <w:basedOn w:val="Normal"/>
    <w:link w:val="FooterChar"/>
    <w:uiPriority w:val="1"/>
    <w:locked/>
    <w:rsid w:val="00ED4F7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1"/>
    <w:rsid w:val="00925AFD"/>
    <w:rPr>
      <w:rFonts w:eastAsia="Arial" w:cs="Times New Roman"/>
      <w:sz w:val="20"/>
    </w:rPr>
  </w:style>
  <w:style w:type="paragraph" w:customStyle="1" w:styleId="Footergrey">
    <w:name w:val="Footer grey"/>
    <w:basedOn w:val="Normal"/>
    <w:link w:val="FootergreyChar"/>
    <w:qFormat/>
    <w:rsid w:val="00903161"/>
    <w:pPr>
      <w:jc w:val="both"/>
    </w:pPr>
    <w:rPr>
      <w:color w:val="808080" w:themeColor="background1" w:themeShade="80"/>
      <w:sz w:val="16"/>
      <w:szCs w:val="16"/>
    </w:rPr>
  </w:style>
  <w:style w:type="paragraph" w:customStyle="1" w:styleId="BoilerplateHead">
    <w:name w:val="Boilerplate Head"/>
    <w:basedOn w:val="Normal"/>
    <w:next w:val="BoilerplateText"/>
    <w:uiPriority w:val="1"/>
    <w:qFormat/>
    <w:rsid w:val="00193AC0"/>
    <w:pPr>
      <w:spacing w:before="1080" w:after="360" w:line="240" w:lineRule="auto"/>
      <w:ind w:left="1560" w:right="2836"/>
    </w:pPr>
    <w:rPr>
      <w:rFonts w:asciiTheme="majorHAnsi" w:hAnsiTheme="majorHAnsi"/>
      <w:noProof/>
      <w:color w:val="FFFFFF" w:themeColor="background1"/>
      <w:sz w:val="32"/>
    </w:rPr>
  </w:style>
  <w:style w:type="paragraph" w:customStyle="1" w:styleId="BoilerplateText">
    <w:name w:val="Boilerplate Text"/>
    <w:uiPriority w:val="1"/>
    <w:qFormat/>
    <w:rsid w:val="005910CD"/>
    <w:pPr>
      <w:spacing w:before="240" w:after="0" w:line="240" w:lineRule="auto"/>
      <w:ind w:left="4395" w:right="1"/>
      <w:jc w:val="both"/>
    </w:pPr>
    <w:rPr>
      <w:rFonts w:cs="Arial"/>
      <w:color w:val="3B3B3B" w:themeColor="background2" w:themeShade="40"/>
      <w:sz w:val="16"/>
      <w:szCs w:val="16"/>
      <w:lang w:val="en-GB"/>
    </w:rPr>
  </w:style>
  <w:style w:type="paragraph" w:customStyle="1" w:styleId="ContactDetails">
    <w:name w:val="Contact Details"/>
    <w:uiPriority w:val="1"/>
    <w:qFormat/>
    <w:rsid w:val="005153F5"/>
    <w:pPr>
      <w:framePr w:hSpace="180" w:wrap="around" w:vAnchor="text" w:hAnchor="margin" w:x="-318" w:y="586"/>
      <w:spacing w:after="0" w:line="240" w:lineRule="auto"/>
      <w:jc w:val="right"/>
    </w:pPr>
    <w:rPr>
      <w:rFonts w:cs="Arial"/>
      <w:color w:val="FFFFFF"/>
      <w:sz w:val="18"/>
      <w:lang w:val="en-GB"/>
    </w:rPr>
  </w:style>
  <w:style w:type="paragraph" w:customStyle="1" w:styleId="ContactName">
    <w:name w:val="Contact Name"/>
    <w:next w:val="ContactDetails"/>
    <w:uiPriority w:val="1"/>
    <w:qFormat/>
    <w:rsid w:val="00843C0E"/>
    <w:pPr>
      <w:framePr w:hSpace="180" w:wrap="around" w:vAnchor="text" w:hAnchor="margin" w:x="-318" w:y="586"/>
      <w:spacing w:after="0" w:line="240" w:lineRule="auto"/>
      <w:jc w:val="right"/>
    </w:pPr>
    <w:rPr>
      <w:rFonts w:cs="Arial"/>
      <w:b/>
      <w:color w:val="FFFFFF"/>
      <w:sz w:val="16"/>
    </w:rPr>
  </w:style>
  <w:style w:type="paragraph" w:customStyle="1" w:styleId="Rightshore">
    <w:name w:val="Rightshore"/>
    <w:rsid w:val="00843C0E"/>
    <w:pPr>
      <w:spacing w:before="240" w:after="0" w:line="240" w:lineRule="auto"/>
      <w:ind w:right="3403"/>
    </w:pPr>
    <w:rPr>
      <w:rFonts w:cs="Arial"/>
      <w:i/>
      <w:sz w:val="16"/>
    </w:rPr>
  </w:style>
  <w:style w:type="paragraph" w:customStyle="1" w:styleId="CoverTitle">
    <w:name w:val="Cover Title"/>
    <w:next w:val="CoverSubtitle"/>
    <w:uiPriority w:val="1"/>
    <w:qFormat/>
    <w:rsid w:val="005D2AF5"/>
    <w:pPr>
      <w:spacing w:after="0" w:line="240" w:lineRule="auto"/>
    </w:pPr>
    <w:rPr>
      <w:rFonts w:asciiTheme="majorHAnsi" w:hAnsiTheme="majorHAnsi" w:cs="Arial Narrow"/>
      <w:caps/>
      <w:color w:val="FFFFFF" w:themeColor="background1"/>
      <w:spacing w:val="8"/>
      <w:sz w:val="56"/>
      <w:szCs w:val="80"/>
      <w:lang w:val="en-GB"/>
    </w:rPr>
  </w:style>
  <w:style w:type="paragraph" w:customStyle="1" w:styleId="Website">
    <w:name w:val="Website"/>
    <w:rsid w:val="005153F5"/>
    <w:pPr>
      <w:framePr w:hSpace="180" w:wrap="around" w:vAnchor="text" w:hAnchor="margin" w:x="-318" w:y="586"/>
      <w:spacing w:before="120" w:after="120" w:line="240" w:lineRule="auto"/>
    </w:pPr>
    <w:rPr>
      <w:rFonts w:cs="Arial"/>
      <w:b/>
      <w:color w:val="FFFFFF"/>
      <w:sz w:val="28"/>
      <w:lang w:val="en-GB"/>
    </w:rPr>
  </w:style>
  <w:style w:type="character" w:styleId="Hyperlink">
    <w:name w:val="Hyperlink"/>
    <w:basedOn w:val="DefaultParagraphFont"/>
    <w:uiPriority w:val="99"/>
    <w:unhideWhenUsed/>
    <w:locked/>
    <w:rsid w:val="005910CD"/>
    <w:rPr>
      <w:rFonts w:asciiTheme="minorHAnsi" w:hAnsiTheme="minorHAnsi"/>
      <w:color w:val="0B6467" w:themeColor="accent5" w:themeShade="BF"/>
      <w:sz w:val="20"/>
      <w:u w:val="single"/>
    </w:rPr>
  </w:style>
  <w:style w:type="paragraph" w:customStyle="1" w:styleId="Subhead">
    <w:name w:val="Subhead"/>
    <w:next w:val="Normal"/>
    <w:qFormat/>
    <w:rsid w:val="00F5326C"/>
    <w:pPr>
      <w:keepNext/>
      <w:keepLines/>
      <w:widowControl w:val="0"/>
      <w:spacing w:before="240" w:after="120" w:line="240" w:lineRule="auto"/>
    </w:pPr>
    <w:rPr>
      <w:rFonts w:cs="Times New Roman"/>
      <w:b/>
      <w:color w:val="000000" w:themeColor="text1"/>
      <w:lang w:val="en-GB"/>
    </w:rPr>
  </w:style>
  <w:style w:type="paragraph" w:customStyle="1" w:styleId="BulletIntro">
    <w:name w:val="Bullet Intro"/>
    <w:next w:val="Bullet1"/>
    <w:uiPriority w:val="1"/>
    <w:qFormat/>
    <w:rsid w:val="005917B5"/>
    <w:pPr>
      <w:keepNext/>
      <w:keepLines/>
      <w:spacing w:before="120" w:after="60" w:line="260" w:lineRule="exact"/>
    </w:pPr>
    <w:rPr>
      <w:rFonts w:cs="Times New Roman"/>
      <w:color w:val="3B3B3B" w:themeColor="background2" w:themeShade="40"/>
      <w:sz w:val="20"/>
      <w:lang w:val="en-GB"/>
    </w:rPr>
  </w:style>
  <w:style w:type="paragraph" w:customStyle="1" w:styleId="Bullet1">
    <w:name w:val="Bullet1"/>
    <w:basedOn w:val="Normal"/>
    <w:rsid w:val="009E5292"/>
    <w:pPr>
      <w:keepNext/>
      <w:keepLines/>
      <w:numPr>
        <w:numId w:val="3"/>
      </w:numPr>
      <w:spacing w:before="60" w:line="260" w:lineRule="exact"/>
      <w:ind w:left="284" w:hanging="284"/>
    </w:pPr>
  </w:style>
  <w:style w:type="paragraph" w:customStyle="1" w:styleId="Bullet1-end">
    <w:name w:val="Bullet1 - end"/>
    <w:basedOn w:val="Bullet1"/>
    <w:next w:val="Normal"/>
    <w:uiPriority w:val="1"/>
    <w:qFormat/>
    <w:rsid w:val="00E720AA"/>
  </w:style>
  <w:style w:type="paragraph" w:customStyle="1" w:styleId="Bullet2">
    <w:name w:val="Bullet2"/>
    <w:basedOn w:val="Bullet1"/>
    <w:uiPriority w:val="1"/>
    <w:rsid w:val="006E3C6F"/>
    <w:pPr>
      <w:numPr>
        <w:numId w:val="2"/>
      </w:numPr>
      <w:ind w:left="567" w:hanging="283"/>
    </w:pPr>
  </w:style>
  <w:style w:type="paragraph" w:customStyle="1" w:styleId="Bullet2-end">
    <w:name w:val="Bullet2 - end"/>
    <w:basedOn w:val="Bullet2"/>
    <w:next w:val="Normal"/>
    <w:uiPriority w:val="1"/>
    <w:qFormat/>
    <w:rsid w:val="004F5EC0"/>
  </w:style>
  <w:style w:type="paragraph" w:customStyle="1" w:styleId="Bullet3">
    <w:name w:val="Bullet3"/>
    <w:basedOn w:val="Bullet1"/>
    <w:qFormat/>
    <w:rsid w:val="006E3C6F"/>
    <w:pPr>
      <w:numPr>
        <w:numId w:val="4"/>
      </w:numPr>
      <w:ind w:left="851" w:hanging="284"/>
    </w:pPr>
  </w:style>
  <w:style w:type="paragraph" w:customStyle="1" w:styleId="Bullet3-end">
    <w:name w:val="Bullet3 - end"/>
    <w:basedOn w:val="Bullet3"/>
    <w:next w:val="Normal"/>
    <w:uiPriority w:val="1"/>
    <w:qFormat/>
    <w:rsid w:val="00B10F5F"/>
  </w:style>
  <w:style w:type="paragraph" w:customStyle="1" w:styleId="NumberedIntro">
    <w:name w:val="Numbered Intro"/>
    <w:basedOn w:val="BulletIntro"/>
    <w:next w:val="Numbering1"/>
    <w:qFormat/>
    <w:rsid w:val="005910CD"/>
  </w:style>
  <w:style w:type="paragraph" w:customStyle="1" w:styleId="Numbering1">
    <w:name w:val="Numbering1"/>
    <w:rsid w:val="005910CD"/>
    <w:pPr>
      <w:numPr>
        <w:numId w:val="5"/>
      </w:numPr>
      <w:spacing w:before="60" w:after="120" w:line="260" w:lineRule="exact"/>
      <w:ind w:left="284" w:hanging="284"/>
    </w:pPr>
    <w:rPr>
      <w:rFonts w:cs="Times New Roman"/>
      <w:sz w:val="20"/>
      <w:lang w:val="en-GB"/>
    </w:rPr>
  </w:style>
  <w:style w:type="paragraph" w:customStyle="1" w:styleId="Numbering1-end">
    <w:name w:val="Numbering1 - end"/>
    <w:basedOn w:val="Numbering1"/>
    <w:next w:val="Normal"/>
    <w:qFormat/>
    <w:rsid w:val="00B10F5F"/>
  </w:style>
  <w:style w:type="paragraph" w:customStyle="1" w:styleId="Numbering2">
    <w:name w:val="Numbering2"/>
    <w:basedOn w:val="Numbering1"/>
    <w:rsid w:val="006E3C6F"/>
    <w:pPr>
      <w:numPr>
        <w:numId w:val="1"/>
      </w:numPr>
      <w:tabs>
        <w:tab w:val="left" w:pos="567"/>
      </w:tabs>
      <w:ind w:left="568" w:hanging="284"/>
    </w:pPr>
  </w:style>
  <w:style w:type="paragraph" w:customStyle="1" w:styleId="Numbering2-end">
    <w:name w:val="Numbering2 - end"/>
    <w:basedOn w:val="Numbering2"/>
    <w:next w:val="Normal"/>
    <w:qFormat/>
    <w:rsid w:val="00726E3A"/>
    <w:pPr>
      <w:ind w:left="634" w:hanging="274"/>
    </w:pPr>
  </w:style>
  <w:style w:type="paragraph" w:customStyle="1" w:styleId="Numbering3">
    <w:name w:val="Numbering3"/>
    <w:basedOn w:val="Numbering1"/>
    <w:qFormat/>
    <w:rsid w:val="006E3C6F"/>
    <w:pPr>
      <w:numPr>
        <w:numId w:val="6"/>
      </w:numPr>
      <w:ind w:left="851" w:hanging="284"/>
    </w:pPr>
  </w:style>
  <w:style w:type="paragraph" w:customStyle="1" w:styleId="Numbering3-end">
    <w:name w:val="Numbering3 - end"/>
    <w:basedOn w:val="Numbering3"/>
    <w:next w:val="Normal"/>
    <w:qFormat/>
    <w:rsid w:val="00726E3A"/>
    <w:pPr>
      <w:ind w:left="994"/>
    </w:pPr>
  </w:style>
  <w:style w:type="paragraph" w:customStyle="1" w:styleId="IntroductoryText">
    <w:name w:val="Introductory Text"/>
    <w:next w:val="Normal"/>
    <w:qFormat/>
    <w:rsid w:val="00FF26E3"/>
    <w:pPr>
      <w:spacing w:after="240" w:line="240" w:lineRule="auto"/>
    </w:pPr>
    <w:rPr>
      <w:rFonts w:cs="Times New Roman"/>
      <w:b/>
      <w:color w:val="000000" w:themeColor="text1"/>
      <w:sz w:val="28"/>
    </w:rPr>
  </w:style>
  <w:style w:type="paragraph" w:customStyle="1" w:styleId="FigureDescriptor">
    <w:name w:val="Figure Descriptor"/>
    <w:next w:val="Normal"/>
    <w:rsid w:val="00A81B90"/>
    <w:pPr>
      <w:spacing w:before="120" w:after="120" w:line="240" w:lineRule="auto"/>
    </w:pPr>
    <w:rPr>
      <w:rFonts w:cs="Times New Roman"/>
      <w:b/>
      <w:color w:val="595959" w:themeColor="text1" w:themeTint="A6"/>
      <w:sz w:val="16"/>
      <w:szCs w:val="16"/>
    </w:rPr>
  </w:style>
  <w:style w:type="paragraph" w:customStyle="1" w:styleId="TableText">
    <w:name w:val="Table Text"/>
    <w:qFormat/>
    <w:rsid w:val="00FF26E3"/>
    <w:pPr>
      <w:spacing w:after="0" w:line="240" w:lineRule="auto"/>
    </w:pPr>
    <w:rPr>
      <w:rFonts w:cs="Times New Roman"/>
      <w:color w:val="3B3B3B" w:themeColor="background2" w:themeShade="40"/>
      <w:sz w:val="20"/>
      <w:szCs w:val="20"/>
      <w:lang w:val="fr-FR"/>
    </w:rPr>
  </w:style>
  <w:style w:type="paragraph" w:customStyle="1" w:styleId="TableBullet1">
    <w:name w:val="Table Bullet1"/>
    <w:basedOn w:val="Bullet1"/>
    <w:qFormat/>
    <w:rsid w:val="00903E1F"/>
    <w:pPr>
      <w:ind w:left="154" w:hanging="154"/>
    </w:pPr>
  </w:style>
  <w:style w:type="paragraph" w:customStyle="1" w:styleId="TableBullet2">
    <w:name w:val="Table Bullet2"/>
    <w:basedOn w:val="Bullet2"/>
    <w:qFormat/>
    <w:rsid w:val="00903E1F"/>
    <w:pPr>
      <w:ind w:left="334" w:hanging="180"/>
    </w:pPr>
  </w:style>
  <w:style w:type="paragraph" w:customStyle="1" w:styleId="TableBullet3">
    <w:name w:val="Table Bullet3"/>
    <w:basedOn w:val="Bullet3"/>
    <w:qFormat/>
    <w:rsid w:val="00903E1F"/>
    <w:pPr>
      <w:ind w:left="514" w:hanging="180"/>
    </w:pPr>
  </w:style>
  <w:style w:type="paragraph" w:customStyle="1" w:styleId="TableHead">
    <w:name w:val="Table Head"/>
    <w:next w:val="TableSubhead"/>
    <w:autoRedefine/>
    <w:qFormat/>
    <w:rsid w:val="005B59A4"/>
    <w:pPr>
      <w:spacing w:after="0" w:line="240" w:lineRule="auto"/>
      <w:jc w:val="center"/>
    </w:pPr>
    <w:rPr>
      <w:rFonts w:asciiTheme="majorHAnsi" w:hAnsiTheme="majorHAnsi" w:cs="Times New Roman"/>
      <w:color w:val="FFFFFF" w:themeColor="background1"/>
      <w:sz w:val="20"/>
    </w:rPr>
  </w:style>
  <w:style w:type="paragraph" w:customStyle="1" w:styleId="TableSubhead">
    <w:name w:val="Table Subhead"/>
    <w:basedOn w:val="Normal"/>
    <w:qFormat/>
    <w:rsid w:val="00AE404A"/>
    <w:pPr>
      <w:spacing w:after="0"/>
    </w:pPr>
    <w:rPr>
      <w:color w:val="0070AD" w:themeColor="accent1"/>
    </w:rPr>
  </w:style>
  <w:style w:type="paragraph" w:customStyle="1" w:styleId="TableofContents">
    <w:name w:val="Table of Contents"/>
    <w:basedOn w:val="Title"/>
    <w:qFormat/>
    <w:rsid w:val="00DE27E7"/>
    <w:pPr>
      <w:spacing w:after="240"/>
    </w:pPr>
  </w:style>
  <w:style w:type="paragraph" w:styleId="TOC1">
    <w:name w:val="toc 1"/>
    <w:next w:val="TOC2"/>
    <w:autoRedefine/>
    <w:uiPriority w:val="39"/>
    <w:unhideWhenUsed/>
    <w:locked/>
    <w:rsid w:val="00D1742A"/>
    <w:pPr>
      <w:tabs>
        <w:tab w:val="left" w:pos="567"/>
        <w:tab w:val="right" w:leader="dot" w:pos="10199"/>
      </w:tabs>
      <w:spacing w:after="100" w:line="240" w:lineRule="auto"/>
    </w:pPr>
    <w:rPr>
      <w:rFonts w:cs="Times New Roman"/>
      <w:noProof/>
      <w:color w:val="000000" w:themeColor="text1"/>
      <w:sz w:val="20"/>
      <w:lang w:val="en-GB"/>
    </w:rPr>
  </w:style>
  <w:style w:type="paragraph" w:styleId="TOC2">
    <w:name w:val="toc 2"/>
    <w:next w:val="TOC3"/>
    <w:autoRedefine/>
    <w:uiPriority w:val="39"/>
    <w:unhideWhenUsed/>
    <w:locked/>
    <w:rsid w:val="00D1742A"/>
    <w:pPr>
      <w:tabs>
        <w:tab w:val="left" w:pos="1134"/>
        <w:tab w:val="right" w:leader="dot" w:pos="10199"/>
      </w:tabs>
      <w:spacing w:after="100" w:line="240" w:lineRule="auto"/>
      <w:ind w:left="567" w:hanging="567"/>
    </w:pPr>
    <w:rPr>
      <w:rFonts w:cs="Times New Roman"/>
      <w:noProof/>
      <w:color w:val="000000" w:themeColor="text1"/>
      <w:sz w:val="20"/>
      <w:lang w:val="en-GB"/>
    </w:rPr>
  </w:style>
  <w:style w:type="paragraph" w:styleId="TOC3">
    <w:name w:val="toc 3"/>
    <w:next w:val="TOC4"/>
    <w:autoRedefine/>
    <w:uiPriority w:val="39"/>
    <w:unhideWhenUsed/>
    <w:locked/>
    <w:rsid w:val="00D65165"/>
    <w:pPr>
      <w:tabs>
        <w:tab w:val="left" w:pos="1418"/>
        <w:tab w:val="right" w:leader="dot" w:pos="10199"/>
      </w:tabs>
      <w:spacing w:after="100" w:line="240" w:lineRule="auto"/>
      <w:ind w:left="1418" w:hanging="851"/>
    </w:pPr>
    <w:rPr>
      <w:rFonts w:cs="Times New Roman"/>
      <w:noProof/>
      <w:color w:val="000000" w:themeColor="text1"/>
      <w:sz w:val="20"/>
      <w:lang w:val="en-GB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4">
    <w:name w:val="toc 4"/>
    <w:next w:val="TOC5"/>
    <w:autoRedefine/>
    <w:uiPriority w:val="39"/>
    <w:unhideWhenUsed/>
    <w:locked/>
    <w:rsid w:val="00D65165"/>
    <w:pPr>
      <w:tabs>
        <w:tab w:val="left" w:pos="1418"/>
        <w:tab w:val="right" w:leader="dot" w:pos="10199"/>
      </w:tabs>
      <w:spacing w:after="100" w:line="240" w:lineRule="auto"/>
      <w:ind w:firstLine="567"/>
    </w:pPr>
    <w:rPr>
      <w:rFonts w:cs="Times New Roman"/>
      <w:noProof/>
      <w:color w:val="000000" w:themeColor="text1"/>
      <w:sz w:val="20"/>
      <w:lang w:val="en-GB"/>
    </w:rPr>
  </w:style>
  <w:style w:type="paragraph" w:styleId="TOC5">
    <w:name w:val="toc 5"/>
    <w:next w:val="Normal"/>
    <w:autoRedefine/>
    <w:uiPriority w:val="39"/>
    <w:unhideWhenUsed/>
    <w:locked/>
    <w:rsid w:val="00D65165"/>
    <w:pPr>
      <w:tabs>
        <w:tab w:val="right" w:leader="dot" w:pos="10199"/>
      </w:tabs>
      <w:spacing w:after="100" w:line="240" w:lineRule="auto"/>
      <w:ind w:left="810"/>
    </w:pPr>
    <w:rPr>
      <w:rFonts w:cs="Times New Roman"/>
      <w:noProof/>
      <w:color w:val="000000" w:themeColor="text1"/>
      <w:sz w:val="14"/>
      <w:lang w:val="en-GB"/>
    </w:rPr>
  </w:style>
  <w:style w:type="paragraph" w:customStyle="1" w:styleId="CapgeminiFooter">
    <w:name w:val="Capgemini Footer"/>
    <w:uiPriority w:val="1"/>
    <w:qFormat/>
    <w:rsid w:val="00843C0E"/>
    <w:pPr>
      <w:tabs>
        <w:tab w:val="right" w:pos="10206"/>
      </w:tabs>
      <w:spacing w:after="0" w:line="240" w:lineRule="auto"/>
      <w:ind w:firstLine="8640"/>
    </w:pPr>
    <w:rPr>
      <w:rFonts w:cs="Times New Roman"/>
      <w:b/>
      <w:color w:val="998C85"/>
      <w:sz w:val="18"/>
      <w:lang w:val="en-GB"/>
    </w:rPr>
  </w:style>
  <w:style w:type="paragraph" w:customStyle="1" w:styleId="CapgeminiPageNumber">
    <w:name w:val="Capgemini Page Number"/>
    <w:uiPriority w:val="1"/>
    <w:qFormat/>
    <w:rsid w:val="0005229F"/>
    <w:pPr>
      <w:spacing w:after="0" w:line="240" w:lineRule="auto"/>
      <w:jc w:val="right"/>
    </w:pPr>
    <w:rPr>
      <w:rFonts w:cs="Times New Roman"/>
      <w:b/>
      <w:color w:val="767676" w:themeColor="background2" w:themeShade="80"/>
      <w:sz w:val="18"/>
      <w:lang w:val="en-GB"/>
    </w:rPr>
  </w:style>
  <w:style w:type="paragraph" w:customStyle="1" w:styleId="BiosName">
    <w:name w:val="Bios Name"/>
    <w:basedOn w:val="Normal"/>
    <w:uiPriority w:val="99"/>
    <w:qFormat/>
    <w:rsid w:val="00BE14E2"/>
    <w:pPr>
      <w:spacing w:before="60"/>
      <w:contextualSpacing/>
    </w:pPr>
    <w:rPr>
      <w:rFonts w:eastAsia="Times New Roman"/>
      <w:b/>
      <w:color w:val="0070AD" w:themeColor="accent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ED4F71"/>
  </w:style>
  <w:style w:type="character" w:customStyle="1" w:styleId="BodyTextChar">
    <w:name w:val="Body Text Char"/>
    <w:basedOn w:val="DefaultParagraphFont"/>
    <w:link w:val="BodyText"/>
    <w:uiPriority w:val="99"/>
    <w:semiHidden/>
    <w:rsid w:val="00ED4F71"/>
    <w:rPr>
      <w:rFonts w:ascii="Book Antiqua" w:eastAsia="Arial" w:hAnsi="Book Antiqua" w:cs="Times New Roman"/>
      <w:lang w:val="en-GB"/>
    </w:rPr>
  </w:style>
  <w:style w:type="paragraph" w:customStyle="1" w:styleId="BlockText3">
    <w:name w:val="Block Text 3"/>
    <w:basedOn w:val="BlockText"/>
    <w:uiPriority w:val="99"/>
    <w:rsid w:val="00ED4F71"/>
    <w:pPr>
      <w:pBdr>
        <w:top w:val="single" w:sz="4" w:space="10" w:color="FFFFFF"/>
        <w:left w:val="single" w:sz="4" w:space="10" w:color="FFFFFF"/>
        <w:bottom w:val="single" w:sz="4" w:space="10" w:color="FFFFFF"/>
        <w:right w:val="single" w:sz="4" w:space="10" w:color="FFFFFF"/>
      </w:pBdr>
      <w:shd w:val="clear" w:color="auto" w:fill="EAE7E6"/>
      <w:spacing w:after="240" w:line="240" w:lineRule="atLeast"/>
      <w:ind w:left="227" w:right="227"/>
    </w:pPr>
    <w:rPr>
      <w:rFonts w:ascii="Arial" w:eastAsia="Times New Roman" w:hAnsi="Arial" w:cs="Times New Roman"/>
      <w:b/>
      <w:color w:val="0098C7"/>
      <w:sz w:val="96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ED4F71"/>
    <w:pPr>
      <w:spacing w:line="240" w:lineRule="atLeast"/>
    </w:pPr>
    <w:rPr>
      <w:rFonts w:ascii="Georgia" w:hAnsi="Georg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D4F71"/>
    <w:rPr>
      <w:rFonts w:ascii="Georgia" w:eastAsia="Arial" w:hAnsi="Georgia" w:cs="Times New Roman"/>
      <w:sz w:val="16"/>
      <w:szCs w:val="16"/>
    </w:rPr>
  </w:style>
  <w:style w:type="paragraph" w:customStyle="1" w:styleId="TableSpacer">
    <w:name w:val="Table Spacer"/>
    <w:basedOn w:val="Normal"/>
    <w:uiPriority w:val="34"/>
    <w:qFormat/>
    <w:rsid w:val="00ED4F71"/>
    <w:pPr>
      <w:spacing w:after="0"/>
    </w:pPr>
    <w:rPr>
      <w:rFonts w:ascii="Georgia" w:hAnsi="Georgia"/>
      <w:color w:val="263147"/>
      <w:sz w:val="4"/>
      <w:szCs w:val="21"/>
    </w:rPr>
  </w:style>
  <w:style w:type="paragraph" w:customStyle="1" w:styleId="BlockText2">
    <w:name w:val="Block Text 2"/>
    <w:basedOn w:val="Normal"/>
    <w:uiPriority w:val="99"/>
    <w:rsid w:val="00ED4F71"/>
    <w:pPr>
      <w:pBdr>
        <w:top w:val="single" w:sz="4" w:space="10" w:color="FFFFFF"/>
        <w:left w:val="single" w:sz="4" w:space="10" w:color="FFFFFF"/>
        <w:bottom w:val="single" w:sz="4" w:space="10" w:color="FFFFFF"/>
        <w:right w:val="single" w:sz="4" w:space="10" w:color="FFFFFF"/>
      </w:pBdr>
      <w:shd w:val="clear" w:color="auto" w:fill="0098C7"/>
      <w:spacing w:after="240" w:line="240" w:lineRule="atLeast"/>
      <w:ind w:left="227" w:right="227"/>
    </w:pPr>
    <w:rPr>
      <w:rFonts w:ascii="Arial" w:hAnsi="Arial"/>
      <w:i/>
      <w:color w:val="FFFFFF" w:themeColor="background1"/>
      <w:sz w:val="48"/>
      <w:szCs w:val="48"/>
    </w:rPr>
  </w:style>
  <w:style w:type="paragraph" w:styleId="BlockText">
    <w:name w:val="Block Text"/>
    <w:basedOn w:val="Normal"/>
    <w:uiPriority w:val="99"/>
    <w:semiHidden/>
    <w:unhideWhenUsed/>
    <w:locked/>
    <w:rsid w:val="00ED4F71"/>
    <w:pPr>
      <w:pBdr>
        <w:top w:val="single" w:sz="2" w:space="10" w:color="0070AD" w:themeColor="accent1" w:shadow="1"/>
        <w:left w:val="single" w:sz="2" w:space="10" w:color="0070AD" w:themeColor="accent1" w:shadow="1"/>
        <w:bottom w:val="single" w:sz="2" w:space="10" w:color="0070AD" w:themeColor="accent1" w:shadow="1"/>
        <w:right w:val="single" w:sz="2" w:space="10" w:color="0070AD" w:themeColor="accent1" w:shadow="1"/>
      </w:pBdr>
      <w:ind w:left="1152" w:right="1152"/>
    </w:pPr>
    <w:rPr>
      <w:rFonts w:eastAsiaTheme="minorEastAsia" w:cstheme="minorBidi"/>
      <w:i/>
      <w:iCs/>
      <w:color w:val="0070A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ED4F7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F71"/>
    <w:rPr>
      <w:rFonts w:ascii="Tahoma" w:eastAsia="Arial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locked/>
    <w:rsid w:val="00142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ote-Source">
    <w:name w:val="Quote-Source"/>
    <w:qFormat/>
    <w:rsid w:val="0005229F"/>
    <w:pPr>
      <w:keepNext/>
      <w:keepLines/>
      <w:spacing w:before="240" w:after="240" w:line="240" w:lineRule="auto"/>
      <w:jc w:val="right"/>
    </w:pPr>
    <w:rPr>
      <w:rFonts w:cs="Times New Roman"/>
      <w:b/>
      <w:color w:val="000000" w:themeColor="text2"/>
      <w:sz w:val="20"/>
      <w:lang w:val="fr-FR"/>
    </w:rPr>
  </w:style>
  <w:style w:type="paragraph" w:customStyle="1" w:styleId="PulloutQuote">
    <w:name w:val="Pullout Quote"/>
    <w:basedOn w:val="Normal"/>
    <w:next w:val="Quote-Source"/>
    <w:qFormat/>
    <w:rsid w:val="00A33DBE"/>
    <w:pPr>
      <w:keepNext/>
      <w:keepLines/>
    </w:pPr>
    <w:rPr>
      <w:b/>
      <w:color w:val="0070AD" w:themeColor="accent1"/>
      <w:sz w:val="28"/>
      <w:lang w:val="fr-FR"/>
    </w:rPr>
  </w:style>
  <w:style w:type="paragraph" w:customStyle="1" w:styleId="Quotes">
    <w:name w:val="Quotes"/>
    <w:qFormat/>
    <w:rsid w:val="003C2443"/>
    <w:pPr>
      <w:spacing w:after="0" w:line="240" w:lineRule="auto"/>
    </w:pPr>
    <w:rPr>
      <w:rFonts w:cs="Times New Roman"/>
      <w:b/>
      <w:color w:val="CCEFFB" w:themeColor="accent2" w:themeTint="33"/>
      <w:sz w:val="534"/>
    </w:rPr>
  </w:style>
  <w:style w:type="paragraph" w:customStyle="1" w:styleId="NormalQuote">
    <w:name w:val="Normal Quote"/>
    <w:qFormat/>
    <w:rsid w:val="003C6FB9"/>
    <w:pPr>
      <w:shd w:val="clear" w:color="auto" w:fill="F2F2F2" w:themeFill="background1" w:themeFillShade="F2"/>
      <w:spacing w:after="120" w:line="240" w:lineRule="auto"/>
      <w:jc w:val="both"/>
    </w:pPr>
    <w:rPr>
      <w:rFonts w:cs="Times New Roman"/>
      <w:i/>
      <w:color w:val="000000" w:themeColor="text1"/>
      <w:sz w:val="24"/>
      <w:szCs w:val="24"/>
    </w:rPr>
  </w:style>
  <w:style w:type="paragraph" w:customStyle="1" w:styleId="BiosRole">
    <w:name w:val="Bios Role"/>
    <w:uiPriority w:val="1"/>
    <w:qFormat/>
    <w:rsid w:val="005910CD"/>
    <w:pPr>
      <w:spacing w:after="240" w:line="240" w:lineRule="atLeast"/>
    </w:pPr>
    <w:rPr>
      <w:rFonts w:eastAsia="Times New Roman" w:cs="Times New Roman"/>
      <w:b/>
      <w:color w:val="2B0A3D" w:themeColor="accent3"/>
      <w:szCs w:val="28"/>
    </w:rPr>
  </w:style>
  <w:style w:type="paragraph" w:customStyle="1" w:styleId="MoreInformation">
    <w:name w:val="More Information"/>
    <w:qFormat/>
    <w:rsid w:val="00292562"/>
    <w:pPr>
      <w:framePr w:hSpace="180" w:wrap="around" w:vAnchor="text" w:hAnchor="margin" w:x="-318" w:y="586"/>
      <w:spacing w:before="240" w:after="0" w:line="240" w:lineRule="auto"/>
    </w:pPr>
    <w:rPr>
      <w:rFonts w:cstheme="minorHAnsi"/>
      <w:color w:val="FFFFFF" w:themeColor="background1"/>
      <w:sz w:val="18"/>
      <w:lang w:val="en-GB"/>
    </w:rPr>
  </w:style>
  <w:style w:type="paragraph" w:customStyle="1" w:styleId="ObjectStyle">
    <w:name w:val="Object Style"/>
    <w:qFormat/>
    <w:rsid w:val="005910CD"/>
    <w:pPr>
      <w:spacing w:before="120" w:after="240" w:line="240" w:lineRule="auto"/>
    </w:pPr>
    <w:rPr>
      <w:rFonts w:cs="Times New Roman"/>
      <w:noProof/>
      <w:color w:val="000000" w:themeColor="text1"/>
      <w:sz w:val="20"/>
    </w:rPr>
  </w:style>
  <w:style w:type="table" w:customStyle="1" w:styleId="NSN">
    <w:name w:val="NSN"/>
    <w:basedOn w:val="TableNormal"/>
    <w:uiPriority w:val="99"/>
    <w:qFormat/>
    <w:rsid w:val="00302489"/>
    <w:pPr>
      <w:spacing w:before="120" w:after="0" w:line="240" w:lineRule="auto"/>
    </w:pPr>
    <w:tblPr/>
  </w:style>
  <w:style w:type="table" w:customStyle="1" w:styleId="Capgemini2022">
    <w:name w:val="Capgemini 2022"/>
    <w:basedOn w:val="TableNormal"/>
    <w:uiPriority w:val="99"/>
    <w:qFormat/>
    <w:rsid w:val="00804DD4"/>
    <w:pPr>
      <w:spacing w:after="0" w:line="240" w:lineRule="auto"/>
    </w:pPr>
    <w:rPr>
      <w:color w:val="000000" w:themeColor="text1"/>
      <w:sz w:val="20"/>
    </w:rPr>
    <w:tblPr>
      <w:tblStyleRowBandSize w:val="1"/>
      <w:tblStyleColBandSize w:val="1"/>
      <w:tblCellMar>
        <w:top w:w="108" w:type="dxa"/>
        <w:bottom w:w="108" w:type="dxa"/>
      </w:tblCellMar>
    </w:tblPr>
    <w:tcPr>
      <w:shd w:val="clear" w:color="auto" w:fill="FFFFFF" w:themeFill="background1"/>
      <w:vAlign w:val="center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textboxTightWrap w:val="none"/>
        <w:outlineLvl w:val="9"/>
      </w:pPr>
      <w:rPr>
        <w:rFonts w:ascii="Ubuntu Medium" w:hAnsi="Ubuntu Medium"/>
        <w:b w:val="0"/>
        <w:i w:val="0"/>
        <w:caps/>
        <w:smallCaps w:val="0"/>
        <w:strike w:val="0"/>
        <w:dstrike w:val="0"/>
        <w:vanish w:val="0"/>
        <w:color w:val="12ABDB" w:themeColor="accent2"/>
        <w:spacing w:val="0"/>
        <w:w w:val="100"/>
        <w:kern w:val="24"/>
        <w:position w:val="0"/>
        <w:sz w:val="24"/>
        <w:vertAlign w:val="baseline"/>
        <w14:ligatures w14:val="none"/>
        <w14:numForm w14:val="default"/>
        <w14:numSpacing w14:val="default"/>
        <w14:stylisticSets/>
        <w14:cntxtAlts w14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2936" w:themeFill="accent4"/>
      </w:tcPr>
    </w:tblStylePr>
    <w:tblStylePr w:type="lastRow">
      <w:pPr>
        <w:jc w:val="center"/>
      </w:pPr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FFFFFF" w:themeColor="background1"/>
          <w:left w:val="single" w:sz="4" w:space="0" w:color="000000" w:themeColor="text2"/>
          <w:bottom w:val="single" w:sz="4" w:space="0" w:color="000000" w:themeColor="text2"/>
          <w:right w:val="single" w:sz="4" w:space="0" w:color="000000" w:themeColor="text2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99E0F6" w:themeFill="accent2" w:themeFillTint="66"/>
        <w:vAlign w:val="center"/>
      </w:tcPr>
    </w:tblStylePr>
    <w:tblStylePr w:type="firstCol">
      <w:pPr>
        <w:jc w:val="left"/>
      </w:pPr>
      <w:rPr>
        <w:rFonts w:asciiTheme="minorHAnsi" w:hAnsiTheme="minorHAnsi"/>
        <w:b/>
        <w:color w:val="000000" w:themeColor="text1"/>
        <w:sz w:val="20"/>
      </w:rPr>
    </w:tblStylePr>
    <w:tblStylePr w:type="lastCol">
      <w:rPr>
        <w:rFonts w:asciiTheme="minorHAnsi" w:hAnsiTheme="minorHAnsi"/>
        <w:b w:val="0"/>
        <w:color w:val="272936" w:themeColor="accent4"/>
        <w:sz w:val="20"/>
      </w:rPr>
    </w:tblStylePr>
    <w:tblStylePr w:type="band1Vert">
      <w:rPr>
        <w:rFonts w:asciiTheme="minorHAnsi" w:hAnsiTheme="minorHAnsi"/>
        <w:color w:val="000000" w:themeColor="text1"/>
        <w:sz w:val="20"/>
      </w:rPr>
    </w:tblStylePr>
    <w:tblStylePr w:type="band2Vert">
      <w:rPr>
        <w:rFonts w:asciiTheme="minorHAnsi" w:hAnsiTheme="minorHAnsi"/>
        <w:color w:val="000000" w:themeColor="text1"/>
        <w:sz w:val="20"/>
      </w:rPr>
    </w:tblStylePr>
    <w:tblStylePr w:type="band1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outlineLvl w:val="9"/>
      </w:pPr>
      <w:rPr>
        <w:rFonts w:asciiTheme="minorHAnsi" w:hAnsiTheme="minorHAnsi"/>
        <w:color w:val="000000" w:themeColor="text1"/>
        <w:sz w:val="20"/>
      </w:rPr>
      <w:tblPr/>
      <w:tcPr>
        <w:shd w:val="clear" w:color="auto" w:fill="FFFFFF" w:themeFill="background1"/>
      </w:tcPr>
    </w:tblStylePr>
    <w:tblStylePr w:type="band2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outlineLvl w:val="9"/>
      </w:pPr>
      <w:rPr>
        <w:rFonts w:asciiTheme="minorHAnsi" w:hAnsiTheme="minorHAnsi"/>
        <w:color w:val="000000" w:themeColor="text1"/>
        <w:sz w:val="20"/>
      </w:rPr>
      <w:tblPr/>
      <w:tcPr>
        <w:shd w:val="clear" w:color="auto" w:fill="ECECEC" w:themeFill="background2"/>
      </w:tcPr>
    </w:tblStylePr>
  </w:style>
  <w:style w:type="paragraph" w:styleId="NormalWeb">
    <w:name w:val="Normal (Web)"/>
    <w:basedOn w:val="Normal"/>
    <w:uiPriority w:val="99"/>
    <w:semiHidden/>
    <w:unhideWhenUsed/>
    <w:locked/>
    <w:rsid w:val="003F728C"/>
    <w:pPr>
      <w:spacing w:before="100" w:beforeAutospacing="1" w:after="100" w:afterAutospacing="1"/>
    </w:pPr>
    <w:rPr>
      <w:rFonts w:ascii="Times New Roman" w:eastAsiaTheme="minorEastAsia" w:hAnsi="Times New Roman"/>
      <w:b/>
      <w:bCs/>
    </w:rPr>
  </w:style>
  <w:style w:type="paragraph" w:customStyle="1" w:styleId="CopyrightExtraLine">
    <w:name w:val="Copyright Extra Line"/>
    <w:basedOn w:val="Normal"/>
    <w:uiPriority w:val="1"/>
    <w:qFormat/>
    <w:rsid w:val="003F728C"/>
    <w:rPr>
      <w:b/>
      <w:color w:val="FFFFFF" w:themeColor="background1"/>
      <w:sz w:val="16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5C3455"/>
    <w:rPr>
      <w:color w:val="00E6E3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4316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43163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163A"/>
    <w:rPr>
      <w:rFonts w:ascii="Verdana" w:eastAsia="Arial" w:hAnsi="Verdana" w:cs="Arial"/>
      <w:b/>
      <w:bCs/>
      <w:color w:val="000000" w:themeColor="text1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43163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163A"/>
    <w:rPr>
      <w:rFonts w:ascii="Verdana" w:eastAsia="Arial" w:hAnsi="Verdana" w:cs="Arial"/>
      <w:b/>
      <w:bCs/>
      <w:color w:val="000000" w:themeColor="text1"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43163A"/>
    <w:pPr>
      <w:spacing w:after="0" w:line="240" w:lineRule="auto"/>
    </w:pPr>
    <w:rPr>
      <w:rFonts w:ascii="Verdana" w:hAnsi="Verdana" w:cs="Arial"/>
      <w:b/>
      <w:bCs/>
      <w:color w:val="000000" w:themeColor="text1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CD7E84"/>
    <w:pPr>
      <w:spacing w:before="240"/>
      <w:outlineLvl w:val="9"/>
    </w:pPr>
    <w:rPr>
      <w:rFonts w:eastAsiaTheme="majorEastAsia" w:cstheme="majorBidi"/>
      <w:b/>
      <w:bCs/>
      <w:color w:val="00538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0D7A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72936" w:themeColor="accent4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0D"/>
    <w:rPr>
      <w:rFonts w:asciiTheme="majorHAnsi" w:eastAsiaTheme="majorEastAsia" w:hAnsiTheme="majorHAnsi" w:cstheme="majorBidi"/>
      <w:color w:val="272936" w:themeColor="accent4"/>
      <w:spacing w:val="-10"/>
      <w:kern w:val="28"/>
      <w:sz w:val="40"/>
      <w:szCs w:val="56"/>
    </w:rPr>
  </w:style>
  <w:style w:type="character" w:styleId="Strong">
    <w:name w:val="Strong"/>
    <w:basedOn w:val="DefaultParagraphFont"/>
    <w:uiPriority w:val="22"/>
    <w:qFormat/>
    <w:locked/>
    <w:rsid w:val="00E720AA"/>
    <w:rPr>
      <w:b/>
      <w:bCs/>
    </w:rPr>
  </w:style>
  <w:style w:type="character" w:customStyle="1" w:styleId="Heading5Char">
    <w:name w:val="Heading 5 Char"/>
    <w:basedOn w:val="DefaultParagraphFont"/>
    <w:link w:val="Heading5"/>
    <w:rsid w:val="009D21E5"/>
    <w:rPr>
      <w:rFonts w:asciiTheme="majorHAnsi" w:hAnsiTheme="majorHAnsi" w:cs="Times New Roman"/>
      <w:color w:val="000000" w:themeColor="text1"/>
      <w:sz w:val="28"/>
      <w:lang w:val="en-GB"/>
    </w:rPr>
  </w:style>
  <w:style w:type="character" w:customStyle="1" w:styleId="Heading6Char">
    <w:name w:val="Heading 6 Char"/>
    <w:basedOn w:val="DefaultParagraphFont"/>
    <w:link w:val="Heading6"/>
    <w:uiPriority w:val="47"/>
    <w:semiHidden/>
    <w:rsid w:val="00D1742A"/>
    <w:rPr>
      <w:rFonts w:asciiTheme="majorHAnsi" w:eastAsiaTheme="majorEastAsia" w:hAnsiTheme="majorHAnsi" w:cstheme="majorBidi"/>
      <w:color w:val="000000" w:themeColor="text1"/>
      <w:sz w:val="28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7F"/>
    <w:rPr>
      <w:rFonts w:asciiTheme="majorHAnsi" w:eastAsiaTheme="majorEastAsia" w:hAnsiTheme="majorHAnsi" w:cstheme="majorBidi"/>
      <w:i/>
      <w:iCs/>
      <w:color w:val="003756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7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1">
    <w:name w:val="Head1"/>
    <w:next w:val="Normal"/>
    <w:qFormat/>
    <w:rsid w:val="00196143"/>
    <w:pPr>
      <w:keepNext/>
      <w:keepLines/>
      <w:pageBreakBefore/>
    </w:pPr>
    <w:rPr>
      <w:rFonts w:asciiTheme="majorHAnsi" w:hAnsiTheme="majorHAnsi" w:cs="Times New Roman"/>
      <w:color w:val="272936" w:themeColor="accent4"/>
      <w:sz w:val="48"/>
      <w:szCs w:val="60"/>
      <w:lang w:val="en-GB"/>
    </w:rPr>
  </w:style>
  <w:style w:type="paragraph" w:customStyle="1" w:styleId="QuestionStyle">
    <w:name w:val="Question Style"/>
    <w:next w:val="Normal"/>
    <w:uiPriority w:val="19"/>
    <w:qFormat/>
    <w:rsid w:val="006E3C6F"/>
    <w:pPr>
      <w:pBdr>
        <w:top w:val="single" w:sz="4" w:space="1" w:color="auto"/>
        <w:bottom w:val="single" w:sz="4" w:space="1" w:color="auto"/>
      </w:pBdr>
      <w:spacing w:before="240" w:after="120"/>
    </w:pPr>
    <w:rPr>
      <w:rFonts w:asciiTheme="majorHAnsi" w:eastAsia="Calibri" w:hAnsiTheme="majorHAnsi" w:cs="Times New Roman"/>
      <w:i/>
      <w:color w:val="272936" w:themeColor="accent4"/>
      <w:sz w:val="20"/>
      <w:szCs w:val="20"/>
      <w:lang w:eastAsia="en-GB"/>
    </w:rPr>
  </w:style>
  <w:style w:type="paragraph" w:customStyle="1" w:styleId="BoilerplateHead1">
    <w:name w:val="Boilerplate Head 1"/>
    <w:basedOn w:val="BoilerplateHead"/>
    <w:uiPriority w:val="1"/>
    <w:rsid w:val="007F67D8"/>
    <w:pPr>
      <w:pBdr>
        <w:bottom w:val="single" w:sz="4" w:space="1" w:color="FFFFFF" w:themeColor="background1"/>
      </w:pBdr>
      <w:ind w:left="0" w:right="4820"/>
    </w:pPr>
    <w:rPr>
      <w:caps/>
    </w:rPr>
  </w:style>
  <w:style w:type="paragraph" w:customStyle="1" w:styleId="Boilerplatetext1">
    <w:name w:val="Boilerplate text 1"/>
    <w:basedOn w:val="BoilerplateText"/>
    <w:uiPriority w:val="1"/>
    <w:qFormat/>
    <w:rsid w:val="00302CFD"/>
    <w:pPr>
      <w:tabs>
        <w:tab w:val="left" w:pos="3784"/>
      </w:tabs>
      <w:ind w:left="0" w:right="4820"/>
    </w:pPr>
    <w:rPr>
      <w:color w:val="FFFFFF" w:themeColor="background1"/>
    </w:rPr>
  </w:style>
  <w:style w:type="character" w:styleId="UnresolvedMention">
    <w:name w:val="Unresolved Mention"/>
    <w:basedOn w:val="DefaultParagraphFont"/>
    <w:uiPriority w:val="99"/>
    <w:semiHidden/>
    <w:unhideWhenUsed/>
    <w:rsid w:val="00A337DE"/>
    <w:rPr>
      <w:color w:val="605E5C"/>
      <w:shd w:val="clear" w:color="auto" w:fill="E1DFDD"/>
    </w:rPr>
  </w:style>
  <w:style w:type="paragraph" w:styleId="Caption">
    <w:name w:val="caption"/>
    <w:basedOn w:val="FigureDescriptor"/>
    <w:next w:val="Normal"/>
    <w:uiPriority w:val="35"/>
    <w:qFormat/>
    <w:locked/>
    <w:rsid w:val="00F61F77"/>
    <w:rPr>
      <w:lang w:val="en-GB"/>
    </w:rPr>
  </w:style>
  <w:style w:type="character" w:customStyle="1" w:styleId="FootergreyChar">
    <w:name w:val="Footer grey Char"/>
    <w:basedOn w:val="DefaultParagraphFont"/>
    <w:link w:val="Footergrey"/>
    <w:rsid w:val="00903161"/>
    <w:rPr>
      <w:rFonts w:eastAsia="Arial" w:cs="Times New Roman"/>
      <w:color w:val="808080" w:themeColor="background1" w:themeShade="80"/>
      <w:sz w:val="16"/>
      <w:szCs w:val="16"/>
    </w:rPr>
  </w:style>
  <w:style w:type="paragraph" w:styleId="ListParagraph">
    <w:name w:val="List Paragraph"/>
    <w:basedOn w:val="Normal"/>
    <w:uiPriority w:val="34"/>
    <w:qFormat/>
    <w:locked/>
    <w:rsid w:val="00AC3CBE"/>
    <w:pPr>
      <w:spacing w:after="160" w:line="259" w:lineRule="auto"/>
      <w:ind w:left="720"/>
      <w:contextualSpacing/>
    </w:pPr>
    <w:rPr>
      <w:rFonts w:eastAsiaTheme="minorHAnsi" w:cstheme="minorBidi"/>
      <w:sz w:val="22"/>
    </w:rPr>
  </w:style>
  <w:style w:type="paragraph" w:customStyle="1" w:styleId="TABLEHEADINGSTYLE">
    <w:name w:val="TABLE HEADING STYLE"/>
    <w:basedOn w:val="Normal"/>
    <w:link w:val="TABLEHEADINGSTYLEChar"/>
    <w:autoRedefine/>
    <w:qFormat/>
    <w:rsid w:val="00E831F6"/>
    <w:rPr>
      <w:rFonts w:ascii="Ubuntu Medium" w:hAnsi="Ubuntu Medium"/>
      <w:caps/>
      <w:color w:val="12ABDB" w:themeColor="accent2"/>
      <w:sz w:val="24"/>
    </w:rPr>
  </w:style>
  <w:style w:type="character" w:customStyle="1" w:styleId="TABLEHEADINGSTYLEChar">
    <w:name w:val="TABLE HEADING STYLE Char"/>
    <w:basedOn w:val="DefaultParagraphFont"/>
    <w:link w:val="TABLEHEADINGSTYLE"/>
    <w:rsid w:val="00E831F6"/>
    <w:rPr>
      <w:rFonts w:ascii="Ubuntu Medium" w:eastAsia="Arial" w:hAnsi="Ubuntu Medium" w:cs="Times New Roman"/>
      <w:caps/>
      <w:color w:val="12ABDB" w:themeColor="accent2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DD64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locked/>
    <w:rsid w:val="00DD64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40E"/>
    <w:rPr>
      <w:rFonts w:cs="Times New Roman"/>
      <w:i/>
      <w:iCs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locked/>
    <w:rsid w:val="00DD640E"/>
    <w:rPr>
      <w:i/>
      <w:iCs/>
      <w:color w:val="00538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locked/>
    <w:rsid w:val="00DD640E"/>
    <w:pPr>
      <w:pBdr>
        <w:top w:val="single" w:sz="4" w:space="10" w:color="005381" w:themeColor="accent1" w:themeShade="BF"/>
        <w:bottom w:val="single" w:sz="4" w:space="10" w:color="005381" w:themeColor="accent1" w:themeShade="BF"/>
      </w:pBdr>
      <w:spacing w:before="360" w:after="360"/>
      <w:ind w:left="864" w:right="864"/>
      <w:jc w:val="center"/>
    </w:pPr>
    <w:rPr>
      <w:i/>
      <w:iCs/>
      <w:color w:val="00538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40E"/>
    <w:rPr>
      <w:rFonts w:cs="Times New Roman"/>
      <w:i/>
      <w:iCs/>
      <w:color w:val="00538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locked/>
    <w:rsid w:val="00DD640E"/>
    <w:rPr>
      <w:b/>
      <w:bCs/>
      <w:smallCaps/>
      <w:color w:val="00538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locked/>
    <w:rsid w:val="00DD640E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78CFFF" w:themeColor="accent1" w:themeTint="66"/>
        <w:left w:val="single" w:sz="4" w:space="0" w:color="78CFFF" w:themeColor="accent1" w:themeTint="66"/>
        <w:bottom w:val="single" w:sz="4" w:space="0" w:color="78CFFF" w:themeColor="accent1" w:themeTint="66"/>
        <w:right w:val="single" w:sz="4" w:space="0" w:color="78CFFF" w:themeColor="accent1" w:themeTint="66"/>
        <w:insideH w:val="single" w:sz="4" w:space="0" w:color="78CFFF" w:themeColor="accent1" w:themeTint="66"/>
        <w:insideV w:val="single" w:sz="4" w:space="0" w:color="78CFFF" w:themeColor="accent1" w:themeTint="66"/>
      </w:tblBorders>
    </w:tblPr>
  </w:style>
  <w:style w:type="table" w:styleId="GridTable4-Accent1">
    <w:name w:val="Grid Table 4 Accent 1"/>
    <w:basedOn w:val="TableNormal"/>
    <w:uiPriority w:val="49"/>
    <w:locked/>
    <w:rsid w:val="00DD640E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34B7FF" w:themeColor="accent1" w:themeTint="99"/>
        <w:left w:val="single" w:sz="4" w:space="0" w:color="34B7FF" w:themeColor="accent1" w:themeTint="99"/>
        <w:bottom w:val="single" w:sz="4" w:space="0" w:color="34B7FF" w:themeColor="accent1" w:themeTint="99"/>
        <w:right w:val="single" w:sz="4" w:space="0" w:color="34B7FF" w:themeColor="accent1" w:themeTint="99"/>
        <w:insideH w:val="single" w:sz="4" w:space="0" w:color="34B7FF" w:themeColor="accent1" w:themeTint="99"/>
        <w:insideV w:val="single" w:sz="4" w:space="0" w:color="34B7FF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Capgemini2021">
  <a:themeElements>
    <a:clrScheme name="Capgemini 2021">
      <a:dk1>
        <a:sysClr val="windowText" lastClr="000000"/>
      </a:dk1>
      <a:lt1>
        <a:srgbClr val="FFFFFF"/>
      </a:lt1>
      <a:dk2>
        <a:srgbClr val="000000"/>
      </a:dk2>
      <a:lt2>
        <a:srgbClr val="ECECEC"/>
      </a:lt2>
      <a:accent1>
        <a:srgbClr val="0070AD"/>
      </a:accent1>
      <a:accent2>
        <a:srgbClr val="12ABDB"/>
      </a:accent2>
      <a:accent3>
        <a:srgbClr val="2B0A3D"/>
      </a:accent3>
      <a:accent4>
        <a:srgbClr val="272936"/>
      </a:accent4>
      <a:accent5>
        <a:srgbClr val="0F878A"/>
      </a:accent5>
      <a:accent6>
        <a:srgbClr val="14596B"/>
      </a:accent6>
      <a:hlink>
        <a:srgbClr val="00929B"/>
      </a:hlink>
      <a:folHlink>
        <a:srgbClr val="00E6E3"/>
      </a:folHlink>
    </a:clrScheme>
    <a:fontScheme name="Capgemini 2021">
      <a:majorFont>
        <a:latin typeface="Ubuntu Medium"/>
        <a:ea typeface=""/>
        <a:cs typeface=""/>
      </a:majorFont>
      <a:minorFont>
        <a:latin typeface="Ubuntu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 sz="16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Green A">
      <a:srgbClr val="57CF80"/>
    </a:custClr>
    <a:custClr name="Green B">
      <a:srgbClr val="33B569"/>
    </a:custClr>
    <a:custClr name="Green C">
      <a:srgbClr val="2EA657"/>
    </a:custClr>
    <a:custClr name="Green D">
      <a:srgbClr val="2EA657"/>
    </a:custClr>
    <a:custClr name="Green E">
      <a:srgbClr val="176036"/>
    </a:custClr>
    <a:custClr name="Teal A">
      <a:srgbClr val="00E6E3"/>
    </a:custClr>
    <a:custClr name="Teal B">
      <a:srgbClr val="00D5D0"/>
    </a:custClr>
    <a:custClr name="Teal C">
      <a:srgbClr val="00BFBF"/>
    </a:custClr>
    <a:custClr name="Teal D">
      <a:srgbClr val="00929B"/>
    </a:custClr>
    <a:custClr name="Teal E">
      <a:srgbClr val="007D74"/>
    </a:custClr>
    <a:custClr name="Peacock A">
      <a:srgbClr val="00E0CB"/>
    </a:custClr>
    <a:custClr name="Peacock B">
      <a:srgbClr val="00B2A2"/>
    </a:custClr>
    <a:custClr name="Peacock C">
      <a:srgbClr val="0F878A"/>
    </a:custClr>
    <a:custClr name="Peacock D">
      <a:srgbClr val="0F6A73"/>
    </a:custClr>
    <a:custClr name="Peacock E">
      <a:srgbClr val="0F434A"/>
    </a:custClr>
    <a:custClr name="Saphire A">
      <a:srgbClr val="338091"/>
    </a:custClr>
    <a:custClr name="Saphire B">
      <a:srgbClr val="336B7D"/>
    </a:custClr>
    <a:custClr name="Saphire C">
      <a:srgbClr val="14596B"/>
    </a:custClr>
    <a:custClr name="Saphire D">
      <a:srgbClr val="214554"/>
    </a:custClr>
    <a:custClr name="Saphire E">
      <a:srgbClr val="173340"/>
    </a:custClr>
    <a:custClr name="Violet A">
      <a:srgbClr val="E557AD"/>
    </a:custClr>
    <a:custClr name="Violet B">
      <a:srgbClr val="D13A8C"/>
    </a:custClr>
    <a:custClr name="Violet C">
      <a:srgbClr val="BA2980"/>
    </a:custClr>
    <a:custClr name="Violet D">
      <a:srgbClr val="A12980"/>
    </a:custClr>
    <a:custClr name="Violet E">
      <a:srgbClr val="811B6F"/>
    </a:custClr>
    <a:custClr name="Yellow A">
      <a:srgbClr val="FFDA80"/>
    </a:custClr>
    <a:custClr name="Yellow B">
      <a:srgbClr val="FFD068"/>
    </a:custClr>
    <a:custClr name="Yellow C">
      <a:srgbClr val="FFB24A"/>
    </a:custClr>
    <a:custClr name="Yellow D">
      <a:srgbClr val="FF9C29"/>
    </a:custClr>
    <a:custClr name="Yellow E">
      <a:srgbClr val="FF8E12"/>
    </a:custClr>
    <a:custClr name="Velvet A">
      <a:srgbClr val="9E4780"/>
    </a:custClr>
    <a:custClr name="Velvet B">
      <a:srgbClr val="802B73"/>
    </a:custClr>
    <a:custClr name="Velvet C">
      <a:srgbClr val="750D5C"/>
    </a:custClr>
    <a:custClr name="Velvet D">
      <a:srgbClr val="590A42"/>
    </a:custClr>
    <a:custClr name="Velvet E">
      <a:srgbClr val="42142E"/>
    </a:custClr>
    <a:custClr name="Red A">
      <a:srgbClr val="FF5770"/>
    </a:custClr>
    <a:custClr name="Red B">
      <a:srgbClr val="FF455E"/>
    </a:custClr>
    <a:custClr name="Red C">
      <a:srgbClr val="FF304D"/>
    </a:custClr>
    <a:custClr name="Red D">
      <a:srgbClr val="E30021"/>
    </a:custClr>
    <a:custClr name="Red E">
      <a:srgbClr val="A6001A"/>
    </a:custClr>
  </a:custClrLst>
  <a:extLst>
    <a:ext uri="{05A4C25C-085E-4340-85A3-A5531E510DB2}">
      <thm15:themeFamily xmlns:thm15="http://schemas.microsoft.com/office/thememl/2012/main" name="Capgemini2021" id="{36ED177E-EF4B-47E5-8F7D-1ECE76635615}" vid="{E36C09C7-F111-4B3E-A390-E3B43FC1B62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B6106DB0A21244ACD48E9FC04F325A" ma:contentTypeVersion="13" ma:contentTypeDescription="Ein neues Dokument erstellen." ma:contentTypeScope="" ma:versionID="a3ff918165d97efd29745553a51a39cc">
  <xsd:schema xmlns:xsd="http://www.w3.org/2001/XMLSchema" xmlns:xs="http://www.w3.org/2001/XMLSchema" xmlns:p="http://schemas.microsoft.com/office/2006/metadata/properties" xmlns:ns2="d0180478-e09c-4915-be5d-889598127865" xmlns:ns3="c77a16c6-ba08-45e2-9d1b-6b2ea16a1c64" targetNamespace="http://schemas.microsoft.com/office/2006/metadata/properties" ma:root="true" ma:fieldsID="4f31d7cf0972ea61e2a1d2d3767bd08b" ns2:_="" ns3:_="">
    <xsd:import namespace="d0180478-e09c-4915-be5d-889598127865"/>
    <xsd:import namespace="c77a16c6-ba08-45e2-9d1b-6b2ea16a1c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180478-e09c-4915-be5d-8895981278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a16c6-ba08-45e2-9d1b-6b2ea16a1c6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180478-e09c-4915-be5d-88959812786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CE5A08-3A24-4B84-B786-E9483A8C3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180478-e09c-4915-be5d-889598127865"/>
    <ds:schemaRef ds:uri="c77a16c6-ba08-45e2-9d1b-6b2ea16a1c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23D3AD-25AD-4E14-9C0E-5A46ED32C27A}">
  <ds:schemaRefs>
    <ds:schemaRef ds:uri="http://schemas.microsoft.com/office/2006/metadata/properties"/>
    <ds:schemaRef ds:uri="http://schemas.microsoft.com/office/infopath/2007/PartnerControls"/>
    <ds:schemaRef ds:uri="d0180478-e09c-4915-be5d-889598127865"/>
  </ds:schemaRefs>
</ds:datastoreItem>
</file>

<file path=customXml/itemProps3.xml><?xml version="1.0" encoding="utf-8"?>
<ds:datastoreItem xmlns:ds="http://schemas.openxmlformats.org/officeDocument/2006/customXml" ds:itemID="{897B21C4-DA53-474B-A182-F749B561D9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F86BD1-D2C7-4808-BB86-FE1B84F54EB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1500</Words>
  <Characters>10080</Characters>
  <Application>Microsoft Office Word</Application>
  <DocSecurity>0</DocSecurity>
  <Lines>229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Capgemini template_CoverB</vt:lpstr>
    </vt:vector>
  </TitlesOfParts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Capgemini template_CoverB</dc:title>
  <dc:subject/>
  <dc:creator>Kabk, Mohamed</dc:creator>
  <cp:keywords/>
  <dc:description/>
  <cp:lastModifiedBy>Kabk, Mohamed</cp:lastModifiedBy>
  <cp:revision>2</cp:revision>
  <cp:lastPrinted>2021-06-25T11:03:00Z</cp:lastPrinted>
  <dcterms:created xsi:type="dcterms:W3CDTF">2026-05-21T08:08:00Z</dcterms:created>
  <dcterms:modified xsi:type="dcterms:W3CDTF">2026-05-21T08:08:00Z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60c494-6550-44b4-8258-77c175d778b7_Enabled">
    <vt:lpwstr>true</vt:lpwstr>
  </property>
  <property fmtid="{D5CDD505-2E9C-101B-9397-08002B2CF9AE}" pid="3" name="MSIP_Label_e760c494-6550-44b4-8258-77c175d778b7_SetDate">
    <vt:lpwstr>2026-05-21T08:08:51Z</vt:lpwstr>
  </property>
  <property fmtid="{D5CDD505-2E9C-101B-9397-08002B2CF9AE}" pid="4" name="MSIP_Label_e760c494-6550-44b4-8258-77c175d778b7_Method">
    <vt:lpwstr>Standard</vt:lpwstr>
  </property>
  <property fmtid="{D5CDD505-2E9C-101B-9397-08002B2CF9AE}" pid="5" name="MSIP_Label_e760c494-6550-44b4-8258-77c175d778b7_Name">
    <vt:lpwstr>Capgemini-SEC0-Public</vt:lpwstr>
  </property>
  <property fmtid="{D5CDD505-2E9C-101B-9397-08002B2CF9AE}" pid="6" name="MSIP_Label_e760c494-6550-44b4-8258-77c175d778b7_SiteId">
    <vt:lpwstr>76a2ae5a-9f00-4f6b-95ed-5d33d77c4d61</vt:lpwstr>
  </property>
  <property fmtid="{D5CDD505-2E9C-101B-9397-08002B2CF9AE}" pid="7" name="MSIP_Label_e760c494-6550-44b4-8258-77c175d778b7_ActionId">
    <vt:lpwstr>4dcb0d26-a83a-4014-8aff-b1bb5fb66501</vt:lpwstr>
  </property>
  <property fmtid="{D5CDD505-2E9C-101B-9397-08002B2CF9AE}" pid="8" name="MSIP_Label_e760c494-6550-44b4-8258-77c175d778b7_ContentBits">
    <vt:lpwstr>0</vt:lpwstr>
  </property>
</Properties>
</file>