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F96167"/>
          <w:spacing w:val="80"/>
          <w:sz w:val="28"/>
          <w:szCs w:val="28"/>
        </w:rPr>
        <w:t xml:space="preserve">CAHIER DES CHARGES</w:t>
      </w:r>
    </w:p>
    <w:p>
      <w:pPr>
        <w:spacing w:after="200"/>
        <w:jc w:val="center"/>
      </w:pPr>
      <w:r>
        <w:rPr>
          <w:rFonts w:ascii="Georgia" w:cs="Georgia" w:eastAsia="Georgia" w:hAnsi="Georgia"/>
          <w:b/>
          <w:bCs/>
          <w:color w:val="1E2761"/>
          <w:sz w:val="96"/>
          <w:szCs w:val="96"/>
        </w:rPr>
        <w:t xml:space="preserve">ENICAR Connect</w:t>
      </w:r>
    </w:p>
    <w:p>
      <w:pPr>
        <w:pBdr>
          <w:bottom w:val="single" w:color="F96167" w:sz="12" w:space="8"/>
        </w:pBdr>
        <w:spacing w:after="600"/>
        <w:jc w:val="center"/>
      </w:pPr>
      <w:r>
        <w:rPr>
          <w:rFonts w:ascii="Calibri" w:cs="Calibri" w:eastAsia="Calibri" w:hAnsi="Calibri"/>
          <w:color w:val="5A6378"/>
          <w:sz w:val="26"/>
          <w:szCs w:val="26"/>
        </w:rPr>
        <w:t xml:space="preserve">Plateforme web communautaire de l’École Nationale d’Ingénieurs de Carthage</w:t>
      </w:r>
    </w:p>
    <w:p>
      <w:pPr>
        <w:spacing w:after="120"/>
        <w:jc w:val="center"/>
      </w:pPr>
      <w:r>
        <w:rPr>
          <w:rFonts w:ascii="Calibri" w:cs="Calibri" w:eastAsia="Calibri" w:hAnsi="Calibri"/>
          <w:b/>
          <w:bCs/>
          <w:color w:val="1E2761"/>
          <w:sz w:val="22"/>
          <w:szCs w:val="22"/>
        </w:rPr>
        <w:t xml:space="preserve">Document fonctionnel &amp; technique — Version finale</w:t>
      </w:r>
    </w:p>
    <w:p>
      <w:pPr>
        <w:spacing w:after="800"/>
        <w:jc w:val="center"/>
      </w:pPr>
      <w:r>
        <w:rPr>
          <w:rFonts w:ascii="Calibri" w:cs="Calibri" w:eastAsia="Calibri" w:hAnsi="Calibri"/>
          <w:color w:val="5A6378"/>
          <w:sz w:val="22"/>
          <w:szCs w:val="22"/>
        </w:rPr>
        <w:t xml:space="preserve">Année universitaire 2025 /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61" w:sz="12"/>
              <w:left w:val="single" w:color="1E2761" w:sz="24"/>
              <w:bottom w:val="single" w:color="1E2761" w:sz="4"/>
              <w:right w:val="single" w:color="1E2761" w:sz="4"/>
            </w:tcBorders>
            <w:shd w:fill="F4F6FB" w:val="clear"/>
            <w:tcMar>
              <w:top w:type="dxa" w:w="160"/>
              <w:left w:type="dxa" w:w="220"/>
              <w:bottom w:type="dxa" w:w="160"/>
              <w:right w:type="dxa" w:w="220"/>
            </w:tcMar>
          </w:tcPr>
          <w:p>
            <w:pPr>
              <w:spacing w:after="100"/>
            </w:pPr>
            <w:r>
              <w:rPr>
                <w:rFonts w:ascii="Calibri" w:cs="Calibri" w:eastAsia="Calibri" w:hAnsi="Calibri"/>
                <w:b/>
                <w:bCs/>
                <w:caps/>
                <w:color w:val="1E2761"/>
                <w:spacing w:val="30"/>
                <w:sz w:val="22"/>
                <w:szCs w:val="22"/>
              </w:rPr>
              <w:t xml:space="preserve">Réalisé par</w:t>
            </w:r>
          </w:p>
          <w:p>
            <w:pPr>
              <w:spacing w:after="60"/>
            </w:pPr>
            <w:r>
              <w:rPr>
                <w:rFonts w:ascii="Calibri" w:cs="Calibri" w:eastAsia="Calibri" w:hAnsi="Calibri"/>
                <w:color w:val="333333"/>
                <w:sz w:val="22"/>
                <w:szCs w:val="22"/>
              </w:rPr>
              <w:t xml:space="preserve">Mohamed Jerbi</w:t>
            </w:r>
          </w:p>
          <w:p>
            <w:pPr>
              <w:spacing w:after="60"/>
            </w:pPr>
            <w:r>
              <w:rPr>
                <w:rFonts w:ascii="Calibri" w:cs="Calibri" w:eastAsia="Calibri" w:hAnsi="Calibri"/>
                <w:color w:val="333333"/>
                <w:sz w:val="22"/>
                <w:szCs w:val="22"/>
              </w:rPr>
              <w:t xml:space="preserve">Mohamed Babou</w:t>
            </w:r>
          </w:p>
          <w:p>
            <w:pPr>
              <w:spacing w:after="60"/>
            </w:pPr>
            <w:r>
              <w:rPr>
                <w:rFonts w:ascii="Calibri" w:cs="Calibri" w:eastAsia="Calibri" w:hAnsi="Calibri"/>
                <w:color w:val="333333"/>
                <w:sz w:val="22"/>
                <w:szCs w:val="22"/>
              </w:rPr>
              <w:t xml:space="preserve">Mohamed Dhia Al Islam Abidi</w:t>
            </w:r>
          </w:p>
          <w:p>
            <w:pPr>
              <w:spacing w:after="60"/>
            </w:pPr>
            <w:r>
              <w:rPr>
                <w:rFonts w:ascii="Calibri" w:cs="Calibri" w:eastAsia="Calibri" w:hAnsi="Calibri"/>
                <w:b/>
                <w:bCs/>
                <w:color w:val="1E2761"/>
                <w:sz w:val="22"/>
                <w:szCs w:val="22"/>
              </w:rPr>
              <w:t xml:space="preserve">Classe : </w:t>
            </w:r>
            <w:r>
              <w:rPr>
                <w:rFonts w:ascii="Calibri" w:cs="Calibri" w:eastAsia="Calibri" w:hAnsi="Calibri"/>
                <w:sz w:val="22"/>
                <w:szCs w:val="22"/>
              </w:rPr>
              <w:t xml:space="preserve">2ème Info — Groupe C</w:t>
            </w:r>
          </w:p>
        </w:tc>
      </w:tr>
    </w:tbl>
    <w:p>
      <w:r>
        <w:br w:type="page"/>
      </w:r>
    </w:p>
    <w:p>
      <w:pPr>
        <w:pStyle w:val="Heading1"/>
        <w:pBdr>
          <w:bottom w:val="single" w:color="F96167" w:sz="12" w:space="4"/>
        </w:pBdr>
        <w:spacing w:after="180" w:before="360"/>
      </w:pPr>
      <w:r>
        <w:rPr>
          <w:rFonts w:ascii="Georgia" w:cs="Georgia" w:eastAsia="Georgia" w:hAnsi="Georgia"/>
          <w:b/>
          <w:bCs/>
          <w:color w:val="1E2761"/>
          <w:sz w:val="32"/>
          <w:szCs w:val="32"/>
        </w:rPr>
        <w:t xml:space="preserve">1. Contexte général</w:t>
      </w:r>
    </w:p>
    <w:p>
      <w:pPr>
        <w:spacing w:after="120"/>
      </w:pPr>
      <w:r>
        <w:rPr>
          <w:rFonts w:ascii="Calibri" w:cs="Calibri" w:eastAsia="Calibri" w:hAnsi="Calibri"/>
          <w:b/>
          <w:bCs/>
          <w:color w:val="1E2761"/>
          <w:sz w:val="22"/>
          <w:szCs w:val="22"/>
        </w:rPr>
        <w:t xml:space="preserve">L’École Nationale d’Ingénieurs de Carthage </w:t>
      </w:r>
      <w:r>
        <w:rPr>
          <w:rFonts w:ascii="Calibri" w:cs="Calibri" w:eastAsia="Calibri" w:hAnsi="Calibri"/>
          <w:sz w:val="22"/>
          <w:szCs w:val="22"/>
        </w:rPr>
        <w:t xml:space="preserve">(ENICAR) regroupe une communauté riche : étudiants, enseignants, personnel administratif, direction et anciens diplômés (Alumni). Cependant, les échanges quotidiens reposent encore largement sur des canaux dispersés et inadaptés : groupes WhatsApp et Facebook, échanges informels en personne, courriers internes et procédures papier.</w:t>
      </w:r>
    </w:p>
    <w:p>
      <w:pPr>
        <w:spacing w:after="120"/>
      </w:pPr>
      <w:r>
        <w:rPr>
          <w:rFonts w:ascii="Calibri" w:cs="Calibri" w:eastAsia="Calibri" w:hAnsi="Calibri"/>
          <w:sz w:val="22"/>
          <w:szCs w:val="22"/>
        </w:rPr>
        <w:t xml:space="preserve">Cette dispersion engendre des </w:t>
      </w:r>
      <w:r>
        <w:rPr>
          <w:rFonts w:ascii="Calibri" w:cs="Calibri" w:eastAsia="Calibri" w:hAnsi="Calibri"/>
          <w:b/>
          <w:bCs/>
          <w:color w:val="1E2761"/>
          <w:sz w:val="22"/>
          <w:szCs w:val="22"/>
        </w:rPr>
        <w:t xml:space="preserve">pertes d’information, des malentendus et des conflits administratifs</w:t>
      </w:r>
      <w:r>
        <w:rPr>
          <w:rFonts w:ascii="Calibri" w:cs="Calibri" w:eastAsia="Calibri" w:hAnsi="Calibri"/>
          <w:sz w:val="22"/>
          <w:szCs w:val="22"/>
        </w:rPr>
        <w:t xml:space="preserve">, tout en privant les étudiants d’un point d’entrée unique vers les ressources académiques et les opportunités professionnelles offertes par le réseau Alumni.</w:t>
      </w:r>
    </w:p>
    <w:p>
      <w:pPr>
        <w:pStyle w:val="Heading2"/>
        <w:spacing w:after="120" w:before="240"/>
      </w:pPr>
      <w:r>
        <w:rPr>
          <w:rFonts w:ascii="Georgia" w:cs="Georgia" w:eastAsia="Georgia" w:hAnsi="Georgia"/>
          <w:b/>
          <w:bCs/>
          <w:color w:val="1E2761"/>
          <w:sz w:val="26"/>
          <w:szCs w:val="26"/>
        </w:rPr>
        <w:t xml:space="preserve">1.1 Objectifs du projet</w:t>
      </w:r>
    </w:p>
    <w:p>
      <w:pPr>
        <w:pStyle w:val="ListParagraph"/>
        <w:numPr>
          <w:ilvl w:val="0"/>
          <w:numId w:val="2"/>
        </w:numPr>
        <w:spacing w:after="60"/>
      </w:pPr>
      <w:r>
        <w:rPr>
          <w:rFonts w:ascii="Calibri" w:cs="Calibri" w:eastAsia="Calibri" w:hAnsi="Calibri"/>
          <w:sz w:val="22"/>
          <w:szCs w:val="22"/>
        </w:rPr>
        <w:t xml:space="preserve">Centraliser les communications internes de l’ENICAR sur une plateforme unique.</w:t>
      </w:r>
    </w:p>
    <w:p>
      <w:pPr>
        <w:pStyle w:val="ListParagraph"/>
        <w:numPr>
          <w:ilvl w:val="0"/>
          <w:numId w:val="2"/>
        </w:numPr>
        <w:spacing w:after="60"/>
      </w:pPr>
      <w:r>
        <w:rPr>
          <w:rFonts w:ascii="Calibri" w:cs="Calibri" w:eastAsia="Calibri" w:hAnsi="Calibri"/>
          <w:sz w:val="22"/>
          <w:szCs w:val="22"/>
        </w:rPr>
        <w:t xml:space="preserve">Fluidifier les échanges entre étudiants, enseignants et administration grâce à une messagerie hiérarchique en temps réel.</w:t>
      </w:r>
    </w:p>
    <w:p>
      <w:pPr>
        <w:pStyle w:val="ListParagraph"/>
        <w:numPr>
          <w:ilvl w:val="0"/>
          <w:numId w:val="2"/>
        </w:numPr>
        <w:spacing w:after="60"/>
      </w:pPr>
      <w:r>
        <w:rPr>
          <w:rFonts w:ascii="Calibri" w:cs="Calibri" w:eastAsia="Calibri" w:hAnsi="Calibri"/>
          <w:sz w:val="22"/>
          <w:szCs w:val="22"/>
        </w:rPr>
        <w:t xml:space="preserve">Renforcer le lien entre la communauté étudiante et le réseau professionnel via un portail d’offres publiées par les Alumni.</w:t>
      </w:r>
    </w:p>
    <w:p>
      <w:pPr>
        <w:pStyle w:val="ListParagraph"/>
        <w:numPr>
          <w:ilvl w:val="0"/>
          <w:numId w:val="2"/>
        </w:numPr>
        <w:spacing w:after="60"/>
      </w:pPr>
      <w:r>
        <w:rPr>
          <w:rFonts w:ascii="Calibri" w:cs="Calibri" w:eastAsia="Calibri" w:hAnsi="Calibri"/>
          <w:sz w:val="22"/>
          <w:szCs w:val="22"/>
        </w:rPr>
        <w:t xml:space="preserve">Faciliter l’insertion professionnelle des étudiants en proposant un algorithme intelligent de matching compétences ↔ offres.</w:t>
      </w:r>
    </w:p>
    <w:p>
      <w:pPr>
        <w:pStyle w:val="ListParagraph"/>
        <w:numPr>
          <w:ilvl w:val="0"/>
          <w:numId w:val="2"/>
        </w:numPr>
        <w:spacing w:after="60"/>
      </w:pPr>
      <w:r>
        <w:rPr>
          <w:rFonts w:ascii="Calibri" w:cs="Calibri" w:eastAsia="Calibri" w:hAnsi="Calibri"/>
          <w:sz w:val="22"/>
          <w:szCs w:val="22"/>
        </w:rPr>
        <w:t xml:space="preserve">Offrir un espace public d’interaction (fil d’actualité, groupes, événements) pour valoriser la vie de l’école.</w:t>
      </w:r>
    </w:p>
    <w:p>
      <w:pPr>
        <w:pStyle w:val="Heading2"/>
        <w:spacing w:after="120" w:before="240"/>
      </w:pPr>
      <w:r>
        <w:rPr>
          <w:rFonts w:ascii="Georgia" w:cs="Georgia" w:eastAsia="Georgia" w:hAnsi="Georgia"/>
          <w:b/>
          <w:bCs/>
          <w:color w:val="1E2761"/>
          <w:sz w:val="26"/>
          <w:szCs w:val="26"/>
        </w:rPr>
        <w:t xml:space="preserve">1.2 Périmètre fonctionnel retenu</w:t>
      </w:r>
    </w:p>
    <w:p>
      <w:pPr>
        <w:spacing w:after="120"/>
      </w:pPr>
      <w:r>
        <w:rPr>
          <w:rFonts w:ascii="Calibri" w:cs="Calibri" w:eastAsia="Calibri" w:hAnsi="Calibri"/>
          <w:sz w:val="22"/>
          <w:szCs w:val="22"/>
        </w:rPr>
        <w:t xml:space="preserve">La plateforme ENICAR Connect s’articule autour de trois modules clés :</w:t>
      </w:r>
    </w:p>
    <w:p>
      <w:pPr>
        <w:pStyle w:val="ListParagraph"/>
        <w:numPr>
          <w:ilvl w:val="0"/>
          <w:numId w:val="2"/>
        </w:numPr>
        <w:spacing w:after="60"/>
      </w:pPr>
      <w:r>
        <w:rPr>
          <w:rFonts w:ascii="Calibri" w:cs="Calibri" w:eastAsia="Calibri" w:hAnsi="Calibri"/>
          <w:b/>
          <w:bCs/>
          <w:color w:val="1E2761"/>
          <w:sz w:val="22"/>
          <w:szCs w:val="22"/>
        </w:rPr>
        <w:t xml:space="preserve">Module Communication &amp; Vie de l’école : </w:t>
      </w:r>
      <w:r>
        <w:rPr>
          <w:rFonts w:ascii="Calibri" w:cs="Calibri" w:eastAsia="Calibri" w:hAnsi="Calibri"/>
          <w:sz w:val="22"/>
          <w:szCs w:val="22"/>
        </w:rPr>
        <w:t xml:space="preserve">messagerie hiérarchique, fil d’actualité, groupes, événements.</w:t>
      </w:r>
    </w:p>
    <w:p>
      <w:pPr>
        <w:pStyle w:val="ListParagraph"/>
        <w:numPr>
          <w:ilvl w:val="0"/>
          <w:numId w:val="2"/>
        </w:numPr>
        <w:spacing w:after="60"/>
      </w:pPr>
      <w:r>
        <w:rPr>
          <w:rFonts w:ascii="Calibri" w:cs="Calibri" w:eastAsia="Calibri" w:hAnsi="Calibri"/>
          <w:b/>
          <w:bCs/>
          <w:color w:val="1E2761"/>
          <w:sz w:val="22"/>
          <w:szCs w:val="22"/>
        </w:rPr>
        <w:t xml:space="preserve">Module Réseau professionnel : </w:t>
      </w:r>
      <w:r>
        <w:rPr>
          <w:rFonts w:ascii="Calibri" w:cs="Calibri" w:eastAsia="Calibri" w:hAnsi="Calibri"/>
          <w:sz w:val="22"/>
          <w:szCs w:val="22"/>
        </w:rPr>
        <w:t xml:space="preserve">profils enrichis (compétences), connexions, offres de stages / PFE / emplois publiées par les Alumni.</w:t>
      </w:r>
    </w:p>
    <w:p>
      <w:pPr>
        <w:pStyle w:val="ListParagraph"/>
        <w:numPr>
          <w:ilvl w:val="0"/>
          <w:numId w:val="2"/>
        </w:numPr>
        <w:spacing w:after="60"/>
      </w:pPr>
      <w:r>
        <w:rPr>
          <w:rFonts w:ascii="Calibri" w:cs="Calibri" w:eastAsia="Calibri" w:hAnsi="Calibri"/>
          <w:b/>
          <w:bCs/>
          <w:color w:val="1E2761"/>
          <w:sz w:val="22"/>
          <w:szCs w:val="22"/>
        </w:rPr>
        <w:t xml:space="preserve">Module Matching intelligent : </w:t>
      </w:r>
      <w:r>
        <w:rPr>
          <w:rFonts w:ascii="Calibri" w:cs="Calibri" w:eastAsia="Calibri" w:hAnsi="Calibri"/>
          <w:sz w:val="22"/>
          <w:szCs w:val="22"/>
        </w:rPr>
        <w:t xml:space="preserve">algorithme de scoring de compatibilité entre les compétences d’un étudiant et celles exigées par chaque offre.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6167" w:sz="12"/>
              <w:left w:val="single" w:color="F96167" w:sz="24"/>
              <w:bottom w:val="single" w:color="F96167" w:sz="4"/>
              <w:right w:val="single" w:color="F96167" w:sz="4"/>
            </w:tcBorders>
            <w:shd w:fill="F4F6FB" w:val="clear"/>
            <w:tcMar>
              <w:top w:type="dxa" w:w="160"/>
              <w:left w:type="dxa" w:w="220"/>
              <w:bottom w:type="dxa" w:w="160"/>
              <w:right w:type="dxa" w:w="220"/>
            </w:tcMar>
          </w:tcPr>
          <w:p>
            <w:pPr>
              <w:spacing w:after="100"/>
            </w:pPr>
            <w:r>
              <w:rPr>
                <w:rFonts w:ascii="Calibri" w:cs="Calibri" w:eastAsia="Calibri" w:hAnsi="Calibri"/>
                <w:b/>
                <w:bCs/>
                <w:caps/>
                <w:color w:val="F96167"/>
                <w:spacing w:val="30"/>
                <w:sz w:val="22"/>
                <w:szCs w:val="22"/>
              </w:rPr>
              <w:t xml:space="preserve">Hors périmètre — exclu de cette version</w:t>
            </w:r>
          </w:p>
          <w:p>
            <w:pPr>
              <w:spacing w:after="60"/>
            </w:pPr>
            <w:r>
              <w:rPr>
                <w:rFonts w:ascii="Calibri" w:cs="Calibri" w:eastAsia="Calibri" w:hAnsi="Calibri"/>
                <w:color w:val="333333"/>
                <w:sz w:val="22"/>
                <w:szCs w:val="22"/>
              </w:rPr>
              <w:t xml:space="preserve">Système de QR Code (génération, scan, traçabilité) — non implémenté.</w:t>
            </w:r>
          </w:p>
          <w:p>
            <w:pPr>
              <w:spacing w:after="60"/>
            </w:pPr>
            <w:r>
              <w:rPr>
                <w:rFonts w:ascii="Calibri" w:cs="Calibri" w:eastAsia="Calibri" w:hAnsi="Calibri"/>
                <w:color w:val="333333"/>
                <w:sz w:val="22"/>
                <w:szCs w:val="22"/>
              </w:rPr>
              <w:t xml:space="preserve">Gestion et affichage des notes académiques — non implémenté.</w:t>
            </w:r>
          </w:p>
          <w:p>
            <w:pPr>
              <w:spacing w:after="60"/>
            </w:pPr>
            <w:r>
              <w:rPr>
                <w:rFonts w:ascii="Calibri" w:cs="Calibri" w:eastAsia="Calibri" w:hAnsi="Calibri"/>
                <w:color w:val="333333"/>
                <w:sz w:val="22"/>
                <w:szCs w:val="22"/>
              </w:rPr>
              <w:t xml:space="preserve">Gestion des absences et de la présence — non implémenté.</w:t>
            </w:r>
          </w:p>
          <w:p>
            <w:pPr>
              <w:spacing w:after="60"/>
            </w:pPr>
            <w:r>
              <w:rPr>
                <w:rFonts w:ascii="Calibri" w:cs="Calibri" w:eastAsia="Calibri" w:hAnsi="Calibri"/>
                <w:color w:val="333333"/>
                <w:sz w:val="22"/>
                <w:szCs w:val="22"/>
              </w:rPr>
              <w:t xml:space="preserve">Réservation de salles et de laboratoires — non implémenté.</w:t>
            </w:r>
          </w:p>
          <w:p>
            <w:pPr>
              <w:spacing w:after="60"/>
            </w:pPr>
            <w:r>
              <w:rPr>
                <w:rFonts w:ascii="Calibri" w:cs="Calibri" w:eastAsia="Calibri" w:hAnsi="Calibri"/>
                <w:b/>
                <w:bCs/>
                <w:color w:val="F96167"/>
                <w:sz w:val="22"/>
                <w:szCs w:val="22"/>
              </w:rPr>
              <w:t xml:space="preserve">Justification : </w:t>
            </w:r>
            <w:r>
              <w:rPr>
                <w:rFonts w:ascii="Calibri" w:cs="Calibri" w:eastAsia="Calibri" w:hAnsi="Calibri"/>
                <w:color w:val="5A6378"/>
                <w:sz w:val="22"/>
                <w:szCs w:val="22"/>
              </w:rPr>
              <w:t xml:space="preserve">le projet final se concentre volontairement sur la communication interne et le volet professionnel, considérés comme prioritaires pour la communauté.</w:t>
            </w:r>
          </w:p>
        </w:tc>
      </w:tr>
    </w:tbl>
    <w:p>
      <w:r>
        <w:br w:type="page"/>
      </w:r>
    </w:p>
    <w:p>
      <w:pPr>
        <w:pStyle w:val="Heading1"/>
        <w:pBdr>
          <w:bottom w:val="single" w:color="F96167" w:sz="12" w:space="4"/>
        </w:pBdr>
        <w:spacing w:after="180" w:before="360"/>
      </w:pPr>
      <w:r>
        <w:rPr>
          <w:rFonts w:ascii="Georgia" w:cs="Georgia" w:eastAsia="Georgia" w:hAnsi="Georgia"/>
          <w:b/>
          <w:bCs/>
          <w:color w:val="1E2761"/>
          <w:sz w:val="32"/>
          <w:szCs w:val="32"/>
        </w:rPr>
        <w:t xml:space="preserve">2. Problématique</w:t>
      </w:r>
    </w:p>
    <w:p>
      <w:pPr>
        <w:spacing w:after="120"/>
      </w:pPr>
      <w:r>
        <w:rPr>
          <w:rFonts w:ascii="Calibri" w:cs="Calibri" w:eastAsia="Calibri" w:hAnsi="Calibri"/>
          <w:sz w:val="22"/>
          <w:szCs w:val="22"/>
        </w:rPr>
        <w:t xml:space="preserve">L’analyse du fonctionnement actuel de l’école met en évidence quatre problèmes majeurs auxquels ENICAR Connect apporte une réponse directe.</w:t>
      </w:r>
    </w:p>
    <w:p>
      <w:pPr>
        <w:pStyle w:val="Heading3"/>
        <w:spacing w:after="80" w:before="180"/>
      </w:pPr>
      <w:r>
        <w:rPr>
          <w:rFonts w:ascii="Calibri" w:cs="Calibri" w:eastAsia="Calibri" w:hAnsi="Calibri"/>
          <w:b/>
          <w:bCs/>
          <w:color w:val="F96167"/>
          <w:sz w:val="24"/>
          <w:szCs w:val="24"/>
        </w:rPr>
        <w:t xml:space="preserve">2.1 Communication lente et conflictuelle</w:t>
      </w:r>
    </w:p>
    <w:p>
      <w:pPr>
        <w:spacing w:after="120"/>
      </w:pPr>
      <w:r>
        <w:rPr>
          <w:rFonts w:ascii="Calibri" w:cs="Calibri" w:eastAsia="Calibri" w:hAnsi="Calibri"/>
          <w:sz w:val="22"/>
          <w:szCs w:val="22"/>
        </w:rPr>
        <w:t xml:space="preserve">Pour une simple question administrative (attestation, justificatif, planning), un étudiant doit souvent se déplacer physiquement, attendre, parfois revenir. Cette lenteur est une source récurrente de tensions entre étudiants et administration.</w:t>
      </w:r>
    </w:p>
    <w:p>
      <w:pPr>
        <w:pStyle w:val="Heading3"/>
        <w:spacing w:after="80" w:before="180"/>
      </w:pPr>
      <w:r>
        <w:rPr>
          <w:rFonts w:ascii="Calibri" w:cs="Calibri" w:eastAsia="Calibri" w:hAnsi="Calibri"/>
          <w:b/>
          <w:bCs/>
          <w:color w:val="F96167"/>
          <w:sz w:val="24"/>
          <w:szCs w:val="24"/>
        </w:rPr>
        <w:t xml:space="preserve">2.2 Canaux dispersés et informels</w:t>
      </w:r>
    </w:p>
    <w:p>
      <w:pPr>
        <w:spacing w:after="120"/>
      </w:pPr>
      <w:r>
        <w:rPr>
          <w:rFonts w:ascii="Calibri" w:cs="Calibri" w:eastAsia="Calibri" w:hAnsi="Calibri"/>
          <w:sz w:val="22"/>
          <w:szCs w:val="22"/>
        </w:rPr>
        <w:t xml:space="preserve">Les échanges passent par WhatsApp, Facebook ou des emails personnels. Les informations importantes se perdent, les responsabilités sont floues, et il n’existe aucun historique consultable et fiable.</w:t>
      </w:r>
    </w:p>
    <w:p>
      <w:pPr>
        <w:pStyle w:val="Heading3"/>
        <w:spacing w:after="80" w:before="180"/>
      </w:pPr>
      <w:r>
        <w:rPr>
          <w:rFonts w:ascii="Calibri" w:cs="Calibri" w:eastAsia="Calibri" w:hAnsi="Calibri"/>
          <w:b/>
          <w:bCs/>
          <w:color w:val="F96167"/>
          <w:sz w:val="24"/>
          <w:szCs w:val="24"/>
        </w:rPr>
        <w:t xml:space="preserve">2.3 Ressources éparpillées</w:t>
      </w:r>
    </w:p>
    <w:p>
      <w:pPr>
        <w:spacing w:after="120"/>
      </w:pPr>
      <w:r>
        <w:rPr>
          <w:rFonts w:ascii="Calibri" w:cs="Calibri" w:eastAsia="Calibri" w:hAnsi="Calibri"/>
          <w:sz w:val="22"/>
          <w:szCs w:val="22"/>
        </w:rPr>
        <w:t xml:space="preserve">Les supports de cours, annonces et événements ne sont centralisés nulle part. Les étudiants doivent multiplier les canaux pour suivre la vie académique.</w:t>
      </w:r>
    </w:p>
    <w:p>
      <w:pPr>
        <w:pStyle w:val="Heading3"/>
        <w:spacing w:after="80" w:before="180"/>
      </w:pPr>
      <w:r>
        <w:rPr>
          <w:rFonts w:ascii="Calibri" w:cs="Calibri" w:eastAsia="Calibri" w:hAnsi="Calibri"/>
          <w:b/>
          <w:bCs/>
          <w:color w:val="F96167"/>
          <w:sz w:val="24"/>
          <w:szCs w:val="24"/>
        </w:rPr>
        <w:t xml:space="preserve">2.4 Déconnexion avec le monde professionnel</w:t>
      </w:r>
    </w:p>
    <w:p>
      <w:pPr>
        <w:spacing w:after="120"/>
      </w:pPr>
      <w:r>
        <w:rPr>
          <w:rFonts w:ascii="Calibri" w:cs="Calibri" w:eastAsia="Calibri" w:hAnsi="Calibri"/>
          <w:sz w:val="22"/>
          <w:szCs w:val="22"/>
        </w:rPr>
        <w:t xml:space="preserve">Le réseau d’Alumni de l’école constitue un atout majeur, mais il est sous-exploité. Aucun canal officiel ne permet aux Alumni de partager facilement leurs offres de stages, PFE ou emplois avec les étudiants actuels, et encore moins de cibler les profils les plus pertinents.</w:t>
      </w:r>
    </w:p>
    <w:p>
      <w:r>
        <w:t xml:space="preserve"/>
      </w:r>
    </w:p>
    <w:p>
      <w:pPr>
        <w:pStyle w:val="Heading1"/>
        <w:pBdr>
          <w:bottom w:val="single" w:color="F96167" w:sz="12" w:space="4"/>
        </w:pBdr>
        <w:spacing w:after="180" w:before="360"/>
      </w:pPr>
      <w:r>
        <w:rPr>
          <w:rFonts w:ascii="Georgia" w:cs="Georgia" w:eastAsia="Georgia" w:hAnsi="Georgia"/>
          <w:b/>
          <w:bCs/>
          <w:color w:val="1E2761"/>
          <w:sz w:val="32"/>
          <w:szCs w:val="32"/>
        </w:rPr>
        <w:t xml:space="preserve">3. Solution proposée : ENICAR Connect</w:t>
      </w:r>
    </w:p>
    <w:p>
      <w:pPr>
        <w:spacing w:after="120"/>
      </w:pPr>
      <w:r>
        <w:rPr>
          <w:rFonts w:ascii="Calibri" w:cs="Calibri" w:eastAsia="Calibri" w:hAnsi="Calibri"/>
          <w:b/>
          <w:bCs/>
          <w:color w:val="1E2761"/>
          <w:sz w:val="22"/>
          <w:szCs w:val="22"/>
        </w:rPr>
        <w:t xml:space="preserve">ENICAR Connect </w:t>
      </w:r>
      <w:r>
        <w:rPr>
          <w:rFonts w:ascii="Calibri" w:cs="Calibri" w:eastAsia="Calibri" w:hAnsi="Calibri"/>
          <w:sz w:val="22"/>
          <w:szCs w:val="22"/>
        </w:rPr>
        <w:t xml:space="preserve">est une plateforme web communautaire dédiée exclusivement à l’ENICAR. Elle unifie en un seul espace la communication interne, le partage de ressources et la mise en relation professionnelle, avec une attention particulière portée à l’expérience utilisateur et à la pertinence des contenus proposés.</w:t>
      </w:r>
    </w:p>
    <w:p>
      <w:pPr>
        <w:pStyle w:val="Heading2"/>
        <w:spacing w:after="120" w:before="240"/>
      </w:pPr>
      <w:r>
        <w:rPr>
          <w:rFonts w:ascii="Georgia" w:cs="Georgia" w:eastAsia="Georgia" w:hAnsi="Georgia"/>
          <w:b/>
          <w:bCs/>
          <w:color w:val="1E2761"/>
          <w:sz w:val="26"/>
          <w:szCs w:val="26"/>
        </w:rPr>
        <w:t xml:space="preserve">3.1 Trois piliers fonctionnels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61" w:sz="12"/>
              <w:left w:val="single" w:color="1E2761" w:sz="24"/>
              <w:bottom w:val="single" w:color="1E2761" w:sz="4"/>
              <w:right w:val="single" w:color="1E2761" w:sz="4"/>
            </w:tcBorders>
            <w:shd w:fill="F4F6FB" w:val="clear"/>
            <w:tcMar>
              <w:top w:type="dxa" w:w="160"/>
              <w:left w:type="dxa" w:w="220"/>
              <w:bottom w:type="dxa" w:w="160"/>
              <w:right w:type="dxa" w:w="220"/>
            </w:tcMar>
          </w:tcPr>
          <w:p>
            <w:pPr>
              <w:spacing w:after="100"/>
            </w:pPr>
            <w:r>
              <w:rPr>
                <w:rFonts w:ascii="Calibri" w:cs="Calibri" w:eastAsia="Calibri" w:hAnsi="Calibri"/>
                <w:b/>
                <w:bCs/>
                <w:caps/>
                <w:color w:val="1E2761"/>
                <w:spacing w:val="30"/>
                <w:sz w:val="22"/>
                <w:szCs w:val="22"/>
              </w:rPr>
              <w:t xml:space="preserve">Pilier 1 — Messagerie hiérarchique</w:t>
            </w:r>
          </w:p>
          <w:p>
            <w:pPr>
              <w:spacing w:after="60"/>
            </w:pPr>
            <w:r>
              <w:rPr>
                <w:rFonts w:ascii="Calibri" w:cs="Calibri" w:eastAsia="Calibri" w:hAnsi="Calibri"/>
                <w:color w:val="333333"/>
                <w:sz w:val="22"/>
                <w:szCs w:val="22"/>
              </w:rPr>
              <w:t xml:space="preserve">Chat direct entre étudiants, professeurs et administration.</w:t>
            </w:r>
          </w:p>
          <w:p>
            <w:pPr>
              <w:spacing w:after="60"/>
            </w:pPr>
            <w:r>
              <w:rPr>
                <w:rFonts w:ascii="Calibri" w:cs="Calibri" w:eastAsia="Calibri" w:hAnsi="Calibri"/>
                <w:color w:val="333333"/>
                <w:sz w:val="22"/>
                <w:szCs w:val="22"/>
              </w:rPr>
              <w:t xml:space="preserve">Conversations privées et de groupe, avec historique consultable.</w:t>
            </w:r>
          </w:p>
          <w:p>
            <w:pPr>
              <w:spacing w:after="60"/>
            </w:pPr>
            <w:r>
              <w:rPr>
                <w:rFonts w:ascii="Calibri" w:cs="Calibri" w:eastAsia="Calibri" w:hAnsi="Calibri"/>
                <w:color w:val="333333"/>
                <w:sz w:val="22"/>
                <w:szCs w:val="22"/>
              </w:rPr>
              <w:t xml:space="preserve">Objectif : éliminer les déplacements inutiles et les conflits liés aux délais administratifs.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61" w:sz="12"/>
              <w:left w:val="single" w:color="1E2761" w:sz="24"/>
              <w:bottom w:val="single" w:color="1E2761" w:sz="4"/>
              <w:right w:val="single" w:color="1E2761" w:sz="4"/>
            </w:tcBorders>
            <w:shd w:fill="F4F6FB" w:val="clear"/>
            <w:tcMar>
              <w:top w:type="dxa" w:w="160"/>
              <w:left w:type="dxa" w:w="220"/>
              <w:bottom w:type="dxa" w:w="160"/>
              <w:right w:type="dxa" w:w="220"/>
            </w:tcMar>
          </w:tcPr>
          <w:p>
            <w:pPr>
              <w:spacing w:after="100"/>
            </w:pPr>
            <w:r>
              <w:rPr>
                <w:rFonts w:ascii="Calibri" w:cs="Calibri" w:eastAsia="Calibri" w:hAnsi="Calibri"/>
                <w:b/>
                <w:bCs/>
                <w:caps/>
                <w:color w:val="1E2761"/>
                <w:spacing w:val="30"/>
                <w:sz w:val="22"/>
                <w:szCs w:val="22"/>
              </w:rPr>
              <w:t xml:space="preserve">Pilier 2 — Portail professionnel (Alumni)</w:t>
            </w:r>
          </w:p>
          <w:p>
            <w:pPr>
              <w:spacing w:after="60"/>
            </w:pPr>
            <w:r>
              <w:rPr>
                <w:rFonts w:ascii="Calibri" w:cs="Calibri" w:eastAsia="Calibri" w:hAnsi="Calibri"/>
                <w:color w:val="333333"/>
                <w:sz w:val="22"/>
                <w:szCs w:val="22"/>
              </w:rPr>
              <w:t xml:space="preserve">Publication d’offres de stages, de PFE et d’emplois par les Alumni et entreprises partenaires.</w:t>
            </w:r>
          </w:p>
          <w:p>
            <w:pPr>
              <w:spacing w:after="60"/>
            </w:pPr>
            <w:r>
              <w:rPr>
                <w:rFonts w:ascii="Calibri" w:cs="Calibri" w:eastAsia="Calibri" w:hAnsi="Calibri"/>
                <w:color w:val="333333"/>
                <w:sz w:val="22"/>
                <w:szCs w:val="22"/>
              </w:rPr>
              <w:t xml:space="preserve">Profils étudiants enrichis avec leurs compétences techniques.</w:t>
            </w:r>
          </w:p>
          <w:p>
            <w:pPr>
              <w:spacing w:after="60"/>
            </w:pPr>
            <w:r>
              <w:rPr>
                <w:rFonts w:ascii="Calibri" w:cs="Calibri" w:eastAsia="Calibri" w:hAnsi="Calibri"/>
                <w:color w:val="333333"/>
                <w:sz w:val="22"/>
                <w:szCs w:val="22"/>
              </w:rPr>
              <w:t xml:space="preserve">Candidature et suivi en ligne.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6167" w:sz="12"/>
              <w:left w:val="single" w:color="F96167" w:sz="24"/>
              <w:bottom w:val="single" w:color="F96167" w:sz="4"/>
              <w:right w:val="single" w:color="F96167" w:sz="4"/>
            </w:tcBorders>
            <w:shd w:fill="F4F6FB" w:val="clear"/>
            <w:tcMar>
              <w:top w:type="dxa" w:w="160"/>
              <w:left w:type="dxa" w:w="220"/>
              <w:bottom w:type="dxa" w:w="160"/>
              <w:right w:type="dxa" w:w="220"/>
            </w:tcMar>
          </w:tcPr>
          <w:p>
            <w:pPr>
              <w:spacing w:after="100"/>
            </w:pPr>
            <w:r>
              <w:rPr>
                <w:rFonts w:ascii="Calibri" w:cs="Calibri" w:eastAsia="Calibri" w:hAnsi="Calibri"/>
                <w:b/>
                <w:bCs/>
                <w:caps/>
                <w:color w:val="F96167"/>
                <w:spacing w:val="30"/>
                <w:sz w:val="22"/>
                <w:szCs w:val="22"/>
              </w:rPr>
              <w:t xml:space="preserve">Pilier 3 — Algorithme de matching intelligent</w:t>
            </w:r>
          </w:p>
          <w:p>
            <w:pPr>
              <w:spacing w:after="60"/>
            </w:pPr>
            <w:r>
              <w:rPr>
                <w:rFonts w:ascii="Calibri" w:cs="Calibri" w:eastAsia="Calibri" w:hAnsi="Calibri"/>
                <w:color w:val="333333"/>
                <w:sz w:val="22"/>
                <w:szCs w:val="22"/>
              </w:rPr>
              <w:t xml:space="preserve">Calcul automatique d’un score de compatibilité entre l’étudiant et chaque offre.</w:t>
            </w:r>
          </w:p>
          <w:p>
            <w:pPr>
              <w:spacing w:after="60"/>
            </w:pPr>
            <w:r>
              <w:rPr>
                <w:rFonts w:ascii="Calibri" w:cs="Calibri" w:eastAsia="Calibri" w:hAnsi="Calibri"/>
                <w:color w:val="333333"/>
                <w:sz w:val="22"/>
                <w:szCs w:val="22"/>
              </w:rPr>
              <w:t xml:space="preserve">Tri intelligent : les offres les plus pertinentes apparaissent en premier.</w:t>
            </w:r>
          </w:p>
          <w:p>
            <w:pPr>
              <w:spacing w:after="60"/>
            </w:pPr>
            <w:r>
              <w:rPr>
                <w:rFonts w:ascii="Calibri" w:cs="Calibri" w:eastAsia="Calibri" w:hAnsi="Calibri"/>
                <w:color w:val="333333"/>
                <w:sz w:val="22"/>
                <w:szCs w:val="22"/>
              </w:rPr>
              <w:t xml:space="preserve">Réduit drastiquement le temps de recherche et améliore la qualité des candidatures.</w:t>
            </w:r>
          </w:p>
        </w:tc>
      </w:tr>
    </w:tbl>
    <w:p>
      <w:r>
        <w:br w:type="page"/>
      </w:r>
    </w:p>
    <w:p>
      <w:pPr>
        <w:pStyle w:val="Heading1"/>
        <w:pBdr>
          <w:bottom w:val="single" w:color="F96167" w:sz="12" w:space="4"/>
        </w:pBdr>
        <w:spacing w:after="180" w:before="360"/>
      </w:pPr>
      <w:r>
        <w:rPr>
          <w:rFonts w:ascii="Georgia" w:cs="Georgia" w:eastAsia="Georgia" w:hAnsi="Georgia"/>
          <w:b/>
          <w:bCs/>
          <w:color w:val="1E2761"/>
          <w:sz w:val="32"/>
          <w:szCs w:val="32"/>
        </w:rPr>
        <w:t xml:space="preserve">4. Acteurs et rôles</w:t>
      </w:r>
    </w:p>
    <w:p>
      <w:pPr>
        <w:spacing w:after="120"/>
      </w:pPr>
      <w:r>
        <w:rPr>
          <w:rFonts w:ascii="Calibri" w:cs="Calibri" w:eastAsia="Calibri" w:hAnsi="Calibri"/>
          <w:sz w:val="22"/>
          <w:szCs w:val="22"/>
        </w:rPr>
        <w:t xml:space="preserve">Quatre catégories d’utilisateurs interagissent avec la plateforme. Chaque rôle dispose de droits spécifiques contrôlés par un système de permissions.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4160"/>
      </w:tblGrid>
      <w:tr>
        <w:trPr>
          <w:tblHeader/>
        </w:trPr>
        <w:tc>
          <w:tcPr>
            <w:tcW w:type="dxa" w:w="1700"/>
            <w:tcBorders>
              <w:top w:val="single" w:color="CCCCCC" w:sz="4"/>
              <w:left w:val="single" w:color="CCCCCC" w:sz="4"/>
              <w:bottom w:val="single" w:color="CCCCCC" w:sz="4"/>
              <w:right w:val="single" w:color="CCCCCC" w:sz="4"/>
            </w:tcBorders>
            <w:shd w:fill="1E2761" w:val="clear"/>
            <w:tcMar>
              <w:top w:type="dxa" w:w="100"/>
              <w:left w:type="dxa" w:w="140"/>
              <w:bottom w:type="dxa" w:w="100"/>
              <w:right w:type="dxa" w:w="140"/>
            </w:tcMar>
          </w:tcPr>
          <w:p>
            <w:r>
              <w:rPr>
                <w:rFonts w:ascii="Calibri" w:cs="Calibri" w:eastAsia="Calibri" w:hAnsi="Calibri"/>
                <w:b/>
                <w:bCs/>
                <w:color w:val="FFFFFF"/>
                <w:sz w:val="22"/>
                <w:szCs w:val="22"/>
              </w:rPr>
              <w:t xml:space="preserve">Acteur</w:t>
            </w:r>
          </w:p>
        </w:tc>
        <w:tc>
          <w:tcPr>
            <w:tcW w:type="dxa" w:w="3500"/>
            <w:tcBorders>
              <w:top w:val="single" w:color="CCCCCC" w:sz="4"/>
              <w:left w:val="single" w:color="CCCCCC" w:sz="4"/>
              <w:bottom w:val="single" w:color="CCCCCC" w:sz="4"/>
              <w:right w:val="single" w:color="CCCCCC" w:sz="4"/>
            </w:tcBorders>
            <w:shd w:fill="1E2761" w:val="clear"/>
            <w:tcMar>
              <w:top w:type="dxa" w:w="100"/>
              <w:left w:type="dxa" w:w="140"/>
              <w:bottom w:type="dxa" w:w="100"/>
              <w:right w:type="dxa" w:w="140"/>
            </w:tcMar>
          </w:tcPr>
          <w:p>
            <w:r>
              <w:rPr>
                <w:rFonts w:ascii="Calibri" w:cs="Calibri" w:eastAsia="Calibri" w:hAnsi="Calibri"/>
                <w:b/>
                <w:bCs/>
                <w:color w:val="FFFFFF"/>
                <w:sz w:val="22"/>
                <w:szCs w:val="22"/>
              </w:rPr>
              <w:t xml:space="preserve">Description</w:t>
            </w:r>
          </w:p>
        </w:tc>
        <w:tc>
          <w:tcPr>
            <w:tcW w:type="dxa" w:w="4160"/>
            <w:tcBorders>
              <w:top w:val="single" w:color="CCCCCC" w:sz="4"/>
              <w:left w:val="single" w:color="CCCCCC" w:sz="4"/>
              <w:bottom w:val="single" w:color="CCCCCC" w:sz="4"/>
              <w:right w:val="single" w:color="CCCCCC" w:sz="4"/>
            </w:tcBorders>
            <w:shd w:fill="1E2761" w:val="clear"/>
            <w:tcMar>
              <w:top w:type="dxa" w:w="100"/>
              <w:left w:type="dxa" w:w="140"/>
              <w:bottom w:type="dxa" w:w="100"/>
              <w:right w:type="dxa" w:w="140"/>
            </w:tcMar>
          </w:tcPr>
          <w:p>
            <w:r>
              <w:rPr>
                <w:rFonts w:ascii="Calibri" w:cs="Calibri" w:eastAsia="Calibri" w:hAnsi="Calibri"/>
                <w:b/>
                <w:bCs/>
                <w:color w:val="FFFFFF"/>
                <w:sz w:val="22"/>
                <w:szCs w:val="22"/>
              </w:rPr>
              <w:t xml:space="preserve">Droits principaux</w:t>
            </w:r>
          </w:p>
        </w:tc>
      </w:tr>
      <w:tr>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color w:val="333333"/>
                <w:sz w:val="22"/>
                <w:szCs w:val="22"/>
              </w:rPr>
              <w:t xml:space="preserve">Étudiant</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color w:val="333333"/>
                <w:sz w:val="22"/>
                <w:szCs w:val="22"/>
              </w:rPr>
              <w:t xml:space="preserve">Étudiant inscrit à l’ENICAR, toutes filières et tous niveaux.</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color w:val="333333"/>
                <w:sz w:val="22"/>
                <w:szCs w:val="22"/>
              </w:rPr>
              <w:t xml:space="preserve">Consulter le feed, publier, contacter admin/profs, postuler aux offres, gérer ses compétences.</w:t>
            </w:r>
          </w:p>
        </w:tc>
      </w:tr>
      <w:tr>
        <w:tc>
          <w:tcPr>
            <w:tcW w:type="dxa" w:w="170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Calibri" w:cs="Calibri" w:eastAsia="Calibri" w:hAnsi="Calibri"/>
                <w:color w:val="333333"/>
                <w:sz w:val="22"/>
                <w:szCs w:val="22"/>
              </w:rPr>
              <w:t xml:space="preserve">Professeur</w:t>
            </w:r>
          </w:p>
        </w:tc>
        <w:tc>
          <w:tcPr>
            <w:tcW w:type="dxa" w:w="350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Calibri" w:cs="Calibri" w:eastAsia="Calibri" w:hAnsi="Calibri"/>
                <w:color w:val="333333"/>
                <w:sz w:val="22"/>
                <w:szCs w:val="22"/>
              </w:rPr>
              <w:t xml:space="preserve">Enseignant permanent ou vacataire.</w:t>
            </w:r>
          </w:p>
        </w:tc>
        <w:tc>
          <w:tcPr>
            <w:tcW w:type="dxa" w:w="416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Calibri" w:cs="Calibri" w:eastAsia="Calibri" w:hAnsi="Calibri"/>
                <w:color w:val="333333"/>
                <w:sz w:val="22"/>
                <w:szCs w:val="22"/>
              </w:rPr>
              <w:t xml:space="preserve">Publier des annonces, partager des ressources, répondre aux étudiants, gérer ses groupes.</w:t>
            </w:r>
          </w:p>
        </w:tc>
      </w:tr>
      <w:tr>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color w:val="333333"/>
                <w:sz w:val="22"/>
                <w:szCs w:val="22"/>
              </w:rPr>
              <w:t xml:space="preserve">Administration</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color w:val="333333"/>
                <w:sz w:val="22"/>
                <w:szCs w:val="22"/>
              </w:rPr>
              <w:t xml:space="preserve">Personnel administratif et direction.</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color w:val="333333"/>
                <w:sz w:val="22"/>
                <w:szCs w:val="22"/>
              </w:rPr>
              <w:t xml:space="preserve">Communiquer officiellement, modérer le contenu, gérer les utilisateurs.</w:t>
            </w:r>
          </w:p>
        </w:tc>
      </w:tr>
      <w:tr>
        <w:tc>
          <w:tcPr>
            <w:tcW w:type="dxa" w:w="170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Calibri" w:cs="Calibri" w:eastAsia="Calibri" w:hAnsi="Calibri"/>
                <w:color w:val="333333"/>
                <w:sz w:val="22"/>
                <w:szCs w:val="22"/>
              </w:rPr>
              <w:t xml:space="preserve">Alumni</w:t>
            </w:r>
          </w:p>
        </w:tc>
        <w:tc>
          <w:tcPr>
            <w:tcW w:type="dxa" w:w="350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Calibri" w:cs="Calibri" w:eastAsia="Calibri" w:hAnsi="Calibri"/>
                <w:color w:val="333333"/>
                <w:sz w:val="22"/>
                <w:szCs w:val="22"/>
              </w:rPr>
              <w:t xml:space="preserve">Anciens diplômés de l’ENICAR.</w:t>
            </w:r>
          </w:p>
        </w:tc>
        <w:tc>
          <w:tcPr>
            <w:tcW w:type="dxa" w:w="416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Calibri" w:cs="Calibri" w:eastAsia="Calibri" w:hAnsi="Calibri"/>
                <w:color w:val="333333"/>
                <w:sz w:val="22"/>
                <w:szCs w:val="22"/>
              </w:rPr>
              <w:t xml:space="preserve">Mettre à jour leur profil professionnel, publier des offres de stages/PFE/emplois, mentorer.</w:t>
            </w:r>
          </w:p>
        </w:tc>
      </w:tr>
    </w:tbl>
    <w:p>
      <w:r>
        <w:t xml:space="preserve"/>
      </w:r>
    </w:p>
    <w:p>
      <w:r>
        <w:br w:type="page"/>
      </w:r>
    </w:p>
    <w:p>
      <w:pPr>
        <w:pStyle w:val="Heading1"/>
        <w:pBdr>
          <w:bottom w:val="single" w:color="F96167" w:sz="12" w:space="4"/>
        </w:pBdr>
        <w:spacing w:after="180" w:before="360"/>
      </w:pPr>
      <w:r>
        <w:rPr>
          <w:rFonts w:ascii="Georgia" w:cs="Georgia" w:eastAsia="Georgia" w:hAnsi="Georgia"/>
          <w:b/>
          <w:bCs/>
          <w:color w:val="1E2761"/>
          <w:sz w:val="32"/>
          <w:szCs w:val="32"/>
        </w:rPr>
        <w:t xml:space="preserve">5. Fonctionnalités clés</w:t>
      </w:r>
    </w:p>
    <w:p>
      <w:pPr>
        <w:pStyle w:val="Heading2"/>
        <w:spacing w:after="120" w:before="240"/>
      </w:pPr>
      <w:r>
        <w:rPr>
          <w:rFonts w:ascii="Georgia" w:cs="Georgia" w:eastAsia="Georgia" w:hAnsi="Georgia"/>
          <w:b/>
          <w:bCs/>
          <w:color w:val="1E2761"/>
          <w:sz w:val="26"/>
          <w:szCs w:val="26"/>
        </w:rPr>
        <w:t xml:space="preserve">5.1 Authentification et profils</w:t>
      </w:r>
    </w:p>
    <w:p>
      <w:pPr>
        <w:pStyle w:val="ListParagraph"/>
        <w:numPr>
          <w:ilvl w:val="0"/>
          <w:numId w:val="2"/>
        </w:numPr>
        <w:spacing w:after="60"/>
      </w:pPr>
      <w:r>
        <w:rPr>
          <w:rFonts w:ascii="Calibri" w:cs="Calibri" w:eastAsia="Calibri" w:hAnsi="Calibri"/>
          <w:sz w:val="22"/>
          <w:szCs w:val="22"/>
        </w:rPr>
        <w:t xml:space="preserve">Inscription et connexion sécurisées (email institutionnel, mot de passe haché).</w:t>
      </w:r>
    </w:p>
    <w:p>
      <w:pPr>
        <w:pStyle w:val="ListParagraph"/>
        <w:numPr>
          <w:ilvl w:val="0"/>
          <w:numId w:val="2"/>
        </w:numPr>
        <w:spacing w:after="60"/>
      </w:pPr>
      <w:r>
        <w:rPr>
          <w:rFonts w:ascii="Calibri" w:cs="Calibri" w:eastAsia="Calibri" w:hAnsi="Calibri"/>
          <w:sz w:val="22"/>
          <w:szCs w:val="22"/>
        </w:rPr>
        <w:t xml:space="preserve">Gestion du profil utilisateur : photo, biographie, filière, promotion.</w:t>
      </w:r>
    </w:p>
    <w:p>
      <w:pPr>
        <w:pStyle w:val="ListParagraph"/>
        <w:numPr>
          <w:ilvl w:val="0"/>
          <w:numId w:val="2"/>
        </w:numPr>
        <w:spacing w:after="60"/>
      </w:pPr>
      <w:r>
        <w:rPr>
          <w:rFonts w:ascii="Calibri" w:cs="Calibri" w:eastAsia="Calibri" w:hAnsi="Calibri"/>
          <w:b/>
          <w:bCs/>
          <w:color w:val="1E2761"/>
          <w:sz w:val="22"/>
          <w:szCs w:val="22"/>
        </w:rPr>
        <w:t xml:space="preserve">Compétences techniques de l’étudiant </w:t>
      </w:r>
      <w:r>
        <w:rPr>
          <w:rFonts w:ascii="Calibri" w:cs="Calibri" w:eastAsia="Calibri" w:hAnsi="Calibri"/>
          <w:sz w:val="22"/>
          <w:szCs w:val="22"/>
        </w:rPr>
        <w:t xml:space="preserve">(saisies sous forme de tags) — données utilisées par l’algorithme de matching.</w:t>
      </w:r>
    </w:p>
    <w:p>
      <w:pPr>
        <w:pStyle w:val="ListParagraph"/>
        <w:numPr>
          <w:ilvl w:val="0"/>
          <w:numId w:val="2"/>
        </w:numPr>
        <w:spacing w:after="60"/>
      </w:pPr>
      <w:r>
        <w:rPr>
          <w:rFonts w:ascii="Calibri" w:cs="Calibri" w:eastAsia="Calibri" w:hAnsi="Calibri"/>
          <w:sz w:val="22"/>
          <w:szCs w:val="22"/>
        </w:rPr>
        <w:t xml:space="preserve">Pour les Alumni : parcours professionnel, entreprise actuelle, certifications.</w:t>
      </w:r>
    </w:p>
    <w:p>
      <w:pPr>
        <w:pStyle w:val="Heading2"/>
        <w:spacing w:after="120" w:before="240"/>
      </w:pPr>
      <w:r>
        <w:rPr>
          <w:rFonts w:ascii="Georgia" w:cs="Georgia" w:eastAsia="Georgia" w:hAnsi="Georgia"/>
          <w:b/>
          <w:bCs/>
          <w:color w:val="1E2761"/>
          <w:sz w:val="26"/>
          <w:szCs w:val="26"/>
        </w:rPr>
        <w:t xml:space="preserve">5.2 Messagerie hiérarchique</w:t>
      </w:r>
    </w:p>
    <w:p>
      <w:pPr>
        <w:spacing w:after="120"/>
      </w:pPr>
      <w:r>
        <w:rPr>
          <w:rFonts w:ascii="Calibri" w:cs="Calibri" w:eastAsia="Calibri" w:hAnsi="Calibri"/>
          <w:sz w:val="22"/>
          <w:szCs w:val="22"/>
        </w:rPr>
        <w:t xml:space="preserve">Cœur fonctionnel du module communication, conçu pour fluidifier les échanges et prévenir les conflits administratifs.</w:t>
      </w:r>
    </w:p>
    <w:p>
      <w:pPr>
        <w:pStyle w:val="ListParagraph"/>
        <w:numPr>
          <w:ilvl w:val="0"/>
          <w:numId w:val="2"/>
        </w:numPr>
        <w:spacing w:after="60"/>
      </w:pPr>
      <w:r>
        <w:rPr>
          <w:rFonts w:ascii="Calibri" w:cs="Calibri" w:eastAsia="Calibri" w:hAnsi="Calibri"/>
          <w:sz w:val="22"/>
          <w:szCs w:val="22"/>
        </w:rPr>
        <w:t xml:space="preserve">Conversations 1-à-1 entre étudiant ↔ professeur ↔ administration.</w:t>
      </w:r>
    </w:p>
    <w:p>
      <w:pPr>
        <w:pStyle w:val="ListParagraph"/>
        <w:numPr>
          <w:ilvl w:val="0"/>
          <w:numId w:val="2"/>
        </w:numPr>
        <w:spacing w:after="60"/>
      </w:pPr>
      <w:r>
        <w:rPr>
          <w:rFonts w:ascii="Calibri" w:cs="Calibri" w:eastAsia="Calibri" w:hAnsi="Calibri"/>
          <w:sz w:val="22"/>
          <w:szCs w:val="22"/>
        </w:rPr>
        <w:t xml:space="preserve">Conversations de groupe (classe, club, projet).</w:t>
      </w:r>
    </w:p>
    <w:p>
      <w:pPr>
        <w:pStyle w:val="ListParagraph"/>
        <w:numPr>
          <w:ilvl w:val="0"/>
          <w:numId w:val="2"/>
        </w:numPr>
        <w:spacing w:after="60"/>
      </w:pPr>
      <w:r>
        <w:rPr>
          <w:rFonts w:ascii="Calibri" w:cs="Calibri" w:eastAsia="Calibri" w:hAnsi="Calibri"/>
          <w:sz w:val="22"/>
          <w:szCs w:val="22"/>
        </w:rPr>
        <w:t xml:space="preserve">Notifications en temps réel et statut de lecture.</w:t>
      </w:r>
    </w:p>
    <w:p>
      <w:pPr>
        <w:pStyle w:val="ListParagraph"/>
        <w:numPr>
          <w:ilvl w:val="0"/>
          <w:numId w:val="2"/>
        </w:numPr>
        <w:spacing w:after="60"/>
      </w:pPr>
      <w:r>
        <w:rPr>
          <w:rFonts w:ascii="Calibri" w:cs="Calibri" w:eastAsia="Calibri" w:hAnsi="Calibri"/>
          <w:sz w:val="22"/>
          <w:szCs w:val="22"/>
        </w:rPr>
        <w:t xml:space="preserve">Historique consultable et recherchable.</w:t>
      </w:r>
    </w:p>
    <w:p>
      <w:pPr>
        <w:pStyle w:val="Heading2"/>
        <w:spacing w:after="120" w:before="240"/>
      </w:pPr>
      <w:r>
        <w:rPr>
          <w:rFonts w:ascii="Georgia" w:cs="Georgia" w:eastAsia="Georgia" w:hAnsi="Georgia"/>
          <w:b/>
          <w:bCs/>
          <w:color w:val="1E2761"/>
          <w:sz w:val="26"/>
          <w:szCs w:val="26"/>
        </w:rPr>
        <w:t xml:space="preserve">5.3 Fil d’actualité et groupes</w:t>
      </w:r>
    </w:p>
    <w:p>
      <w:pPr>
        <w:pStyle w:val="ListParagraph"/>
        <w:numPr>
          <w:ilvl w:val="0"/>
          <w:numId w:val="2"/>
        </w:numPr>
        <w:spacing w:after="60"/>
      </w:pPr>
      <w:r>
        <w:rPr>
          <w:rFonts w:ascii="Calibri" w:cs="Calibri" w:eastAsia="Calibri" w:hAnsi="Calibri"/>
          <w:sz w:val="22"/>
          <w:szCs w:val="22"/>
        </w:rPr>
        <w:t xml:space="preserve">Publication de posts (texte, image, lien) avec options de visibilité.</w:t>
      </w:r>
    </w:p>
    <w:p>
      <w:pPr>
        <w:pStyle w:val="ListParagraph"/>
        <w:numPr>
          <w:ilvl w:val="0"/>
          <w:numId w:val="2"/>
        </w:numPr>
        <w:spacing w:after="60"/>
      </w:pPr>
      <w:r>
        <w:rPr>
          <w:rFonts w:ascii="Calibri" w:cs="Calibri" w:eastAsia="Calibri" w:hAnsi="Calibri"/>
          <w:sz w:val="22"/>
          <w:szCs w:val="22"/>
        </w:rPr>
        <w:t xml:space="preserve">Likes, commentaires et partages.</w:t>
      </w:r>
    </w:p>
    <w:p>
      <w:pPr>
        <w:pStyle w:val="ListParagraph"/>
        <w:numPr>
          <w:ilvl w:val="0"/>
          <w:numId w:val="2"/>
        </w:numPr>
        <w:spacing w:after="60"/>
      </w:pPr>
      <w:r>
        <w:rPr>
          <w:rFonts w:ascii="Calibri" w:cs="Calibri" w:eastAsia="Calibri" w:hAnsi="Calibri"/>
          <w:sz w:val="22"/>
          <w:szCs w:val="22"/>
        </w:rPr>
        <w:t xml:space="preserve">Groupes par filière, promotion, club ou projet, avec leur propre fil de publications.</w:t>
      </w:r>
    </w:p>
    <w:p>
      <w:pPr>
        <w:pStyle w:val="ListParagraph"/>
        <w:numPr>
          <w:ilvl w:val="0"/>
          <w:numId w:val="2"/>
        </w:numPr>
        <w:spacing w:after="60"/>
      </w:pPr>
      <w:r>
        <w:rPr>
          <w:rFonts w:ascii="Calibri" w:cs="Calibri" w:eastAsia="Calibri" w:hAnsi="Calibri"/>
          <w:sz w:val="22"/>
          <w:szCs w:val="22"/>
        </w:rPr>
        <w:t xml:space="preserve">Partage centralisé de ressources pédagogiques (cours, annonces, supports).</w:t>
      </w:r>
    </w:p>
    <w:p>
      <w:pPr>
        <w:pStyle w:val="Heading2"/>
        <w:spacing w:after="120" w:before="240"/>
      </w:pPr>
      <w:r>
        <w:rPr>
          <w:rFonts w:ascii="Georgia" w:cs="Georgia" w:eastAsia="Georgia" w:hAnsi="Georgia"/>
          <w:b/>
          <w:bCs/>
          <w:color w:val="1E2761"/>
          <w:sz w:val="26"/>
          <w:szCs w:val="26"/>
        </w:rPr>
        <w:t xml:space="preserve">5.4 Événements</w:t>
      </w:r>
    </w:p>
    <w:p>
      <w:pPr>
        <w:pStyle w:val="ListParagraph"/>
        <w:numPr>
          <w:ilvl w:val="0"/>
          <w:numId w:val="2"/>
        </w:numPr>
        <w:spacing w:after="60"/>
      </w:pPr>
      <w:r>
        <w:rPr>
          <w:rFonts w:ascii="Calibri" w:cs="Calibri" w:eastAsia="Calibri" w:hAnsi="Calibri"/>
          <w:sz w:val="22"/>
          <w:szCs w:val="22"/>
        </w:rPr>
        <w:t xml:space="preserve">Création d’événements académiques, culturels, sportifs ou associatifs.</w:t>
      </w:r>
    </w:p>
    <w:p>
      <w:pPr>
        <w:pStyle w:val="ListParagraph"/>
        <w:numPr>
          <w:ilvl w:val="0"/>
          <w:numId w:val="2"/>
        </w:numPr>
        <w:spacing w:after="60"/>
      </w:pPr>
      <w:r>
        <w:rPr>
          <w:rFonts w:ascii="Calibri" w:cs="Calibri" w:eastAsia="Calibri" w:hAnsi="Calibri"/>
          <w:sz w:val="22"/>
          <w:szCs w:val="22"/>
        </w:rPr>
        <w:t xml:space="preserve">Confirmation de participation (Participe / Intéressé / Ne participe pas).</w:t>
      </w:r>
    </w:p>
    <w:p>
      <w:pPr>
        <w:pStyle w:val="ListParagraph"/>
        <w:numPr>
          <w:ilvl w:val="0"/>
          <w:numId w:val="2"/>
        </w:numPr>
        <w:spacing w:after="60"/>
      </w:pPr>
      <w:r>
        <w:rPr>
          <w:rFonts w:ascii="Calibri" w:cs="Calibri" w:eastAsia="Calibri" w:hAnsi="Calibri"/>
          <w:sz w:val="22"/>
          <w:szCs w:val="22"/>
        </w:rPr>
        <w:t xml:space="preserve">Rappels automatiques et discussions liées à l’événement.</w:t>
      </w:r>
    </w:p>
    <w:p>
      <w:pPr>
        <w:pStyle w:val="Heading2"/>
        <w:spacing w:after="120" w:before="240"/>
      </w:pPr>
      <w:r>
        <w:rPr>
          <w:rFonts w:ascii="Georgia" w:cs="Georgia" w:eastAsia="Georgia" w:hAnsi="Georgia"/>
          <w:b/>
          <w:bCs/>
          <w:color w:val="1E2761"/>
          <w:sz w:val="26"/>
          <w:szCs w:val="26"/>
        </w:rPr>
        <w:t xml:space="preserve">5.5 Portail professionnel</w:t>
      </w:r>
    </w:p>
    <w:p>
      <w:pPr>
        <w:pStyle w:val="ListParagraph"/>
        <w:numPr>
          <w:ilvl w:val="0"/>
          <w:numId w:val="2"/>
        </w:numPr>
        <w:spacing w:after="60"/>
      </w:pPr>
      <w:r>
        <w:rPr>
          <w:rFonts w:ascii="Calibri" w:cs="Calibri" w:eastAsia="Calibri" w:hAnsi="Calibri"/>
          <w:sz w:val="22"/>
          <w:szCs w:val="22"/>
        </w:rPr>
        <w:t xml:space="preserve">Publication d’offres de stages, de PFE et d’emplois par les Alumni et entreprises partenaires.</w:t>
      </w:r>
    </w:p>
    <w:p>
      <w:pPr>
        <w:pStyle w:val="ListParagraph"/>
        <w:numPr>
          <w:ilvl w:val="0"/>
          <w:numId w:val="2"/>
        </w:numPr>
        <w:spacing w:after="60"/>
      </w:pPr>
      <w:r>
        <w:rPr>
          <w:rFonts w:ascii="Calibri" w:cs="Calibri" w:eastAsia="Calibri" w:hAnsi="Calibri"/>
          <w:sz w:val="22"/>
          <w:szCs w:val="22"/>
        </w:rPr>
        <w:t xml:space="preserve">Recherche multicritères : domaine, localisation, type de contrat, compétences requises.</w:t>
      </w:r>
    </w:p>
    <w:p>
      <w:pPr>
        <w:pStyle w:val="ListParagraph"/>
        <w:numPr>
          <w:ilvl w:val="0"/>
          <w:numId w:val="2"/>
        </w:numPr>
        <w:spacing w:after="60"/>
      </w:pPr>
      <w:r>
        <w:rPr>
          <w:rFonts w:ascii="Calibri" w:cs="Calibri" w:eastAsia="Calibri" w:hAnsi="Calibri"/>
          <w:sz w:val="22"/>
          <w:szCs w:val="22"/>
        </w:rPr>
        <w:t xml:space="preserve">Candidature en ligne avec suivi du statut.</w:t>
      </w:r>
    </w:p>
    <w:p>
      <w:pPr>
        <w:pStyle w:val="ListParagraph"/>
        <w:numPr>
          <w:ilvl w:val="0"/>
          <w:numId w:val="2"/>
        </w:numPr>
        <w:spacing w:after="60"/>
      </w:pPr>
      <w:r>
        <w:rPr>
          <w:rFonts w:ascii="Calibri" w:cs="Calibri" w:eastAsia="Calibri" w:hAnsi="Calibri"/>
          <w:sz w:val="22"/>
          <w:szCs w:val="22"/>
        </w:rPr>
        <w:t xml:space="preserve">Tableau de bord pour les recruteurs Alumni : visibilité de l’offre, candidatures reçues.</w:t>
      </w:r>
    </w:p>
    <w:p>
      <w:pPr>
        <w:pStyle w:val="Heading2"/>
        <w:spacing w:after="120" w:before="240"/>
      </w:pPr>
      <w:r>
        <w:rPr>
          <w:rFonts w:ascii="Georgia" w:cs="Georgia" w:eastAsia="Georgia" w:hAnsi="Georgia"/>
          <w:b/>
          <w:bCs/>
          <w:color w:val="1E2761"/>
          <w:sz w:val="26"/>
          <w:szCs w:val="26"/>
        </w:rPr>
        <w:t xml:space="preserve">5.6 Algorithme de matching intelligent</w:t>
      </w:r>
    </w:p>
    <w:p>
      <w:pPr>
        <w:spacing w:after="120"/>
      </w:pPr>
      <w:r>
        <w:rPr>
          <w:rFonts w:ascii="Calibri" w:cs="Calibri" w:eastAsia="Calibri" w:hAnsi="Calibri"/>
          <w:sz w:val="22"/>
          <w:szCs w:val="22"/>
        </w:rPr>
        <w:t xml:space="preserve">Fonctionnalité différenciante du projet. À chaque offre publiée, le système calcule un score de compatibilité personnalisé pour chaque étudiant.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6167" w:sz="12"/>
              <w:left w:val="single" w:color="F96167" w:sz="24"/>
              <w:bottom w:val="single" w:color="F96167" w:sz="4"/>
              <w:right w:val="single" w:color="F96167" w:sz="4"/>
            </w:tcBorders>
            <w:shd w:fill="F4F6FB" w:val="clear"/>
            <w:tcMar>
              <w:top w:type="dxa" w:w="160"/>
              <w:left w:type="dxa" w:w="220"/>
              <w:bottom w:type="dxa" w:w="160"/>
              <w:right w:type="dxa" w:w="220"/>
            </w:tcMar>
          </w:tcPr>
          <w:p>
            <w:pPr>
              <w:spacing w:after="100"/>
            </w:pPr>
            <w:r>
              <w:rPr>
                <w:rFonts w:ascii="Calibri" w:cs="Calibri" w:eastAsia="Calibri" w:hAnsi="Calibri"/>
                <w:b/>
                <w:bCs/>
                <w:caps/>
                <w:color w:val="F96167"/>
                <w:spacing w:val="30"/>
                <w:sz w:val="22"/>
                <w:szCs w:val="22"/>
              </w:rPr>
              <w:t xml:space="preserve">Principe de l’algorithme</w:t>
            </w:r>
          </w:p>
          <w:p>
            <w:pPr>
              <w:spacing w:after="60"/>
            </w:pPr>
            <w:r>
              <w:rPr>
                <w:rFonts w:ascii="Calibri" w:cs="Calibri" w:eastAsia="Calibri" w:hAnsi="Calibri"/>
                <w:b/>
                <w:bCs/>
                <w:color w:val="1E2761"/>
                <w:sz w:val="22"/>
                <w:szCs w:val="22"/>
              </w:rPr>
              <w:t xml:space="preserve">Étape 1 — Normalisation : </w:t>
            </w:r>
            <w:r>
              <w:rPr>
                <w:rFonts w:ascii="Calibri" w:cs="Calibri" w:eastAsia="Calibri" w:hAnsi="Calibri"/>
                <w:sz w:val="22"/>
                <w:szCs w:val="22"/>
              </w:rPr>
              <w:t xml:space="preserve">les compétences de l’étudiant et celles exigées par l’offre sont nettoyées et standardisées (mise en minuscules, suppression des accents et alias).</w:t>
            </w:r>
          </w:p>
          <w:p>
            <w:pPr>
              <w:spacing w:after="60"/>
            </w:pPr>
            <w:r>
              <w:rPr>
                <w:rFonts w:ascii="Calibri" w:cs="Calibri" w:eastAsia="Calibri" w:hAnsi="Calibri"/>
                <w:b/>
                <w:bCs/>
                <w:color w:val="1E2761"/>
                <w:sz w:val="22"/>
                <w:szCs w:val="22"/>
              </w:rPr>
              <w:t xml:space="preserve">Étape 2 — Intersection : </w:t>
            </w:r>
            <w:r>
              <w:rPr>
                <w:rFonts w:ascii="Calibri" w:cs="Calibri" w:eastAsia="Calibri" w:hAnsi="Calibri"/>
                <w:sz w:val="22"/>
                <w:szCs w:val="22"/>
              </w:rPr>
              <w:t xml:space="preserve">calcul de l’ensemble des compétences communes entre profil et offre.</w:t>
            </w:r>
          </w:p>
          <w:p>
            <w:pPr>
              <w:spacing w:after="60"/>
            </w:pPr>
            <w:r>
              <w:rPr>
                <w:rFonts w:ascii="Calibri" w:cs="Calibri" w:eastAsia="Calibri" w:hAnsi="Calibri"/>
                <w:b/>
                <w:bCs/>
                <w:color w:val="1E2761"/>
                <w:sz w:val="22"/>
                <w:szCs w:val="22"/>
              </w:rPr>
              <w:t xml:space="preserve">Étape 3 — Calcul du score : </w:t>
            </w:r>
            <w:r>
              <w:rPr>
                <w:rFonts w:ascii="Consolas" w:cs="Consolas" w:eastAsia="Consolas" w:hAnsi="Consolas"/>
                <w:b/>
                <w:bCs/>
                <w:color w:val="F96167"/>
                <w:sz w:val="22"/>
                <w:szCs w:val="22"/>
              </w:rPr>
              <w:t xml:space="preserve">Score = ( Compétences communes ÷ Compétences requises ) × 100</w:t>
            </w:r>
          </w:p>
          <w:p>
            <w:pPr>
              <w:spacing w:after="60"/>
            </w:pPr>
            <w:r>
              <w:rPr>
                <w:rFonts w:ascii="Calibri" w:cs="Calibri" w:eastAsia="Calibri" w:hAnsi="Calibri"/>
                <w:b/>
                <w:bCs/>
                <w:color w:val="1E2761"/>
                <w:sz w:val="22"/>
                <w:szCs w:val="22"/>
              </w:rPr>
              <w:t xml:space="preserve">Étape 4 — Tri intelligent : </w:t>
            </w:r>
            <w:r>
              <w:rPr>
                <w:rFonts w:ascii="Calibri" w:cs="Calibri" w:eastAsia="Calibri" w:hAnsi="Calibri"/>
                <w:sz w:val="22"/>
                <w:szCs w:val="22"/>
              </w:rPr>
              <w:t xml:space="preserve">les offres sont restituées à l’étudiant triées par score décroissant — les plus pertinentes apparaissent en premier.</w:t>
            </w:r>
          </w:p>
        </w:tc>
      </w:tr>
    </w:tbl>
    <w:p>
      <w:r>
        <w:t xml:space="preserve"/>
      </w:r>
    </w:p>
    <w:p>
      <w:pPr>
        <w:spacing w:after="120"/>
      </w:pPr>
      <w:r>
        <w:rPr>
          <w:rFonts w:ascii="Calibri" w:cs="Calibri" w:eastAsia="Calibri" w:hAnsi="Calibri"/>
          <w:b/>
          <w:bCs/>
          <w:color w:val="1E2761"/>
          <w:sz w:val="22"/>
          <w:szCs w:val="22"/>
        </w:rPr>
        <w:t xml:space="preserve">Exemple : </w:t>
      </w:r>
      <w:r>
        <w:rPr>
          <w:rFonts w:ascii="Calibri" w:cs="Calibri" w:eastAsia="Calibri" w:hAnsi="Calibri"/>
          <w:sz w:val="22"/>
          <w:szCs w:val="22"/>
        </w:rPr>
        <w:t xml:space="preserve">une offre exige 4 compétences (Java, Spring, Angular, SQL). L’étudiant en maîtrise 3 (Java, Spring, Angular). Le score affiché à côté de l’offre sera : </w:t>
      </w:r>
      <w:r>
        <w:rPr>
          <w:rFonts w:ascii="Consolas" w:cs="Consolas" w:eastAsia="Consolas" w:hAnsi="Consolas"/>
          <w:b/>
          <w:bCs/>
          <w:color w:val="F96167"/>
          <w:sz w:val="22"/>
          <w:szCs w:val="22"/>
        </w:rPr>
        <w:t xml:space="preserve">(3 / 4) × 100 = 75 %.</w:t>
      </w:r>
    </w:p>
    <w:p>
      <w:pPr>
        <w:pStyle w:val="Heading2"/>
        <w:spacing w:after="120" w:before="240"/>
      </w:pPr>
      <w:r>
        <w:rPr>
          <w:rFonts w:ascii="Georgia" w:cs="Georgia" w:eastAsia="Georgia" w:hAnsi="Georgia"/>
          <w:b/>
          <w:bCs/>
          <w:color w:val="1E2761"/>
          <w:sz w:val="26"/>
          <w:szCs w:val="26"/>
        </w:rPr>
        <w:t xml:space="preserve">5.7 Modération et administration</w:t>
      </w:r>
    </w:p>
    <w:p>
      <w:pPr>
        <w:pStyle w:val="ListParagraph"/>
        <w:numPr>
          <w:ilvl w:val="0"/>
          <w:numId w:val="2"/>
        </w:numPr>
        <w:spacing w:after="60"/>
      </w:pPr>
      <w:r>
        <w:rPr>
          <w:rFonts w:ascii="Calibri" w:cs="Calibri" w:eastAsia="Calibri" w:hAnsi="Calibri"/>
          <w:sz w:val="22"/>
          <w:szCs w:val="22"/>
        </w:rPr>
        <w:t xml:space="preserve">Panel d’administration pour la gestion des utilisateurs et des contenus.</w:t>
      </w:r>
    </w:p>
    <w:p>
      <w:pPr>
        <w:pStyle w:val="ListParagraph"/>
        <w:numPr>
          <w:ilvl w:val="0"/>
          <w:numId w:val="2"/>
        </w:numPr>
        <w:spacing w:after="60"/>
      </w:pPr>
      <w:r>
        <w:rPr>
          <w:rFonts w:ascii="Calibri" w:cs="Calibri" w:eastAsia="Calibri" w:hAnsi="Calibri"/>
          <w:sz w:val="22"/>
          <w:szCs w:val="22"/>
        </w:rPr>
        <w:t xml:space="preserve">Signalement de publications inappropriées.</w:t>
      </w:r>
    </w:p>
    <w:p>
      <w:pPr>
        <w:pStyle w:val="ListParagraph"/>
        <w:numPr>
          <w:ilvl w:val="0"/>
          <w:numId w:val="2"/>
        </w:numPr>
        <w:spacing w:after="60"/>
      </w:pPr>
      <w:r>
        <w:rPr>
          <w:rFonts w:ascii="Calibri" w:cs="Calibri" w:eastAsia="Calibri" w:hAnsi="Calibri"/>
          <w:sz w:val="22"/>
          <w:szCs w:val="22"/>
        </w:rPr>
        <w:t xml:space="preserve">Statistiques d’utilisation (utilisateurs actifs, posts, offres, candidatures).</w:t>
      </w:r>
    </w:p>
    <w:p>
      <w:r>
        <w:br w:type="page"/>
      </w:r>
    </w:p>
    <w:p>
      <w:pPr>
        <w:pStyle w:val="Heading1"/>
        <w:pBdr>
          <w:bottom w:val="single" w:color="F96167" w:sz="12" w:space="4"/>
        </w:pBdr>
        <w:spacing w:after="180" w:before="360"/>
      </w:pPr>
      <w:r>
        <w:rPr>
          <w:rFonts w:ascii="Georgia" w:cs="Georgia" w:eastAsia="Georgia" w:hAnsi="Georgia"/>
          <w:b/>
          <w:bCs/>
          <w:color w:val="1E2761"/>
          <w:sz w:val="32"/>
          <w:szCs w:val="32"/>
        </w:rPr>
        <w:t xml:space="preserve">6. Architecture technique</w:t>
      </w:r>
    </w:p>
    <w:p>
      <w:pPr>
        <w:pStyle w:val="Heading2"/>
        <w:spacing w:after="120" w:before="240"/>
      </w:pPr>
      <w:r>
        <w:rPr>
          <w:rFonts w:ascii="Georgia" w:cs="Georgia" w:eastAsia="Georgia" w:hAnsi="Georgia"/>
          <w:b/>
          <w:bCs/>
          <w:color w:val="1E2761"/>
          <w:sz w:val="26"/>
          <w:szCs w:val="26"/>
        </w:rPr>
        <w:t xml:space="preserve">6.1 Vue d’ensemble</w:t>
      </w:r>
    </w:p>
    <w:p>
      <w:pPr>
        <w:spacing w:after="120"/>
      </w:pPr>
      <w:r>
        <w:rPr>
          <w:rFonts w:ascii="Calibri" w:cs="Calibri" w:eastAsia="Calibri" w:hAnsi="Calibri"/>
          <w:sz w:val="22"/>
          <w:szCs w:val="22"/>
        </w:rPr>
        <w:t xml:space="preserve">ENICAR Connect repose sur une architecture Client / Serveur classique en trois tiers, garantissant une séparation nette des responsabilités, une bonne testabilité et une capacité d’évolution.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160"/>
      </w:tblGrid>
      <w:tr>
        <w:trPr>
          <w:tblHeader/>
        </w:trPr>
        <w:tc>
          <w:tcPr>
            <w:tcW w:type="dxa" w:w="1700"/>
            <w:tcBorders>
              <w:top w:val="single" w:color="CCCCCC" w:sz="4"/>
              <w:left w:val="single" w:color="CCCCCC" w:sz="4"/>
              <w:bottom w:val="single" w:color="CCCCCC" w:sz="4"/>
              <w:right w:val="single" w:color="CCCCCC" w:sz="4"/>
            </w:tcBorders>
            <w:shd w:fill="1E2761" w:val="clear"/>
            <w:tcMar>
              <w:top w:type="dxa" w:w="100"/>
              <w:left w:type="dxa" w:w="140"/>
              <w:bottom w:type="dxa" w:w="100"/>
              <w:right w:type="dxa" w:w="140"/>
            </w:tcMar>
          </w:tcPr>
          <w:p>
            <w:r>
              <w:rPr>
                <w:rFonts w:ascii="Calibri" w:cs="Calibri" w:eastAsia="Calibri" w:hAnsi="Calibri"/>
                <w:b/>
                <w:bCs/>
                <w:color w:val="FFFFFF"/>
                <w:sz w:val="22"/>
                <w:szCs w:val="22"/>
              </w:rPr>
              <w:t xml:space="preserve">Couche</w:t>
            </w:r>
          </w:p>
        </w:tc>
        <w:tc>
          <w:tcPr>
            <w:tcW w:type="dxa" w:w="2500"/>
            <w:tcBorders>
              <w:top w:val="single" w:color="CCCCCC" w:sz="4"/>
              <w:left w:val="single" w:color="CCCCCC" w:sz="4"/>
              <w:bottom w:val="single" w:color="CCCCCC" w:sz="4"/>
              <w:right w:val="single" w:color="CCCCCC" w:sz="4"/>
            </w:tcBorders>
            <w:shd w:fill="1E2761" w:val="clear"/>
            <w:tcMar>
              <w:top w:type="dxa" w:w="100"/>
              <w:left w:type="dxa" w:w="140"/>
              <w:bottom w:type="dxa" w:w="100"/>
              <w:right w:type="dxa" w:w="140"/>
            </w:tcMar>
          </w:tcPr>
          <w:p>
            <w:r>
              <w:rPr>
                <w:rFonts w:ascii="Calibri" w:cs="Calibri" w:eastAsia="Calibri" w:hAnsi="Calibri"/>
                <w:b/>
                <w:bCs/>
                <w:color w:val="FFFFFF"/>
                <w:sz w:val="22"/>
                <w:szCs w:val="22"/>
              </w:rPr>
              <w:t xml:space="preserve">Technologie</w:t>
            </w:r>
          </w:p>
        </w:tc>
        <w:tc>
          <w:tcPr>
            <w:tcW w:type="dxa" w:w="5160"/>
            <w:tcBorders>
              <w:top w:val="single" w:color="CCCCCC" w:sz="4"/>
              <w:left w:val="single" w:color="CCCCCC" w:sz="4"/>
              <w:bottom w:val="single" w:color="CCCCCC" w:sz="4"/>
              <w:right w:val="single" w:color="CCCCCC" w:sz="4"/>
            </w:tcBorders>
            <w:shd w:fill="1E2761" w:val="clear"/>
            <w:tcMar>
              <w:top w:type="dxa" w:w="100"/>
              <w:left w:type="dxa" w:w="140"/>
              <w:bottom w:type="dxa" w:w="100"/>
              <w:right w:type="dxa" w:w="140"/>
            </w:tcMar>
          </w:tcPr>
          <w:p>
            <w:r>
              <w:rPr>
                <w:rFonts w:ascii="Calibri" w:cs="Calibri" w:eastAsia="Calibri" w:hAnsi="Calibri"/>
                <w:b/>
                <w:bCs/>
                <w:color w:val="FFFFFF"/>
                <w:sz w:val="22"/>
                <w:szCs w:val="22"/>
              </w:rPr>
              <w:t xml:space="preserve">Rôle</w:t>
            </w:r>
          </w:p>
        </w:tc>
      </w:tr>
      <w:tr>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color w:val="333333"/>
                <w:sz w:val="22"/>
                <w:szCs w:val="22"/>
              </w:rPr>
              <w:t xml:space="preserve">Frontend</w:t>
            </w:r>
          </w:p>
        </w:tc>
        <w:tc>
          <w:tcPr>
            <w:tcW w:type="dxa" w:w="2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color w:val="333333"/>
                <w:sz w:val="22"/>
                <w:szCs w:val="22"/>
              </w:rPr>
              <w:t xml:space="preserve">Angular</w:t>
            </w:r>
          </w:p>
        </w:tc>
        <w:tc>
          <w:tcPr>
            <w:tcW w:type="dxa" w:w="5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color w:val="333333"/>
                <w:sz w:val="22"/>
                <w:szCs w:val="22"/>
              </w:rPr>
              <w:t xml:space="preserve">Application web réactive (SPA), interface utilisateur, appels à l’API.</w:t>
            </w:r>
          </w:p>
        </w:tc>
      </w:tr>
      <w:tr>
        <w:tc>
          <w:tcPr>
            <w:tcW w:type="dxa" w:w="170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Calibri" w:cs="Calibri" w:eastAsia="Calibri" w:hAnsi="Calibri"/>
                <w:color w:val="333333"/>
                <w:sz w:val="22"/>
                <w:szCs w:val="22"/>
              </w:rPr>
              <w:t xml:space="preserve">Backend</w:t>
            </w:r>
          </w:p>
        </w:tc>
        <w:tc>
          <w:tcPr>
            <w:tcW w:type="dxa" w:w="250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Calibri" w:cs="Calibri" w:eastAsia="Calibri" w:hAnsi="Calibri"/>
                <w:color w:val="333333"/>
                <w:sz w:val="22"/>
                <w:szCs w:val="22"/>
              </w:rPr>
              <w:t xml:space="preserve">Spring Boot (Java)</w:t>
            </w:r>
          </w:p>
        </w:tc>
        <w:tc>
          <w:tcPr>
            <w:tcW w:type="dxa" w:w="516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Calibri" w:cs="Calibri" w:eastAsia="Calibri" w:hAnsi="Calibri"/>
                <w:color w:val="333333"/>
                <w:sz w:val="22"/>
                <w:szCs w:val="22"/>
              </w:rPr>
              <w:t xml:space="preserve">API REST sécurisée, logique métier, algorithme de matching, authentification.</w:t>
            </w:r>
          </w:p>
        </w:tc>
      </w:tr>
      <w:tr>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color w:val="333333"/>
                <w:sz w:val="22"/>
                <w:szCs w:val="22"/>
              </w:rPr>
              <w:t xml:space="preserve">Base de données</w:t>
            </w:r>
          </w:p>
        </w:tc>
        <w:tc>
          <w:tcPr>
            <w:tcW w:type="dxa" w:w="2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color w:val="333333"/>
                <w:sz w:val="22"/>
                <w:szCs w:val="22"/>
              </w:rPr>
              <w:t xml:space="preserve">MySQL / PostgreSQL</w:t>
            </w:r>
          </w:p>
        </w:tc>
        <w:tc>
          <w:tcPr>
            <w:tcW w:type="dxa" w:w="5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color w:val="333333"/>
                <w:sz w:val="22"/>
                <w:szCs w:val="22"/>
              </w:rPr>
              <w:t xml:space="preserve">Persistance relationnelle des utilisateurs, messages, posts, offres et compétences.</w:t>
            </w:r>
          </w:p>
        </w:tc>
      </w:tr>
      <w:tr>
        <w:tc>
          <w:tcPr>
            <w:tcW w:type="dxa" w:w="170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Calibri" w:cs="Calibri" w:eastAsia="Calibri" w:hAnsi="Calibri"/>
                <w:color w:val="333333"/>
                <w:sz w:val="22"/>
                <w:szCs w:val="22"/>
              </w:rPr>
              <w:t xml:space="preserve">Versioning</w:t>
            </w:r>
          </w:p>
        </w:tc>
        <w:tc>
          <w:tcPr>
            <w:tcW w:type="dxa" w:w="250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Calibri" w:cs="Calibri" w:eastAsia="Calibri" w:hAnsi="Calibri"/>
                <w:color w:val="333333"/>
                <w:sz w:val="22"/>
                <w:szCs w:val="22"/>
              </w:rPr>
              <w:t xml:space="preserve">GitHub</w:t>
            </w:r>
          </w:p>
        </w:tc>
        <w:tc>
          <w:tcPr>
            <w:tcW w:type="dxa" w:w="516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Calibri" w:cs="Calibri" w:eastAsia="Calibri" w:hAnsi="Calibri"/>
                <w:color w:val="333333"/>
                <w:sz w:val="22"/>
                <w:szCs w:val="22"/>
              </w:rPr>
              <w:t xml:space="preserve">Hébergement du code source, gestion des branches et collaboration.</w:t>
            </w:r>
          </w:p>
        </w:tc>
      </w:tr>
    </w:tbl>
    <w:p>
      <w:r>
        <w:t xml:space="preserve"/>
      </w:r>
    </w:p>
    <w:p>
      <w:pPr>
        <w:pStyle w:val="Heading2"/>
        <w:spacing w:after="120" w:before="240"/>
      </w:pPr>
      <w:r>
        <w:rPr>
          <w:rFonts w:ascii="Georgia" w:cs="Georgia" w:eastAsia="Georgia" w:hAnsi="Georgia"/>
          <w:b/>
          <w:bCs/>
          <w:color w:val="1E2761"/>
          <w:sz w:val="26"/>
          <w:szCs w:val="26"/>
        </w:rPr>
        <w:t xml:space="preserve">6.2 Modèle de données simplifié</w:t>
      </w:r>
    </w:p>
    <w:p>
      <w:pPr>
        <w:spacing w:after="120"/>
      </w:pPr>
      <w:r>
        <w:rPr>
          <w:rFonts w:ascii="Calibri" w:cs="Calibri" w:eastAsia="Calibri" w:hAnsi="Calibri"/>
          <w:sz w:val="22"/>
          <w:szCs w:val="22"/>
        </w:rPr>
        <w:t xml:space="preserve">Le modèle relationnel s’articule autour de quatre entités principales :</w:t>
      </w:r>
    </w:p>
    <w:p>
      <w:pPr>
        <w:pStyle w:val="ListParagraph"/>
        <w:numPr>
          <w:ilvl w:val="0"/>
          <w:numId w:val="2"/>
        </w:numPr>
        <w:spacing w:after="60"/>
      </w:pPr>
      <w:r>
        <w:rPr>
          <w:rFonts w:ascii="Consolas" w:cs="Consolas" w:eastAsia="Consolas" w:hAnsi="Consolas"/>
          <w:b/>
          <w:bCs/>
          <w:color w:val="1E2761"/>
          <w:sz w:val="22"/>
          <w:szCs w:val="22"/>
        </w:rPr>
        <w:t xml:space="preserve">Users </w:t>
      </w:r>
      <w:r>
        <w:rPr>
          <w:rFonts w:ascii="Calibri" w:cs="Calibri" w:eastAsia="Calibri" w:hAnsi="Calibri"/>
          <w:sz w:val="22"/>
          <w:szCs w:val="22"/>
        </w:rPr>
        <w:t xml:space="preserve">— id, nom, email, rôle (Étudiant / Professeur / Admin / Alumni), compétences[].</w:t>
      </w:r>
    </w:p>
    <w:p>
      <w:pPr>
        <w:pStyle w:val="ListParagraph"/>
        <w:numPr>
          <w:ilvl w:val="0"/>
          <w:numId w:val="2"/>
        </w:numPr>
        <w:spacing w:after="60"/>
      </w:pPr>
      <w:r>
        <w:rPr>
          <w:rFonts w:ascii="Consolas" w:cs="Consolas" w:eastAsia="Consolas" w:hAnsi="Consolas"/>
          <w:b/>
          <w:bCs/>
          <w:color w:val="1E2761"/>
          <w:sz w:val="22"/>
          <w:szCs w:val="22"/>
        </w:rPr>
        <w:t xml:space="preserve">Messages </w:t>
      </w:r>
      <w:r>
        <w:rPr>
          <w:rFonts w:ascii="Calibri" w:cs="Calibri" w:eastAsia="Calibri" w:hAnsi="Calibri"/>
          <w:sz w:val="22"/>
          <w:szCs w:val="22"/>
        </w:rPr>
        <w:t xml:space="preserve">— id, sender_id → Users, receiver_id → Users, contenu, date, statut.</w:t>
      </w:r>
    </w:p>
    <w:p>
      <w:pPr>
        <w:pStyle w:val="ListParagraph"/>
        <w:numPr>
          <w:ilvl w:val="0"/>
          <w:numId w:val="2"/>
        </w:numPr>
        <w:spacing w:after="60"/>
      </w:pPr>
      <w:r>
        <w:rPr>
          <w:rFonts w:ascii="Consolas" w:cs="Consolas" w:eastAsia="Consolas" w:hAnsi="Consolas"/>
          <w:b/>
          <w:bCs/>
          <w:color w:val="1E2761"/>
          <w:sz w:val="22"/>
          <w:szCs w:val="22"/>
        </w:rPr>
        <w:t xml:space="preserve">Posts </w:t>
      </w:r>
      <w:r>
        <w:rPr>
          <w:rFonts w:ascii="Calibri" w:cs="Calibri" w:eastAsia="Calibri" w:hAnsi="Calibri"/>
          <w:sz w:val="22"/>
          <w:szCs w:val="22"/>
        </w:rPr>
        <w:t xml:space="preserve">— id, author_id → Users, contenu, type, date, likes.</w:t>
      </w:r>
    </w:p>
    <w:p>
      <w:pPr>
        <w:pStyle w:val="ListParagraph"/>
        <w:numPr>
          <w:ilvl w:val="0"/>
          <w:numId w:val="2"/>
        </w:numPr>
        <w:spacing w:after="60"/>
      </w:pPr>
      <w:r>
        <w:rPr>
          <w:rFonts w:ascii="Consolas" w:cs="Consolas" w:eastAsia="Consolas" w:hAnsi="Consolas"/>
          <w:b/>
          <w:bCs/>
          <w:color w:val="1E2761"/>
          <w:sz w:val="22"/>
          <w:szCs w:val="22"/>
        </w:rPr>
        <w:t xml:space="preserve">Jobs </w:t>
      </w:r>
      <w:r>
        <w:rPr>
          <w:rFonts w:ascii="Calibri" w:cs="Calibri" w:eastAsia="Calibri" w:hAnsi="Calibri"/>
          <w:sz w:val="22"/>
          <w:szCs w:val="22"/>
        </w:rPr>
        <w:t xml:space="preserve">— id, author_id → Users (Alumni), titre, description, type (Stage/PFE/Emploi), compétences requises[].</w:t>
      </w:r>
    </w:p>
    <w:p>
      <w:r>
        <w:t xml:space="preserve"/>
      </w:r>
    </w:p>
    <w:p>
      <w:pPr>
        <w:spacing w:after="120"/>
      </w:pPr>
      <w:r>
        <w:rPr>
          <w:rFonts w:ascii="Calibri" w:cs="Calibri" w:eastAsia="Calibri" w:hAnsi="Calibri"/>
          <w:b/>
          <w:bCs/>
          <w:color w:val="1E2761"/>
          <w:sz w:val="22"/>
          <w:szCs w:val="22"/>
        </w:rPr>
        <w:t xml:space="preserve">Relation clé : </w:t>
      </w:r>
      <w:r>
        <w:rPr>
          <w:rFonts w:ascii="Calibri" w:cs="Calibri" w:eastAsia="Calibri" w:hAnsi="Calibri"/>
          <w:sz w:val="22"/>
          <w:szCs w:val="22"/>
        </w:rPr>
        <w:t xml:space="preserve">le croisement entre </w:t>
      </w:r>
      <w:r>
        <w:rPr>
          <w:rFonts w:ascii="Consolas" w:cs="Consolas" w:eastAsia="Consolas" w:hAnsi="Consolas"/>
          <w:b/>
          <w:bCs/>
          <w:sz w:val="22"/>
          <w:szCs w:val="22"/>
        </w:rPr>
        <w:t xml:space="preserve">Jobs.compétences_requises</w:t>
      </w:r>
      <w:r>
        <w:rPr>
          <w:rFonts w:ascii="Calibri" w:cs="Calibri" w:eastAsia="Calibri" w:hAnsi="Calibri"/>
          <w:sz w:val="22"/>
          <w:szCs w:val="22"/>
        </w:rPr>
        <w:t xml:space="preserve"> et </w:t>
      </w:r>
      <w:r>
        <w:rPr>
          <w:rFonts w:ascii="Consolas" w:cs="Consolas" w:eastAsia="Consolas" w:hAnsi="Consolas"/>
          <w:b/>
          <w:bCs/>
          <w:sz w:val="22"/>
          <w:szCs w:val="22"/>
        </w:rPr>
        <w:t xml:space="preserve">Users.compétences</w:t>
      </w:r>
      <w:r>
        <w:rPr>
          <w:rFonts w:ascii="Calibri" w:cs="Calibri" w:eastAsia="Calibri" w:hAnsi="Calibri"/>
          <w:sz w:val="22"/>
          <w:szCs w:val="22"/>
        </w:rPr>
        <w:t xml:space="preserve"> alimente directement l’algorithme de matching.</w:t>
      </w:r>
    </w:p>
    <w:p>
      <w:pPr>
        <w:pStyle w:val="Heading2"/>
        <w:spacing w:after="120" w:before="240"/>
      </w:pPr>
      <w:r>
        <w:rPr>
          <w:rFonts w:ascii="Georgia" w:cs="Georgia" w:eastAsia="Georgia" w:hAnsi="Georgia"/>
          <w:b/>
          <w:bCs/>
          <w:color w:val="1E2761"/>
          <w:sz w:val="26"/>
          <w:szCs w:val="26"/>
        </w:rPr>
        <w:t xml:space="preserve">6.3 Sécurité</w:t>
      </w:r>
    </w:p>
    <w:p>
      <w:pPr>
        <w:pStyle w:val="ListParagraph"/>
        <w:numPr>
          <w:ilvl w:val="0"/>
          <w:numId w:val="2"/>
        </w:numPr>
        <w:spacing w:after="60"/>
      </w:pPr>
      <w:r>
        <w:rPr>
          <w:rFonts w:ascii="Calibri" w:cs="Calibri" w:eastAsia="Calibri" w:hAnsi="Calibri"/>
          <w:sz w:val="22"/>
          <w:szCs w:val="22"/>
        </w:rPr>
        <w:t xml:space="preserve">Communications chiffrées via HTTPS / TLS.</w:t>
      </w:r>
    </w:p>
    <w:p>
      <w:pPr>
        <w:pStyle w:val="ListParagraph"/>
        <w:numPr>
          <w:ilvl w:val="0"/>
          <w:numId w:val="2"/>
        </w:numPr>
        <w:spacing w:after="60"/>
      </w:pPr>
      <w:r>
        <w:rPr>
          <w:rFonts w:ascii="Calibri" w:cs="Calibri" w:eastAsia="Calibri" w:hAnsi="Calibri"/>
          <w:sz w:val="22"/>
          <w:szCs w:val="22"/>
        </w:rPr>
        <w:t xml:space="preserve">Authentification basée sur JWT (JSON Web Tokens).</w:t>
      </w:r>
    </w:p>
    <w:p>
      <w:pPr>
        <w:pStyle w:val="ListParagraph"/>
        <w:numPr>
          <w:ilvl w:val="0"/>
          <w:numId w:val="2"/>
        </w:numPr>
        <w:spacing w:after="60"/>
      </w:pPr>
      <w:r>
        <w:rPr>
          <w:rFonts w:ascii="Calibri" w:cs="Calibri" w:eastAsia="Calibri" w:hAnsi="Calibri"/>
          <w:sz w:val="22"/>
          <w:szCs w:val="22"/>
        </w:rPr>
        <w:t xml:space="preserve">Hachage des mots de passe (BCrypt).</w:t>
      </w:r>
    </w:p>
    <w:p>
      <w:pPr>
        <w:pStyle w:val="ListParagraph"/>
        <w:numPr>
          <w:ilvl w:val="0"/>
          <w:numId w:val="2"/>
        </w:numPr>
        <w:spacing w:after="60"/>
      </w:pPr>
      <w:r>
        <w:rPr>
          <w:rFonts w:ascii="Calibri" w:cs="Calibri" w:eastAsia="Calibri" w:hAnsi="Calibri"/>
          <w:sz w:val="22"/>
          <w:szCs w:val="22"/>
        </w:rPr>
        <w:t xml:space="preserve">Validation et assainissement systématiques des entrées utilisateur (anti-XSS, anti-injection SQL).</w:t>
      </w:r>
    </w:p>
    <w:p>
      <w:pPr>
        <w:pStyle w:val="ListParagraph"/>
        <w:numPr>
          <w:ilvl w:val="0"/>
          <w:numId w:val="2"/>
        </w:numPr>
        <w:spacing w:after="60"/>
      </w:pPr>
      <w:r>
        <w:rPr>
          <w:rFonts w:ascii="Calibri" w:cs="Calibri" w:eastAsia="Calibri" w:hAnsi="Calibri"/>
          <w:sz w:val="22"/>
          <w:szCs w:val="22"/>
        </w:rPr>
        <w:t xml:space="preserve">Contrôle d’accès basé sur les rôles (RBAC).</w:t>
      </w:r>
    </w:p>
    <w:p>
      <w:pPr>
        <w:pStyle w:val="Heading2"/>
        <w:spacing w:after="120" w:before="240"/>
      </w:pPr>
      <w:r>
        <w:rPr>
          <w:rFonts w:ascii="Georgia" w:cs="Georgia" w:eastAsia="Georgia" w:hAnsi="Georgia"/>
          <w:b/>
          <w:bCs/>
          <w:color w:val="1E2761"/>
          <w:sz w:val="26"/>
          <w:szCs w:val="26"/>
        </w:rPr>
        <w:t xml:space="preserve">6.4 Performance et qualité</w:t>
      </w:r>
    </w:p>
    <w:p>
      <w:pPr>
        <w:pStyle w:val="ListParagraph"/>
        <w:numPr>
          <w:ilvl w:val="0"/>
          <w:numId w:val="2"/>
        </w:numPr>
        <w:spacing w:after="60"/>
      </w:pPr>
      <w:r>
        <w:rPr>
          <w:rFonts w:ascii="Calibri" w:cs="Calibri" w:eastAsia="Calibri" w:hAnsi="Calibri"/>
          <w:sz w:val="22"/>
          <w:szCs w:val="22"/>
        </w:rPr>
        <w:t xml:space="preserve">Temps de chargement initial visé inférieur à 3 secondes.</w:t>
      </w:r>
    </w:p>
    <w:p>
      <w:pPr>
        <w:pStyle w:val="ListParagraph"/>
        <w:numPr>
          <w:ilvl w:val="0"/>
          <w:numId w:val="2"/>
        </w:numPr>
        <w:spacing w:after="60"/>
      </w:pPr>
      <w:r>
        <w:rPr>
          <w:rFonts w:ascii="Calibri" w:cs="Calibri" w:eastAsia="Calibri" w:hAnsi="Calibri"/>
          <w:sz w:val="22"/>
          <w:szCs w:val="22"/>
        </w:rPr>
        <w:t xml:space="preserve">Temps de réponse API ciblé inférieur à 500 ms.</w:t>
      </w:r>
    </w:p>
    <w:p>
      <w:pPr>
        <w:pStyle w:val="ListParagraph"/>
        <w:numPr>
          <w:ilvl w:val="0"/>
          <w:numId w:val="2"/>
        </w:numPr>
        <w:spacing w:after="60"/>
      </w:pPr>
      <w:r>
        <w:rPr>
          <w:rFonts w:ascii="Calibri" w:cs="Calibri" w:eastAsia="Calibri" w:hAnsi="Calibri"/>
          <w:sz w:val="22"/>
          <w:szCs w:val="22"/>
        </w:rPr>
        <w:t xml:space="preserve">Pagination et lazy-loading pour le feed et la liste des offres.</w:t>
      </w:r>
    </w:p>
    <w:p>
      <w:pPr>
        <w:pStyle w:val="ListParagraph"/>
        <w:numPr>
          <w:ilvl w:val="0"/>
          <w:numId w:val="2"/>
        </w:numPr>
        <w:spacing w:after="60"/>
      </w:pPr>
      <w:r>
        <w:rPr>
          <w:rFonts w:ascii="Calibri" w:cs="Calibri" w:eastAsia="Calibri" w:hAnsi="Calibri"/>
          <w:sz w:val="22"/>
          <w:szCs w:val="22"/>
        </w:rPr>
        <w:t xml:space="preserve">Tests unitaires sur la logique métier critique (notamment l’algorithme de matching).</w:t>
      </w:r>
    </w:p>
    <w:p>
      <w:pPr>
        <w:pStyle w:val="Heading2"/>
        <w:spacing w:after="120" w:before="240"/>
      </w:pPr>
      <w:r>
        <w:rPr>
          <w:rFonts w:ascii="Georgia" w:cs="Georgia" w:eastAsia="Georgia" w:hAnsi="Georgia"/>
          <w:b/>
          <w:bCs/>
          <w:color w:val="1E2761"/>
          <w:sz w:val="26"/>
          <w:szCs w:val="26"/>
        </w:rPr>
        <w:t xml:space="preserve">6.5 Déploiement</w:t>
      </w:r>
    </w:p>
    <w:p>
      <w:pPr>
        <w:pStyle w:val="ListParagraph"/>
        <w:numPr>
          <w:ilvl w:val="0"/>
          <w:numId w:val="2"/>
        </w:numPr>
        <w:spacing w:after="60"/>
      </w:pPr>
      <w:r>
        <w:rPr>
          <w:rFonts w:ascii="Calibri" w:cs="Calibri" w:eastAsia="Calibri" w:hAnsi="Calibri"/>
          <w:sz w:val="22"/>
          <w:szCs w:val="22"/>
        </w:rPr>
        <w:t xml:space="preserve">Code source hébergé et versionné sur GitHub.</w:t>
      </w:r>
    </w:p>
    <w:p>
      <w:pPr>
        <w:pStyle w:val="ListParagraph"/>
        <w:numPr>
          <w:ilvl w:val="0"/>
          <w:numId w:val="2"/>
        </w:numPr>
        <w:spacing w:after="60"/>
      </w:pPr>
      <w:r>
        <w:rPr>
          <w:rFonts w:ascii="Calibri" w:cs="Calibri" w:eastAsia="Calibri" w:hAnsi="Calibri"/>
          <w:sz w:val="22"/>
          <w:szCs w:val="22"/>
        </w:rPr>
        <w:t xml:space="preserve">Environnements distincts : développement, test, production.</w:t>
      </w:r>
    </w:p>
    <w:p>
      <w:pPr>
        <w:pStyle w:val="ListParagraph"/>
        <w:numPr>
          <w:ilvl w:val="0"/>
          <w:numId w:val="2"/>
        </w:numPr>
        <w:spacing w:after="60"/>
      </w:pPr>
      <w:r>
        <w:rPr>
          <w:rFonts w:ascii="Calibri" w:cs="Calibri" w:eastAsia="Calibri" w:hAnsi="Calibri"/>
          <w:sz w:val="22"/>
          <w:szCs w:val="22"/>
        </w:rPr>
        <w:t xml:space="preserve">Conteneurisation envisagée (Docker) pour faciliter la mise en production.</w:t>
      </w:r>
    </w:p>
    <w:p>
      <w:r>
        <w:br w:type="page"/>
      </w:r>
    </w:p>
    <w:p>
      <w:pPr>
        <w:pStyle w:val="Heading1"/>
        <w:pBdr>
          <w:bottom w:val="single" w:color="F96167" w:sz="12" w:space="4"/>
        </w:pBdr>
        <w:spacing w:after="180" w:before="360"/>
      </w:pPr>
      <w:r>
        <w:rPr>
          <w:rFonts w:ascii="Georgia" w:cs="Georgia" w:eastAsia="Georgia" w:hAnsi="Georgia"/>
          <w:b/>
          <w:bCs/>
          <w:color w:val="1E2761"/>
          <w:sz w:val="32"/>
          <w:szCs w:val="32"/>
        </w:rPr>
        <w:t xml:space="preserve">7. Indicateurs de succès</w:t>
      </w:r>
    </w:p>
    <w:p>
      <w:pPr>
        <w:spacing w:after="120"/>
      </w:pPr>
      <w:r>
        <w:rPr>
          <w:rFonts w:ascii="Calibri" w:cs="Calibri" w:eastAsia="Calibri" w:hAnsi="Calibri"/>
          <w:sz w:val="22"/>
          <w:szCs w:val="22"/>
        </w:rPr>
        <w:t xml:space="preserve">La réussite du projet sera mesurée à partir des indicateurs suivants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tblHeader/>
        </w:trPr>
        <w:tc>
          <w:tcPr>
            <w:tcW w:type="dxa" w:w="6500"/>
            <w:tcBorders>
              <w:top w:val="single" w:color="CCCCCC" w:sz="4"/>
              <w:left w:val="single" w:color="CCCCCC" w:sz="4"/>
              <w:bottom w:val="single" w:color="CCCCCC" w:sz="4"/>
              <w:right w:val="single" w:color="CCCCCC" w:sz="4"/>
            </w:tcBorders>
            <w:shd w:fill="1E2761" w:val="clear"/>
            <w:tcMar>
              <w:top w:type="dxa" w:w="100"/>
              <w:left w:type="dxa" w:w="140"/>
              <w:bottom w:type="dxa" w:w="100"/>
              <w:right w:type="dxa" w:w="140"/>
            </w:tcMar>
          </w:tcPr>
          <w:p>
            <w:r>
              <w:rPr>
                <w:rFonts w:ascii="Calibri" w:cs="Calibri" w:eastAsia="Calibri" w:hAnsi="Calibri"/>
                <w:b/>
                <w:bCs/>
                <w:color w:val="FFFFFF"/>
                <w:sz w:val="22"/>
                <w:szCs w:val="22"/>
              </w:rPr>
              <w:t xml:space="preserve">Indicateur</w:t>
            </w:r>
          </w:p>
        </w:tc>
        <w:tc>
          <w:tcPr>
            <w:tcW w:type="dxa" w:w="2860"/>
            <w:tcBorders>
              <w:top w:val="single" w:color="CCCCCC" w:sz="4"/>
              <w:left w:val="single" w:color="CCCCCC" w:sz="4"/>
              <w:bottom w:val="single" w:color="CCCCCC" w:sz="4"/>
              <w:right w:val="single" w:color="CCCCCC" w:sz="4"/>
            </w:tcBorders>
            <w:shd w:fill="1E2761" w:val="clear"/>
            <w:tcMar>
              <w:top w:type="dxa" w:w="100"/>
              <w:left w:type="dxa" w:w="140"/>
              <w:bottom w:type="dxa" w:w="100"/>
              <w:right w:type="dxa" w:w="140"/>
            </w:tcMar>
          </w:tcPr>
          <w:p>
            <w:r>
              <w:rPr>
                <w:rFonts w:ascii="Calibri" w:cs="Calibri" w:eastAsia="Calibri" w:hAnsi="Calibri"/>
                <w:b/>
                <w:bCs/>
                <w:color w:val="FFFFFF"/>
                <w:sz w:val="22"/>
                <w:szCs w:val="22"/>
              </w:rPr>
              <w:t xml:space="preserve">Cible</w:t>
            </w:r>
          </w:p>
        </w:tc>
      </w:tr>
      <w:tr>
        <w:tc>
          <w:tcPr>
            <w:tcW w:type="dxa" w:w="6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color w:val="333333"/>
                <w:sz w:val="22"/>
                <w:szCs w:val="22"/>
              </w:rPr>
              <w:t xml:space="preserve">Taux d’adoption par les étudiants (3 mois après le lancement)</w:t>
            </w:r>
          </w:p>
        </w:tc>
        <w:tc>
          <w:tcPr>
            <w:tcW w:type="dxa" w:w="2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color w:val="333333"/>
                <w:sz w:val="22"/>
                <w:szCs w:val="22"/>
              </w:rPr>
              <w:t xml:space="preserve">≥ 80 %</w:t>
            </w:r>
          </w:p>
        </w:tc>
      </w:tr>
      <w:tr>
        <w:tc>
          <w:tcPr>
            <w:tcW w:type="dxa" w:w="650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Calibri" w:cs="Calibri" w:eastAsia="Calibri" w:hAnsi="Calibri"/>
                <w:color w:val="333333"/>
                <w:sz w:val="22"/>
                <w:szCs w:val="22"/>
              </w:rPr>
              <w:t xml:space="preserve">Réduction des échanges administratifs via WhatsApp / Facebook</w:t>
            </w:r>
          </w:p>
        </w:tc>
        <w:tc>
          <w:tcPr>
            <w:tcW w:type="dxa" w:w="286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Calibri" w:cs="Calibri" w:eastAsia="Calibri" w:hAnsi="Calibri"/>
                <w:color w:val="333333"/>
                <w:sz w:val="22"/>
                <w:szCs w:val="22"/>
              </w:rPr>
              <w:t xml:space="preserve">≥ 60 %</w:t>
            </w:r>
          </w:p>
        </w:tc>
      </w:tr>
      <w:tr>
        <w:tc>
          <w:tcPr>
            <w:tcW w:type="dxa" w:w="6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color w:val="333333"/>
                <w:sz w:val="22"/>
                <w:szCs w:val="22"/>
              </w:rPr>
              <w:t xml:space="preserve">Délai moyen de réponse de l’administration via la messagerie</w:t>
            </w:r>
          </w:p>
        </w:tc>
        <w:tc>
          <w:tcPr>
            <w:tcW w:type="dxa" w:w="2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color w:val="333333"/>
                <w:sz w:val="22"/>
                <w:szCs w:val="22"/>
              </w:rPr>
              <w:t xml:space="preserve">&lt; 24 h</w:t>
            </w:r>
          </w:p>
        </w:tc>
      </w:tr>
      <w:tr>
        <w:tc>
          <w:tcPr>
            <w:tcW w:type="dxa" w:w="650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Calibri" w:cs="Calibri" w:eastAsia="Calibri" w:hAnsi="Calibri"/>
                <w:color w:val="333333"/>
                <w:sz w:val="22"/>
                <w:szCs w:val="22"/>
              </w:rPr>
              <w:t xml:space="preserve">Nombre d’offres publiées par les Alumni / mois</w:t>
            </w:r>
          </w:p>
        </w:tc>
        <w:tc>
          <w:tcPr>
            <w:tcW w:type="dxa" w:w="286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Calibri" w:cs="Calibri" w:eastAsia="Calibri" w:hAnsi="Calibri"/>
                <w:color w:val="333333"/>
                <w:sz w:val="22"/>
                <w:szCs w:val="22"/>
              </w:rPr>
              <w:t xml:space="preserve">≥ 20</w:t>
            </w:r>
          </w:p>
        </w:tc>
      </w:tr>
      <w:tr>
        <w:tc>
          <w:tcPr>
            <w:tcW w:type="dxa" w:w="6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color w:val="333333"/>
                <w:sz w:val="22"/>
                <w:szCs w:val="22"/>
              </w:rPr>
              <w:t xml:space="preserve">Taux de candidatures issues du matching (score &gt; 70 %)</w:t>
            </w:r>
          </w:p>
        </w:tc>
        <w:tc>
          <w:tcPr>
            <w:tcW w:type="dxa" w:w="2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color w:val="333333"/>
                <w:sz w:val="22"/>
                <w:szCs w:val="22"/>
              </w:rPr>
              <w:t xml:space="preserve">≥ 50 %</w:t>
            </w:r>
          </w:p>
        </w:tc>
      </w:tr>
      <w:tr>
        <w:tc>
          <w:tcPr>
            <w:tcW w:type="dxa" w:w="650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Calibri" w:cs="Calibri" w:eastAsia="Calibri" w:hAnsi="Calibri"/>
                <w:color w:val="333333"/>
                <w:sz w:val="22"/>
                <w:szCs w:val="22"/>
              </w:rPr>
              <w:t xml:space="preserve">Disponibilité de la plateforme</w:t>
            </w:r>
          </w:p>
        </w:tc>
        <w:tc>
          <w:tcPr>
            <w:tcW w:type="dxa" w:w="2860"/>
            <w:tcBorders>
              <w:top w:val="single" w:color="CCCCCC" w:sz="4"/>
              <w:left w:val="single" w:color="CCCCCC" w:sz="4"/>
              <w:bottom w:val="single" w:color="CCCCCC" w:sz="4"/>
              <w:right w:val="single" w:color="CCCCCC" w:sz="4"/>
            </w:tcBorders>
            <w:shd w:fill="F4F6FB" w:val="clear"/>
            <w:tcMar>
              <w:top w:type="dxa" w:w="100"/>
              <w:left w:type="dxa" w:w="140"/>
              <w:bottom w:type="dxa" w:w="100"/>
              <w:right w:type="dxa" w:w="140"/>
            </w:tcMar>
          </w:tcPr>
          <w:p>
            <w:r>
              <w:rPr>
                <w:rFonts w:ascii="Calibri" w:cs="Calibri" w:eastAsia="Calibri" w:hAnsi="Calibri"/>
                <w:color w:val="333333"/>
                <w:sz w:val="22"/>
                <w:szCs w:val="22"/>
              </w:rPr>
              <w:t xml:space="preserve">≥ 99 %</w:t>
            </w:r>
          </w:p>
        </w:tc>
      </w:tr>
    </w:tbl>
    <w:p>
      <w:pPr>
        <w:pStyle w:val="Heading1"/>
        <w:pBdr>
          <w:bottom w:val="single" w:color="F96167" w:sz="12" w:space="4"/>
        </w:pBdr>
        <w:spacing w:after="180" w:before="360"/>
      </w:pPr>
      <w:r>
        <w:rPr>
          <w:rFonts w:ascii="Georgia" w:cs="Georgia" w:eastAsia="Georgia" w:hAnsi="Georgia"/>
          <w:b/>
          <w:bCs/>
          <w:color w:val="1E2761"/>
          <w:sz w:val="32"/>
          <w:szCs w:val="32"/>
        </w:rPr>
        <w:t xml:space="preserve">8. Conclusion</w:t>
      </w:r>
    </w:p>
    <w:p>
      <w:pPr>
        <w:spacing w:after="120"/>
      </w:pPr>
      <w:r>
        <w:rPr>
          <w:rFonts w:ascii="Calibri" w:cs="Calibri" w:eastAsia="Calibri" w:hAnsi="Calibri"/>
          <w:b/>
          <w:bCs/>
          <w:color w:val="1E2761"/>
          <w:sz w:val="22"/>
          <w:szCs w:val="22"/>
        </w:rPr>
        <w:t xml:space="preserve">ENICAR Connect </w:t>
      </w:r>
      <w:r>
        <w:rPr>
          <w:rFonts w:ascii="Calibri" w:cs="Calibri" w:eastAsia="Calibri" w:hAnsi="Calibri"/>
          <w:sz w:val="22"/>
          <w:szCs w:val="22"/>
        </w:rPr>
        <w:t xml:space="preserve">répond à un besoin concret et bien identifié de la communauté de l’école : </w:t>
      </w:r>
      <w:r>
        <w:rPr>
          <w:rFonts w:ascii="Calibri" w:cs="Calibri" w:eastAsia="Calibri" w:hAnsi="Calibri"/>
          <w:b/>
          <w:bCs/>
          <w:color w:val="1E2761"/>
          <w:sz w:val="22"/>
          <w:szCs w:val="22"/>
        </w:rPr>
        <w:t xml:space="preserve">communiquer mieux, partager plus, et préparer l’avenir professionnel des étudiants.</w:t>
      </w:r>
    </w:p>
    <w:p>
      <w:pPr>
        <w:spacing w:after="120"/>
      </w:pPr>
      <w:r>
        <w:rPr>
          <w:rFonts w:ascii="Calibri" w:cs="Calibri" w:eastAsia="Calibri" w:hAnsi="Calibri"/>
          <w:sz w:val="22"/>
          <w:szCs w:val="22"/>
        </w:rPr>
        <w:t xml:space="preserve">En recentrant le périmètre sur la communication hiérarchique et le portail professionnel, et en y ajoutant un algorithme de matching intelligent, le projet se distingue par sa pertinence métier autant que par sa qualité technique. Les modules écartés (QR Code, notes, absences, réservation de salles) pourront faire l’objet d’évolutions futures dès que le socle actuel aura prouvé sa valeur d’usage.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A6378"/>
        <w:sz w:val="18"/>
        <w:szCs w:val="18"/>
      </w:rPr>
      <w:t xml:space="preserve">ENICAR — 2025/2026</w:t>
    </w:r>
    <w:r>
      <w:rPr>
        <w:rFonts w:ascii="Calibri" w:cs="Calibri" w:eastAsia="Calibri" w:hAnsi="Calibri"/>
        <w:color w:val="5A6378"/>
        <w:sz w:val="18"/>
        <w:szCs w:val="18"/>
      </w:rPr>
      <w:t xml:space="preserve">	Page </w:t>
    </w:r>
    <w:r>
      <w:rPr>
        <w:rFonts w:ascii="Calibri" w:cs="Calibri" w:eastAsia="Calibri" w:hAnsi="Calibri"/>
        <w:b/>
        <w:bCs/>
        <w:color w:val="5A6378"/>
        <w:sz w:val="18"/>
        <w:szCs w:val="18"/>
      </w:rPr>
      <w:fldChar w:fldCharType="begin"/>
      <w:instrText xml:space="preserve">PAGE</w:instrText>
      <w:fldChar w:fldCharType="separate"/>
      <w:fldChar w:fldCharType="end"/>
    </w:r>
    <w:r>
      <w:rPr>
        <w:rFonts w:ascii="Calibri" w:cs="Calibri" w:eastAsia="Calibri" w:hAnsi="Calibri"/>
        <w:color w:val="5A6378"/>
        <w:sz w:val="18"/>
        <w:szCs w:val="18"/>
      </w:rPr>
      <w:t xml:space="preserve"> / </w:t>
    </w:r>
    <w:r>
      <w:rPr>
        <w:rFonts w:ascii="Calibri" w:cs="Calibri" w:eastAsia="Calibri" w:hAnsi="Calibri"/>
        <w:color w:val="5A637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2761" w:sz="6" w:space="4"/>
      </w:pBdr>
      <w:jc w:val="right"/>
    </w:pPr>
    <w:r>
      <w:rPr>
        <w:rFonts w:ascii="Calibri" w:cs="Calibri" w:eastAsia="Calibri" w:hAnsi="Calibri"/>
        <w:b/>
        <w:bCs/>
        <w:color w:val="1E2761"/>
        <w:sz w:val="18"/>
        <w:szCs w:val="18"/>
      </w:rPr>
      <w:t xml:space="preserve">ENICAR Connect — Cahier des charges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ENICAR Connect</dc:title>
  <dc:creator>ENICAR Connect</dc:creator>
  <cp:lastModifiedBy>Un-named</cp:lastModifiedBy>
  <cp:revision>1</cp:revision>
  <dcterms:created xsi:type="dcterms:W3CDTF">2026-05-02T02:26:09.002Z</dcterms:created>
  <dcterms:modified xsi:type="dcterms:W3CDTF">2026-05-02T02:26:09.002Z</dcterms:modified>
</cp:coreProperties>
</file>

<file path=docProps/custom.xml><?xml version="1.0" encoding="utf-8"?>
<Properties xmlns="http://schemas.openxmlformats.org/officeDocument/2006/custom-properties" xmlns:vt="http://schemas.openxmlformats.org/officeDocument/2006/docPropsVTypes"/>
</file>