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1F3B57"/>
        </w:rPr>
        <w:t>Northwind Analytics — Politique de sécurité informatique</w:t>
      </w:r>
    </w:p>
    <w:p>
      <w:pPr>
        <w:jc w:val="left"/>
      </w:pPr>
      <w:r>
        <w:t>Version 2.4 — en vigueur au 1er janvier 2026. Document interne, diffusion restreinte.</w:t>
      </w:r>
    </w:p>
    <w:p>
      <w:pPr>
        <w:pStyle w:val="Heading1"/>
      </w:pPr>
      <w:r>
        <w:rPr>
          <w:rFonts w:ascii="Arial" w:hAnsi="Arial"/>
          <w:color w:val="1F3B57"/>
        </w:rPr>
        <w:t>1. Mots de passe</w:t>
      </w:r>
    </w:p>
    <w:p>
      <w:pPr>
        <w:pStyle w:val="ListBullet"/>
      </w:pPr>
      <w:r>
        <w:t>Longueur minimale : 14 caractères, incluant majuscules, minuscules, chiffres et caractères spéciaux.</w:t>
      </w:r>
    </w:p>
    <w:p>
      <w:pPr>
        <w:pStyle w:val="ListBullet"/>
      </w:pPr>
      <w:r>
        <w:t>Renouvellement obligatoire tous les 180 jours pour les comptes standards, tous les 90 jours pour les comptes à privilèges (administrateurs).</w:t>
      </w:r>
    </w:p>
    <w:p>
      <w:pPr>
        <w:pStyle w:val="ListBullet"/>
      </w:pPr>
      <w:r>
        <w:t>Les 5 derniers mots de passe ne peuvent pas être réutilisés.</w:t>
      </w:r>
    </w:p>
    <w:p>
      <w:pPr>
        <w:pStyle w:val="ListBullet"/>
      </w:pPr>
      <w:r>
        <w:t>Le gestionnaire de mots de passe d'entreprise (Vaultwarden) est obligatoire pour tout compte professionnel partagé.</w:t>
      </w:r>
    </w:p>
    <w:p>
      <w:pPr>
        <w:pStyle w:val="ListBullet"/>
      </w:pPr>
      <w:r>
        <w:t>Le partage d'un mot de passe par courriel ou messagerie instantanée est strictement interdit.</w:t>
      </w:r>
    </w:p>
    <w:p>
      <w:pPr>
        <w:pStyle w:val="Heading1"/>
      </w:pPr>
      <w:r>
        <w:rPr>
          <w:rFonts w:ascii="Arial" w:hAnsi="Arial"/>
          <w:color w:val="1F3B57"/>
        </w:rPr>
        <w:t>2. Double authentification (2FA)</w:t>
      </w:r>
    </w:p>
    <w:p>
      <w:r>
        <w:t>La double authentification est obligatoire pour tous les salariés, sans exception, sur les services suivants :</w:t>
      </w:r>
    </w:p>
    <w:p>
      <w:pPr>
        <w:pStyle w:val="ListBullet"/>
      </w:pPr>
      <w:r>
        <w:t>Messagerie et suite bureautique</w:t>
      </w:r>
    </w:p>
    <w:p>
      <w:pPr>
        <w:pStyle w:val="ListBullet"/>
      </w:pPr>
      <w:r>
        <w:t>VPN d'entreprise</w:t>
      </w:r>
    </w:p>
    <w:p>
      <w:pPr>
        <w:pStyle w:val="ListBullet"/>
      </w:pPr>
      <w:r>
        <w:t>Outils financiers et portail RH</w:t>
      </w:r>
    </w:p>
    <w:p>
      <w:pPr>
        <w:pStyle w:val="ListBullet"/>
      </w:pPr>
      <w:r>
        <w:t>Consoles d'administration et dépôts de code</w:t>
      </w:r>
    </w:p>
    <w:p>
      <w:r>
        <w:t>La méthode recommandée est l'application d'authentification (TOTP). La réception de codes par SMS n'est tolérée qu'à titre transitoire et sera désactivée au 30 juin 2026. La perte d'un facteur d'authentification doit être signalée au service informatique dans les 24 heures.</w:t>
      </w:r>
    </w:p>
    <w:p>
      <w:pPr>
        <w:pStyle w:val="Heading1"/>
      </w:pPr>
      <w:r>
        <w:rPr>
          <w:rFonts w:ascii="Arial" w:hAnsi="Arial"/>
          <w:color w:val="1F3B57"/>
        </w:rPr>
        <w:t>3. Accès à distance et télétravail</w:t>
      </w:r>
    </w:p>
    <w:p>
      <w:pPr>
        <w:pStyle w:val="ListBullet"/>
      </w:pPr>
      <w:r>
        <w:t>Toute connexion aux ressources internes depuis l'extérieur des locaux doit impérativement passer par le VPN d'entreprise, y compris lors des jours de télétravail prévus par la politique RH.</w:t>
      </w:r>
    </w:p>
    <w:p>
      <w:pPr>
        <w:pStyle w:val="ListBullet"/>
      </w:pPr>
      <w:r>
        <w:t>L'usage des réseaux Wi-Fi publics est autorisé uniquement avec le VPN actif.</w:t>
      </w:r>
    </w:p>
    <w:p>
      <w:pPr>
        <w:pStyle w:val="ListBullet"/>
      </w:pPr>
      <w:r>
        <w:t>Le poste de travail doit se verrouiller automatiquement après 10 minutes d'inactivité.</w:t>
      </w:r>
    </w:p>
    <w:p>
      <w:pPr>
        <w:pStyle w:val="ListBullet"/>
      </w:pPr>
      <w:r>
        <w:t>Le chiffrement du disque dur est activé par défaut sur tous les postes ; sa désactivation est interdite.</w:t>
      </w:r>
    </w:p>
    <w:p>
      <w:pPr>
        <w:pStyle w:val="Heading1"/>
      </w:pPr>
      <w:r>
        <w:rPr>
          <w:rFonts w:ascii="Arial" w:hAnsi="Arial"/>
          <w:color w:val="1F3B57"/>
        </w:rPr>
        <w:t>4. Que faire en cas d'incident de sécurité</w:t>
      </w:r>
    </w:p>
    <w:p>
      <w:r>
        <w:t>Constitue un incident : la perte ou le vol d'un équipement, un courriel d'hameçonnage ouvert, un accès non autorisé suspecté, une fuite de données, un rançongiciel.</w:t>
      </w:r>
    </w:p>
    <w:p>
      <w:pPr>
        <w:pStyle w:val="ListNumber"/>
      </w:pPr>
      <w:r>
        <w:t>Ne pas éteindre le poste et ne rien supprimer : les traces sont nécessaires à l'analyse.</w:t>
      </w:r>
    </w:p>
    <w:p>
      <w:pPr>
        <w:pStyle w:val="ListNumber"/>
      </w:pPr>
      <w:r>
        <w:t>Déconnecter le poste du réseau (câble débranché, Wi-Fi coupé).</w:t>
      </w:r>
    </w:p>
    <w:p>
      <w:pPr>
        <w:pStyle w:val="ListNumber"/>
      </w:pPr>
      <w:r>
        <w:t>Signaler l'incident sans délai, et au plus tard dans l'heure, à la ligne d'astreinte sécurité (le numéro figure dans la FAQ support).</w:t>
      </w:r>
    </w:p>
    <w:p>
      <w:pPr>
        <w:pStyle w:val="ListNumber"/>
      </w:pPr>
      <w:r>
        <w:t>Rédiger un court compte rendu factuel : date, heure, actions effectuées, personnes concernées.</w:t>
      </w:r>
    </w:p>
    <w:p>
      <w:pPr>
        <w:pStyle w:val="ListNumber"/>
      </w:pPr>
      <w:r>
        <w:t>Attendre les instructions de Marc Lefevre, Responsable de la sécurité des systèmes d'information (RSSI), avant toute remise en service.</w:t>
      </w:r>
    </w:p>
    <w:p>
      <w:r>
        <w:t>Le RSSI qualifie l'incident sous 4 heures ouvrées. En cas de violation de données personnelles, la notification à la CNIL est effectuée sous 72 heures.</w:t>
      </w:r>
    </w:p>
    <w:p>
      <w:pPr>
        <w:pStyle w:val="Heading1"/>
      </w:pPr>
      <w:r>
        <w:rPr>
          <w:rFonts w:ascii="Arial" w:hAnsi="Arial"/>
          <w:color w:val="1F3B57"/>
        </w:rPr>
        <w:t>5. Classification et conservation des données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Niveau</w:t>
            </w:r>
          </w:p>
        </w:tc>
        <w:tc>
          <w:tcPr>
            <w:tcW w:type="dxa" w:w="3249"/>
          </w:tcPr>
          <w:p>
            <w:r>
              <w:rPr>
                <w:b/>
              </w:rPr>
              <w:t>Exemples</w:t>
            </w:r>
          </w:p>
        </w:tc>
        <w:tc>
          <w:tcPr>
            <w:tcW w:type="dxa" w:w="3249"/>
          </w:tcPr>
          <w:p>
            <w:r>
              <w:rPr>
                <w:b/>
              </w:rPr>
              <w:t>Règle de partage</w:t>
            </w:r>
          </w:p>
        </w:tc>
      </w:tr>
      <w:tr>
        <w:tc>
          <w:tcPr>
            <w:tcW w:type="dxa" w:w="3249"/>
          </w:tcPr>
          <w:p>
            <w:r>
              <w:t>Public</w:t>
            </w:r>
          </w:p>
        </w:tc>
        <w:tc>
          <w:tcPr>
            <w:tcW w:type="dxa" w:w="3249"/>
          </w:tcPr>
          <w:p>
            <w:r>
              <w:t>Site web, communiqués</w:t>
            </w:r>
          </w:p>
        </w:tc>
        <w:tc>
          <w:tcPr>
            <w:tcW w:type="dxa" w:w="3249"/>
          </w:tcPr>
          <w:p>
            <w:r>
              <w:t>Diffusion libre</w:t>
            </w:r>
          </w:p>
        </w:tc>
      </w:tr>
      <w:tr>
        <w:tc>
          <w:tcPr>
            <w:tcW w:type="dxa" w:w="3249"/>
          </w:tcPr>
          <w:p>
            <w:r>
              <w:t>Interne</w:t>
            </w:r>
          </w:p>
        </w:tc>
        <w:tc>
          <w:tcPr>
            <w:tcW w:type="dxa" w:w="3249"/>
          </w:tcPr>
          <w:p>
            <w:r>
              <w:t>Procédures, comptes rendus</w:t>
            </w:r>
          </w:p>
        </w:tc>
        <w:tc>
          <w:tcPr>
            <w:tcW w:type="dxa" w:w="3249"/>
          </w:tcPr>
          <w:p>
            <w:r>
              <w:t>Salariés uniquement</w:t>
            </w:r>
          </w:p>
        </w:tc>
      </w:tr>
      <w:tr>
        <w:tc>
          <w:tcPr>
            <w:tcW w:type="dxa" w:w="3249"/>
          </w:tcPr>
          <w:p>
            <w:r>
              <w:t>Confidentiel</w:t>
            </w:r>
          </w:p>
        </w:tc>
        <w:tc>
          <w:tcPr>
            <w:tcW w:type="dxa" w:w="3249"/>
          </w:tcPr>
          <w:p>
            <w:r>
              <w:t>Données clients, contrats</w:t>
            </w:r>
          </w:p>
        </w:tc>
        <w:tc>
          <w:tcPr>
            <w:tcW w:type="dxa" w:w="3249"/>
          </w:tcPr>
          <w:p>
            <w:r>
              <w:t>Sur autorisation du RSSI</w:t>
            </w:r>
          </w:p>
        </w:tc>
      </w:tr>
      <w:tr>
        <w:tc>
          <w:tcPr>
            <w:tcW w:type="dxa" w:w="3249"/>
          </w:tcPr>
          <w:p>
            <w:r>
              <w:t>Secret</w:t>
            </w:r>
          </w:p>
        </w:tc>
        <w:tc>
          <w:tcPr>
            <w:tcW w:type="dxa" w:w="3249"/>
          </w:tcPr>
          <w:p>
            <w:r>
              <w:t>Identifiants, données de paie</w:t>
            </w:r>
          </w:p>
        </w:tc>
        <w:tc>
          <w:tcPr>
            <w:tcW w:type="dxa" w:w="3249"/>
          </w:tcPr>
          <w:p>
            <w:r>
              <w:t>Chiffrement obligatoire</w:t>
            </w:r>
          </w:p>
        </w:tc>
      </w:tr>
    </w:tbl>
    <w:p/>
    <w:p>
      <w:r>
        <w:t>Les journaux de connexion sont conservés 12 mois. Les sauvegardes sont quotidiennes, avec une rétention de 30 jours.</w:t>
      </w:r>
    </w:p>
    <w:p>
      <w:pPr>
        <w:pStyle w:val="Heading1"/>
      </w:pPr>
      <w:r>
        <w:rPr>
          <w:rFonts w:ascii="Arial" w:hAnsi="Arial"/>
          <w:color w:val="1F3B57"/>
        </w:rPr>
        <w:t>6. Contacts sécurité</w:t>
      </w:r>
    </w:p>
    <w:p>
      <w:pPr>
        <w:pStyle w:val="ListBullet"/>
      </w:pPr>
      <w:r>
        <w:t>Marc Lefevre — Responsable de la sécurité des systèmes d'information (RSSI) — marc.lefevre@northwind-analytics.fr</w:t>
      </w:r>
    </w:p>
    <w:p>
      <w:pPr>
        <w:pStyle w:val="ListBullet"/>
      </w:pPr>
      <w:r>
        <w:t>Service informatique — support.it@northwind-analytics.fr</w:t>
      </w:r>
    </w:p>
    <w:p>
      <w:pPr>
        <w:pStyle w:val="ListBullet"/>
      </w:pPr>
      <w:r>
        <w:t>Signalement d'incident : voir la FAQ support pour la ligne d'astreinte joignable 24h/24.</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