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z w:val="28"/>
          <w:szCs w:val="28"/>
        </w:rPr>
        <w:t xml:space="preserve">MILITARY TECHNICAL COLLEGE (MTC)</w:t>
      </w:r>
    </w:p>
    <w:p>
      <w:pPr>
        <w:spacing w:after="60"/>
        <w:jc w:val="center"/>
      </w:pPr>
      <w:r>
        <w:rPr>
          <w:rFonts w:ascii="Arial" w:cs="Arial" w:eastAsia="Arial" w:hAnsi="Arial"/>
          <w:color w:val="404040"/>
          <w:sz w:val="21"/>
          <w:szCs w:val="21"/>
        </w:rPr>
        <w:t xml:space="preserve">Digital Pioneers Initiative — Digilians Programme  |  Academic Year 2025–2026</w:t>
      </w:r>
    </w:p>
    <w:p>
      <w:pPr>
        <w:spacing w:after="160"/>
      </w:pPr>
      <w:r>
        <w:t xml:space="preserve"/>
      </w:r>
    </w:p>
    <w:p>
      <w:pPr>
        <w:pBdr>
          <w:bottom w:val="single" w:color="1F4E79" w:sz="6" w:space="1"/>
        </w:pBdr>
        <w:spacing w:after="80" w:before="80"/>
      </w:pPr>
      <w:r>
        <w:t xml:space="preserve"/>
      </w:r>
    </w:p>
    <w:p>
      <w:pPr>
        <w:spacing w:after="160"/>
      </w:pPr>
      <w:r>
        <w:t xml:space="preserve"/>
      </w:r>
    </w:p>
    <w:p>
      <w:pPr>
        <w:spacing w:after="100"/>
        <w:jc w:val="center"/>
      </w:pPr>
      <w:r>
        <w:rPr>
          <w:rFonts w:ascii="Arial" w:cs="Arial" w:eastAsia="Arial" w:hAnsi="Arial"/>
          <w:b/>
          <w:bCs/>
          <w:color w:val="1F4E79"/>
          <w:sz w:val="64"/>
          <w:szCs w:val="64"/>
        </w:rPr>
        <w:t xml:space="preserve">ALMAS LAW</w:t>
      </w:r>
    </w:p>
    <w:p>
      <w:pPr>
        <w:spacing w:after="80"/>
        <w:jc w:val="center"/>
      </w:pPr>
      <w:r>
        <w:rPr>
          <w:rFonts w:ascii="Arial" w:cs="Arial" w:eastAsia="Arial" w:hAnsi="Arial"/>
          <w:b/>
          <w:bCs/>
          <w:color w:val="404040"/>
          <w:sz w:val="27"/>
          <w:szCs w:val="27"/>
        </w:rPr>
        <w:t xml:space="preserve">Agentic Legal Intelligence Platform and Law Firm Operating System</w:t>
      </w:r>
    </w:p>
    <w:p>
      <w:pPr>
        <w:spacing w:after="60"/>
        <w:jc w:val="center"/>
      </w:pPr>
      <w:r>
        <w:rPr>
          <w:rFonts w:ascii="Arial" w:cs="Arial" w:eastAsia="Arial" w:hAnsi="Arial"/>
          <w:b/>
          <w:bCs/>
          <w:color w:val="404040"/>
          <w:sz w:val="23"/>
          <w:szCs w:val="23"/>
        </w:rPr>
        <w:t xml:space="preserve">for Egyptian and Arab World Legal Practice</w:t>
      </w:r>
    </w:p>
    <w:p>
      <w:pPr>
        <w:spacing w:after="60"/>
        <w:jc w:val="center"/>
      </w:pPr>
      <w:r>
        <w:rPr>
          <w:rFonts w:ascii="Arial" w:cs="Arial" w:eastAsia="Arial" w:hAnsi="Arial"/>
          <w:color w:val="B8860B"/>
          <w:sz w:val="22"/>
          <w:szCs w:val="22"/>
        </w:rPr>
        <w:t xml:space="preserve">Schema-Driven · Zero-Trust · AI-Optimized · Evidence-Grounded · Audit-Complete</w:t>
      </w:r>
    </w:p>
    <w:p>
      <w:pPr>
        <w:spacing w:after="160"/>
      </w:pPr>
      <w:r>
        <w:t xml:space="preserve"/>
      </w:r>
    </w:p>
    <w:p>
      <w:pPr>
        <w:pBdr>
          <w:bottom w:val="single" w:color="1F4E79" w:sz="6" w:space="1"/>
        </w:pBdr>
        <w:spacing w:after="80" w:before="80"/>
      </w:pPr>
      <w:r>
        <w:t xml:space="preserve"/>
      </w:r>
    </w:p>
    <w:p>
      <w:pPr>
        <w:spacing w:after="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Field</w:t>
            </w:r>
          </w:p>
        </w:tc>
        <w:tc>
          <w:tcPr>
            <w:tcW w:type="dxa" w:w="70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Detail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Project Title</w:t>
            </w:r>
          </w:p>
        </w:tc>
        <w:tc>
          <w:tcPr>
            <w:tcW w:type="dxa" w:w="7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ALMAS LAW — Arabic Legal Multi-Agent Intelligence System</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Subtitle</w:t>
            </w:r>
          </w:p>
        </w:tc>
        <w:tc>
          <w:tcPr>
            <w:tcW w:type="dxa" w:w="70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Agentic Legal Intelligence Platform and Law Firm Operating System for Egyptian and Arab World Jurisprudence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Institution</w:t>
            </w:r>
          </w:p>
        </w:tc>
        <w:tc>
          <w:tcPr>
            <w:tcW w:type="dxa" w:w="7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Military Technical College (MTC), Cairo, Egypt</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Programme</w:t>
            </w:r>
          </w:p>
        </w:tc>
        <w:tc>
          <w:tcPr>
            <w:tcW w:type="dxa" w:w="70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Diploma in Applied Artificial Intelligence and Data Analytics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Team Member</w:t>
            </w:r>
          </w:p>
        </w:tc>
        <w:tc>
          <w:tcPr>
            <w:tcW w:type="dxa" w:w="7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Mohamed Khaled Mahmoud Ibrahim</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Supervisor</w:t>
            </w:r>
          </w:p>
        </w:tc>
        <w:tc>
          <w:tcPr>
            <w:tcW w:type="dxa" w:w="70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Dr. Tarek ElGhonemy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Document Type</w:t>
            </w:r>
          </w:p>
        </w:tc>
        <w:tc>
          <w:tcPr>
            <w:tcW w:type="dxa" w:w="7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Doctoral-Level Academic Research Paper — Enterprise Architecture Specification</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Version</w:t>
            </w:r>
          </w:p>
        </w:tc>
        <w:tc>
          <w:tcPr>
            <w:tcW w:type="dxa" w:w="70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2.2 — Master Document  (Security-Hardened | AI-Optimized | Audit-Complete)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Date</w:t>
            </w:r>
          </w:p>
        </w:tc>
        <w:tc>
          <w:tcPr>
            <w:tcW w:type="dxa" w:w="7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June 2026</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Classification</w:t>
            </w:r>
          </w:p>
        </w:tc>
        <w:tc>
          <w:tcPr>
            <w:tcW w:type="dxa" w:w="70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Academic Use — Confidential</w:t>
            </w:r>
          </w:p>
        </w:tc>
      </w:tr>
    </w:tbl>
    <w:p>
      <w:pPr>
        <w:spacing w:after="160"/>
      </w:pPr>
      <w:r>
        <w:t xml:space="preserve"/>
      </w:r>
    </w:p>
    <w:p>
      <w:r>
        <w:br w:type="page"/>
      </w:r>
    </w:p>
    <w:p>
      <w:pPr>
        <w:pStyle w:val="Heading1"/>
        <w:spacing w:after="180" w:before="440"/>
      </w:pPr>
      <w:r>
        <w:rPr>
          <w:rFonts w:ascii="Arial" w:cs="Arial" w:eastAsia="Arial" w:hAnsi="Arial"/>
          <w:b/>
          <w:bCs/>
          <w:color w:val="1F4E79"/>
          <w:sz w:val="34"/>
          <w:szCs w:val="34"/>
        </w:rPr>
        <w:t xml:space="preserve">Abstract</w:t>
      </w:r>
    </w:p>
    <w:p>
      <w:pPr>
        <w:spacing w:after="140" w:line="330"/>
        <w:jc w:val="both"/>
      </w:pPr>
      <w:r>
        <w:rPr>
          <w:rFonts w:ascii="Arial" w:cs="Arial" w:eastAsia="Arial" w:hAnsi="Arial"/>
          <w:b w:val="false"/>
          <w:bCs w:val="false"/>
          <w:sz w:val="22"/>
          <w:szCs w:val="22"/>
        </w:rPr>
        <w:t xml:space="preserve">ALMAS LAW (Arabic Legal Multi-Agent Intelligence System) Version 2.2 is the master consolidated specification for a production-grade agentic legal intelligence platform developed at the Military Technical College under the Digilians Programme. It integrates all prior architectural layers — the sixteen-engine multi-agent foundation of v1.0, the eight structural enhancements of v2.0 including the Retrieval Intelligence Engine, Arabic Legal Language Engine, Adaptive Model Routing, AI Output Optimization Agent, and complete sixteen-stage Pipeline Plan, plus the security-and-governance pillars of v2.1 including the Privacy Gateway, Zero Trust Agent Architecture, Sovereign Data Architecture, ISO 42001/NIST AI RMF governance, and Enterprise Observability — together with seven new v2.2-specific contributions.</w:t>
      </w:r>
    </w:p>
    <w:p>
      <w:pPr>
        <w:spacing w:after="140" w:line="330"/>
        <w:jc w:val="both"/>
      </w:pPr>
      <w:r>
        <w:rPr>
          <w:rFonts w:ascii="Arial" w:cs="Arial" w:eastAsia="Arial" w:hAnsi="Arial"/>
          <w:b w:val="false"/>
          <w:bCs w:val="false"/>
          <w:sz w:val="22"/>
          <w:szCs w:val="22"/>
        </w:rPr>
        <w:t xml:space="preserve">The v2.2 contributions are: (1) Portcullis, an Intel TDX Trusted Execution Environment hardening layer for the Privacy Gateway that eliminates data-exposure risk during cloud-hosted LLM inference; (2) Whistledown, a session-consistent pseudonymization engine with Laplace-mechanism local differential privacy, closing the cross-turn identity-leakage gap in prior specifications; (3) a formally reconciled Sovereign Data classification framework mapping the existing seven-zone architecture to the MemPrivacy PL1–PL4 taxonomy; (4) an extended Zero Trust Agent Architecture incorporating Token Isolation Pattern, Agent Persona Framework, Behavioral Identity fingerprinting, ICON latent-space injection detection, and ParseData tool-result sanitization; (5) a NIST SP 800-63B Rev. 4 compliant Authentication Assurance framework with dual legal-professional/staff registration pipeline; (6) the Legal Audit Engine promoted to Engine 17, providing a legal-responsibility chain of custody independent of infrastructure audit logging; (7) CQRS (Command Query Responsibility Segregation) explicitly named and specified in the 2M-DAU scalability architecture. Version 2.2 also corrects the heading-numbering defect inherited from prior versions and provides the first formal mapping between the fifteen-agent operational roster and the six LangGraph nodes plus eleven engine invocations that constitute the technical implementation.</w:t>
      </w:r>
    </w:p>
    <w:p>
      <w:pPr>
        <w:spacing w:after="140" w:line="330"/>
        <w:jc w:val="both"/>
      </w:pPr>
      <w:r>
        <w:rPr>
          <w:rFonts w:ascii="Arial" w:cs="Arial" w:eastAsia="Arial" w:hAnsi="Arial"/>
          <w:b w:val="false"/>
          <w:bCs w:val="false"/>
          <w:sz w:val="22"/>
          <w:szCs w:val="22"/>
        </w:rPr>
        <w:t xml:space="preserve">KEYWORDS: Arabic Legal AI; Multi-Agent Systems; Schema-Driven Architecture; Zero Trust; Trusted Execution Environment; Differential Privacy; CQRS; Legal Audit Engine; NIST SP 800-63B; RAG; Legal Knowledge Graph; Human-in-the-Loop; Egyptian Law; Institutional Learning.</w:t>
      </w:r>
    </w:p>
    <w:p>
      <w:r>
        <w:br w:type="page"/>
      </w:r>
    </w:p>
    <w:p>
      <w:pPr>
        <w:pStyle w:val="Heading1"/>
        <w:spacing w:after="180" w:before="440"/>
      </w:pPr>
      <w:r>
        <w:rPr>
          <w:rFonts w:ascii="Arial" w:cs="Arial" w:eastAsia="Arial" w:hAnsi="Arial"/>
          <w:b/>
          <w:bCs/>
          <w:color w:val="1F4E79"/>
          <w:sz w:val="34"/>
          <w:szCs w:val="34"/>
        </w:rPr>
        <w:t xml:space="preserve">1.  Introduction</w:t>
      </w:r>
    </w:p>
    <w:p>
      <w:pPr>
        <w:spacing w:after="140" w:line="330"/>
        <w:jc w:val="both"/>
      </w:pPr>
      <w:r>
        <w:rPr>
          <w:rFonts w:ascii="Arial" w:cs="Arial" w:eastAsia="Arial" w:hAnsi="Arial"/>
          <w:b w:val="false"/>
          <w:bCs w:val="false"/>
          <w:sz w:val="22"/>
          <w:szCs w:val="22"/>
        </w:rPr>
        <w:t xml:space="preserve">The practice of law demands precision, authority, and accountability. In Egypt, legal professionals navigate a corpus spanning the Civil Code (Law 131/1948), the Penal Code (Law 58/1937), the Code of Civil and Commercial Procedure (Law 13/1968), the Criminal Procedure Law (Law 150/1950), the Commercial Law (Law 17/1999), the Labor Law (Law 12/2003), and thousands of Court of Cassation rulings. This corpus is dynamic, multilingual across colloquial and formal Arabic registers, and subject to amendment — conditions that make general-purpose AI tools structurally unsuited for direct legal advisory use.</w:t>
      </w:r>
    </w:p>
    <w:p>
      <w:pPr>
        <w:spacing w:after="140" w:line="330"/>
        <w:jc w:val="both"/>
      </w:pPr>
      <w:r>
        <w:rPr>
          <w:rFonts w:ascii="Arial" w:cs="Arial" w:eastAsia="Arial" w:hAnsi="Arial"/>
          <w:b w:val="false"/>
          <w:bCs w:val="false"/>
          <w:sz w:val="22"/>
          <w:szCs w:val="22"/>
        </w:rPr>
        <w:t xml:space="preserve">ALMAS LAW is architected not as a chatbot or search engine but as a production-grade Agentic Legal Intelligence Platform: every output is evidence-grounded, every agent interaction is schema-governed, every data access is Zero-Trust-controlled, every AI-generated text is linguistically optimized for authentic legal Arabic, and every legal conclusion is auditable to the specific licensed attorney who approved it. The system simultaneously functions as a Law Firm Operating System integrating legal research, document drafting, litigation strategy, contract intelligence, case management, and firm analytics.</w:t>
      </w:r>
    </w:p>
    <w:p>
      <w:pPr>
        <w:spacing w:after="140" w:line="330"/>
        <w:jc w:val="both"/>
      </w:pPr>
      <w:r>
        <w:rPr>
          <w:rFonts w:ascii="Arial" w:cs="Arial" w:eastAsia="Arial" w:hAnsi="Arial"/>
          <w:b w:val="false"/>
          <w:bCs w:val="false"/>
          <w:sz w:val="22"/>
          <w:szCs w:val="22"/>
        </w:rPr>
        <w:t xml:space="preserve">Version 2.2 consolidates four development cycles into a single authoritative specification, resolves accumulated architectural inconsistencies and numbering defects, and adds four security and governance capability tiers advancing the platform to enterprise-hardened status. Westlaw CoCounsel is added to the competitive benchmark. The formal agent-to-engine mapping resolves the roster ambiguity present since v1.0.</w:t>
      </w:r>
    </w:p>
    <w:p>
      <w:pPr>
        <w:pStyle w:val="Heading2"/>
        <w:spacing w:after="120" w:before="300"/>
      </w:pPr>
      <w:r>
        <w:rPr>
          <w:rFonts w:ascii="Arial" w:cs="Arial" w:eastAsia="Arial" w:hAnsi="Arial"/>
          <w:b/>
          <w:bCs/>
          <w:color w:val="1F4E79"/>
          <w:sz w:val="27"/>
          <w:szCs w:val="27"/>
        </w:rPr>
        <w:t xml:space="preserve">1.1  Research Objectives</w:t>
      </w:r>
    </w:p>
    <w:p>
      <w:pPr>
        <w:pStyle w:val="ListParagraph"/>
        <w:numPr>
          <w:ilvl w:val="0"/>
          <w:numId w:val="2"/>
        </w:numPr>
        <w:spacing w:after="80"/>
      </w:pPr>
      <w:r>
        <w:rPr>
          <w:rFonts w:ascii="Arial" w:cs="Arial" w:eastAsia="Arial" w:hAnsi="Arial"/>
          <w:sz w:val="22"/>
          <w:szCs w:val="22"/>
        </w:rPr>
        <w:t xml:space="preserve">Design and validate a schema-governed, evidence-grounded, zero-trust multi-agent legal intelligence architecture for the Egyptian legal domain.</w:t>
      </w:r>
    </w:p>
    <w:p>
      <w:pPr>
        <w:pStyle w:val="ListParagraph"/>
        <w:numPr>
          <w:ilvl w:val="0"/>
          <w:numId w:val="2"/>
        </w:numPr>
        <w:spacing w:after="80"/>
      </w:pPr>
      <w:r>
        <w:rPr>
          <w:rFonts w:ascii="Arial" w:cs="Arial" w:eastAsia="Arial" w:hAnsi="Arial"/>
          <w:sz w:val="22"/>
          <w:szCs w:val="22"/>
        </w:rPr>
        <w:t xml:space="preserve">Introduce Portcullis TEE hardening and Whistledown differential-privacy pseudonymization as novel Arabic LegalTech contributions.</w:t>
      </w:r>
    </w:p>
    <w:p>
      <w:pPr>
        <w:pStyle w:val="ListParagraph"/>
        <w:numPr>
          <w:ilvl w:val="0"/>
          <w:numId w:val="2"/>
        </w:numPr>
        <w:spacing w:after="80"/>
      </w:pPr>
      <w:r>
        <w:rPr>
          <w:rFonts w:ascii="Arial" w:cs="Arial" w:eastAsia="Arial" w:hAnsi="Arial"/>
          <w:sz w:val="22"/>
          <w:szCs w:val="22"/>
        </w:rPr>
        <w:t xml:space="preserve">Provide the first formal mapping between the fifteen-agent operational roster and the LangGraph technical implementation.</w:t>
      </w:r>
    </w:p>
    <w:p>
      <w:pPr>
        <w:pStyle w:val="ListParagraph"/>
        <w:numPr>
          <w:ilvl w:val="0"/>
          <w:numId w:val="2"/>
        </w:numPr>
        <w:spacing w:after="80"/>
      </w:pPr>
      <w:r>
        <w:rPr>
          <w:rFonts w:ascii="Arial" w:cs="Arial" w:eastAsia="Arial" w:hAnsi="Arial"/>
          <w:sz w:val="22"/>
          <w:szCs w:val="22"/>
        </w:rPr>
        <w:t xml:space="preserve">Specify a Legal Audit Engine delivering legal-responsibility chain-of-custody as a distinct system component.</w:t>
      </w:r>
    </w:p>
    <w:p>
      <w:pPr>
        <w:pStyle w:val="ListParagraph"/>
        <w:numPr>
          <w:ilvl w:val="0"/>
          <w:numId w:val="2"/>
        </w:numPr>
        <w:spacing w:after="80"/>
      </w:pPr>
      <w:r>
        <w:rPr>
          <w:rFonts w:ascii="Arial" w:cs="Arial" w:eastAsia="Arial" w:hAnsi="Arial"/>
          <w:sz w:val="22"/>
          <w:szCs w:val="22"/>
        </w:rPr>
        <w:t xml:space="preserve">Establish a comprehensive benchmark against Harvey AI, vLex Vincent AI, Spellbook AI, Westlaw CoCounsel, ChatLaw, and LawFlow.</w:t>
      </w:r>
    </w:p>
    <w:p>
      <w:r>
        <w:br w:type="page"/>
      </w:r>
    </w:p>
    <w:p>
      <w:pPr>
        <w:pStyle w:val="Heading1"/>
        <w:spacing w:after="180" w:before="440"/>
      </w:pPr>
      <w:r>
        <w:rPr>
          <w:rFonts w:ascii="Arial" w:cs="Arial" w:eastAsia="Arial" w:hAnsi="Arial"/>
          <w:b/>
          <w:bCs/>
          <w:color w:val="1F4E79"/>
          <w:sz w:val="34"/>
          <w:szCs w:val="34"/>
        </w:rPr>
        <w:t xml:space="preserve">2.  Problem Statement</w:t>
      </w:r>
    </w:p>
    <w:p>
      <w:pPr>
        <w:pStyle w:val="Heading2"/>
        <w:spacing w:after="120" w:before="300"/>
      </w:pPr>
      <w:r>
        <w:rPr>
          <w:rFonts w:ascii="Arial" w:cs="Arial" w:eastAsia="Arial" w:hAnsi="Arial"/>
          <w:b/>
          <w:bCs/>
          <w:color w:val="1F4E79"/>
          <w:sz w:val="27"/>
          <w:szCs w:val="27"/>
        </w:rPr>
        <w:t xml:space="preserve">2.1  Epistemic Unreliability and Hallucination Propagation</w:t>
      </w:r>
    </w:p>
    <w:p>
      <w:pPr>
        <w:spacing w:after="140" w:line="330"/>
        <w:jc w:val="both"/>
      </w:pPr>
      <w:r>
        <w:rPr>
          <w:rFonts w:ascii="Arial" w:cs="Arial" w:eastAsia="Arial" w:hAnsi="Arial"/>
          <w:b w:val="false"/>
          <w:bCs w:val="false"/>
          <w:sz w:val="22"/>
          <w:szCs w:val="22"/>
        </w:rPr>
        <w:t xml:space="preserve">General-purpose LLMs generate factually erroneous legal content — citing non-existent article numbers, misattributing rulings, fabricating procedural rules — at rates of 10–35% on legal question-answering tasks (Ji et al., 2023). In a multi-agent pipeline this is compounded by hallucination propagation: an erroneous claim in one agent's unstructured output is consumed by the next agent, which amplifies and embeds it across the full document. The Schema-Driven Agent Contract Layer is the architectural countermeasure: typed Pydantic v2 schemas at every agent boundary reject structurally invalid outputs before downstream consumption.</w:t>
      </w:r>
    </w:p>
    <w:p>
      <w:pPr>
        <w:pStyle w:val="Heading2"/>
        <w:spacing w:after="120" w:before="300"/>
      </w:pPr>
      <w:r>
        <w:rPr>
          <w:rFonts w:ascii="Arial" w:cs="Arial" w:eastAsia="Arial" w:hAnsi="Arial"/>
          <w:b/>
          <w:bCs/>
          <w:color w:val="1F4E79"/>
          <w:sz w:val="27"/>
          <w:szCs w:val="27"/>
        </w:rPr>
        <w:t xml:space="preserve">2.2  AI-Identifiable Register in Arabic Legal Output</w:t>
      </w:r>
    </w:p>
    <w:p>
      <w:pPr>
        <w:spacing w:after="140" w:line="330"/>
        <w:jc w:val="both"/>
      </w:pPr>
      <w:r>
        <w:rPr>
          <w:rFonts w:ascii="Arial" w:cs="Arial" w:eastAsia="Arial" w:hAnsi="Arial"/>
          <w:b w:val="false"/>
          <w:bCs w:val="false"/>
          <w:sz w:val="22"/>
          <w:szCs w:val="22"/>
        </w:rPr>
        <w:t xml:space="preserve">AI-generated Arabic text exhibits detectable signatures — repetitive hedging constructions (يُلاحَظ أن، تجدر الإشارة), unnatural sentence-length uniformity, English-influenced syntactic patterns — that legal readers identify as non-practitioner-authored. This reduces professional credibility and may invite procedural challenge. No prior Arabic LegalTech system addresses this architecturally; the AI Optimization Agent of ALMAS LAW does.</w:t>
      </w:r>
    </w:p>
    <w:p>
      <w:pPr>
        <w:pStyle w:val="Heading2"/>
        <w:spacing w:after="120" w:before="300"/>
      </w:pPr>
      <w:r>
        <w:rPr>
          <w:rFonts w:ascii="Arial" w:cs="Arial" w:eastAsia="Arial" w:hAnsi="Arial"/>
          <w:b/>
          <w:bCs/>
          <w:color w:val="1F4E79"/>
          <w:sz w:val="27"/>
          <w:szCs w:val="27"/>
        </w:rPr>
        <w:t xml:space="preserve">2.3  Client Data Privacy in LLM Inference</w:t>
      </w:r>
    </w:p>
    <w:p>
      <w:pPr>
        <w:spacing w:after="140" w:line="330"/>
        <w:jc w:val="both"/>
      </w:pPr>
      <w:r>
        <w:rPr>
          <w:rFonts w:ascii="Arial" w:cs="Arial" w:eastAsia="Arial" w:hAnsi="Arial"/>
          <w:b w:val="false"/>
          <w:bCs w:val="false"/>
          <w:sz w:val="22"/>
          <w:szCs w:val="22"/>
        </w:rPr>
        <w:t xml:space="preserve">Cloud-hosted LLM inference over case facts exposes client-identifiable information to third-party cloud operators. Carlini et al. (2021) demonstrated that LLMs memorize and can reveal training and inference data, establishing the technical risk. Portcullis TEE hardening and Whistledown pseudonymization address this at hardware and protocol levels respectively — a defense-in-depth approach absent from all reviewed competitor systems.</w:t>
      </w:r>
    </w:p>
    <w:p>
      <w:pPr>
        <w:pStyle w:val="Heading2"/>
        <w:spacing w:after="120" w:before="300"/>
      </w:pPr>
      <w:r>
        <w:rPr>
          <w:rFonts w:ascii="Arial" w:cs="Arial" w:eastAsia="Arial" w:hAnsi="Arial"/>
          <w:b/>
          <w:bCs/>
          <w:color w:val="1F4E79"/>
          <w:sz w:val="27"/>
          <w:szCs w:val="27"/>
        </w:rPr>
        <w:t xml:space="preserve">2.4  Arabic Dialectal and Register Complexity</w:t>
      </w:r>
    </w:p>
    <w:p>
      <w:pPr>
        <w:spacing w:after="140" w:line="330"/>
        <w:jc w:val="both"/>
      </w:pPr>
      <w:r>
        <w:rPr>
          <w:rFonts w:ascii="Arial" w:cs="Arial" w:eastAsia="Arial" w:hAnsi="Arial"/>
          <w:b w:val="false"/>
          <w:bCs w:val="false"/>
          <w:sz w:val="22"/>
          <w:szCs w:val="22"/>
        </w:rPr>
        <w:t xml:space="preserve">Legal intake begins in Egyptian colloquial Arabic (Masri); statutory texts are formal MSA; judicial rulings use a specialized legal sub-register (Al-Lughah Al-Qadaiyya). A reliable NLP pipeline must bridge all three registers, handling morphological complexity that standard multilingual models cannot manage.</w:t>
      </w:r>
    </w:p>
    <w:p>
      <w:pPr>
        <w:pStyle w:val="Heading2"/>
        <w:spacing w:after="120" w:before="300"/>
      </w:pPr>
      <w:r>
        <w:rPr>
          <w:rFonts w:ascii="Arial" w:cs="Arial" w:eastAsia="Arial" w:hAnsi="Arial"/>
          <w:b/>
          <w:bCs/>
          <w:color w:val="1F4E79"/>
          <w:sz w:val="27"/>
          <w:szCs w:val="27"/>
        </w:rPr>
        <w:t xml:space="preserve">2.5  Legal Accountability and Audit Compliance</w:t>
      </w:r>
    </w:p>
    <w:p>
      <w:pPr>
        <w:spacing w:after="140" w:line="330"/>
        <w:jc w:val="both"/>
      </w:pPr>
      <w:r>
        <w:rPr>
          <w:rFonts w:ascii="Arial" w:cs="Arial" w:eastAsia="Arial" w:hAnsi="Arial"/>
          <w:b w:val="false"/>
          <w:bCs w:val="false"/>
          <w:sz w:val="22"/>
          <w:szCs w:val="22"/>
        </w:rPr>
        <w:t xml:space="preserve">Egyptian professional ethics rules and Law No. 151/2020 on Personal Data Protection require that automated AI outputs with legal effect be subject to documented human review. The generic infrastructure audit log records system events; it does not provide the legal-responsibility chain — who approved what advice, on what evidentiary basis — required for professional accountability. The Legal Audit Engine (Engine 17) fills this gap.</w:t>
      </w:r>
    </w:p>
    <w:p>
      <w:r>
        <w:br w:type="page"/>
      </w:r>
    </w:p>
    <w:p>
      <w:pPr>
        <w:pStyle w:val="Heading1"/>
        <w:spacing w:after="180" w:before="440"/>
      </w:pPr>
      <w:r>
        <w:rPr>
          <w:rFonts w:ascii="Arial" w:cs="Arial" w:eastAsia="Arial" w:hAnsi="Arial"/>
          <w:b/>
          <w:bCs/>
          <w:color w:val="1F4E79"/>
          <w:sz w:val="34"/>
          <w:szCs w:val="34"/>
        </w:rPr>
        <w:t xml:space="preserve">3.  Literature Review</w:t>
      </w:r>
    </w:p>
    <w:p>
      <w:pPr>
        <w:pStyle w:val="Heading2"/>
        <w:spacing w:after="120" w:before="300"/>
      </w:pPr>
      <w:r>
        <w:rPr>
          <w:rFonts w:ascii="Arial" w:cs="Arial" w:eastAsia="Arial" w:hAnsi="Arial"/>
          <w:b/>
          <w:bCs/>
          <w:color w:val="1F4E79"/>
          <w:sz w:val="27"/>
          <w:szCs w:val="27"/>
        </w:rPr>
        <w:t xml:space="preserve">3.1  Multi-Agent Systems and Schema-Driven Communication</w:t>
      </w:r>
    </w:p>
    <w:p>
      <w:pPr>
        <w:spacing w:after="140" w:line="330"/>
        <w:jc w:val="both"/>
      </w:pPr>
      <w:r>
        <w:rPr>
          <w:rFonts w:ascii="Arial" w:cs="Arial" w:eastAsia="Arial" w:hAnsi="Arial"/>
          <w:b w:val="false"/>
          <w:bCs w:val="false"/>
          <w:sz w:val="22"/>
          <w:szCs w:val="22"/>
        </w:rPr>
        <w:t xml:space="preserve">Cui et al. (2026) validated role-specialization through ChatLaw's Role-Aligned Mixture-of-Experts architecture, demonstrating that coordinated agent collaboration yields superior legal reasoning over monolithic LLMs. Newman (2021) established that typed API contracts are the primary reliability mechanism in distributed systems — a principle directly applicable to multi-agent LLM pipelines. Yao et al. (2022) provided the ReAct framework for reasoning-action interleaving; Wei et al. (2022) established Chain-of-Thought prompting; Chase (2024) introduced LangGraph as the stateful graph execution layer.</w:t>
      </w:r>
    </w:p>
    <w:p>
      <w:pPr>
        <w:pStyle w:val="Heading2"/>
        <w:spacing w:after="120" w:before="300"/>
      </w:pPr>
      <w:r>
        <w:rPr>
          <w:rFonts w:ascii="Arial" w:cs="Arial" w:eastAsia="Arial" w:hAnsi="Arial"/>
          <w:b/>
          <w:bCs/>
          <w:color w:val="1F4E79"/>
          <w:sz w:val="27"/>
          <w:szCs w:val="27"/>
        </w:rPr>
        <w:t xml:space="preserve">3.2  Retrieval-Augmented Generation and Hybrid Retrieval</w:t>
      </w:r>
    </w:p>
    <w:p>
      <w:pPr>
        <w:spacing w:after="140" w:line="330"/>
        <w:jc w:val="both"/>
      </w:pPr>
      <w:r>
        <w:rPr>
          <w:rFonts w:ascii="Arial" w:cs="Arial" w:eastAsia="Arial" w:hAnsi="Arial"/>
          <w:b w:val="false"/>
          <w:bCs w:val="false"/>
          <w:sz w:val="22"/>
          <w:szCs w:val="22"/>
        </w:rPr>
        <w:t xml:space="preserve">Lewis et al. (2020) established RAG as the grounding paradigm for knowledge-intensive generation. Robertson &amp; Zaragoza (2009) demonstrated BM25's persistent advantages over dense methods on domain-specific terminology. Karpukhin et al. (2020) validated dense passage retrieval; Nogueira &amp; Cho (2019) established cross-encoder re-ranking as the standard post-retrieval quality layer. Hijazi et al. (2024) showed RAG-augmented Arabic legal systems significantly outperform fine-tuned models on ArabLegalEval.</w:t>
      </w:r>
    </w:p>
    <w:p>
      <w:pPr>
        <w:pStyle w:val="Heading2"/>
        <w:spacing w:after="120" w:before="300"/>
      </w:pPr>
      <w:r>
        <w:rPr>
          <w:rFonts w:ascii="Arial" w:cs="Arial" w:eastAsia="Arial" w:hAnsi="Arial"/>
          <w:b/>
          <w:bCs/>
          <w:color w:val="1F4E79"/>
          <w:sz w:val="27"/>
          <w:szCs w:val="27"/>
        </w:rPr>
        <w:t xml:space="preserve">3.3  Arabic NLP and Legal Domain Adaptation</w:t>
      </w:r>
    </w:p>
    <w:p>
      <w:pPr>
        <w:spacing w:after="140" w:line="330"/>
        <w:jc w:val="both"/>
      </w:pPr>
      <w:r>
        <w:rPr>
          <w:rFonts w:ascii="Arial" w:cs="Arial" w:eastAsia="Arial" w:hAnsi="Arial"/>
          <w:b w:val="false"/>
          <w:bCs w:val="false"/>
          <w:sz w:val="22"/>
          <w:szCs w:val="22"/>
        </w:rPr>
        <w:t xml:space="preserve">Obeid et al. (2020) demonstrated CAMeL Tools' necessity for dialect ID and morphological disambiguation. Antoun et al. (2020) introduced AraBERT for MSA encoding; Inoue et al. (2021) introduced AraELECTRA for efficient Arabic classification; AL-Qurishi et al. (2022) introduced AraLegal-BERT for legal NER; Abdul-Mageed et al. (2021) introduced MARBERT for Egyptian dialect; Al-harbi &amp; Alghieth (2025) demonstrated 93% accuracy on Arabic crime classification using fine-tuned MARBERT.</w:t>
      </w:r>
    </w:p>
    <w:p>
      <w:pPr>
        <w:pStyle w:val="Heading2"/>
        <w:spacing w:after="120" w:before="300"/>
      </w:pPr>
      <w:r>
        <w:rPr>
          <w:rFonts w:ascii="Arial" w:cs="Arial" w:eastAsia="Arial" w:hAnsi="Arial"/>
          <w:b/>
          <w:bCs/>
          <w:color w:val="1F4E79"/>
          <w:sz w:val="27"/>
          <w:szCs w:val="27"/>
        </w:rPr>
        <w:t xml:space="preserve">3.4  AI-Generated Text Detection and Arabic Register Optimization</w:t>
      </w:r>
    </w:p>
    <w:p>
      <w:pPr>
        <w:spacing w:after="140" w:line="330"/>
        <w:jc w:val="both"/>
      </w:pPr>
      <w:r>
        <w:rPr>
          <w:rFonts w:ascii="Arial" w:cs="Arial" w:eastAsia="Arial" w:hAnsi="Arial"/>
          <w:b w:val="false"/>
          <w:bCs w:val="false"/>
          <w:sz w:val="22"/>
          <w:szCs w:val="22"/>
        </w:rPr>
        <w:t xml:space="preserve">Gehrmann et al. (2019) established GLTR as a statistical AI-text detector. Mitchell et al. (2023) formalized DetectGPT using probability curvature. Sadasivan et al. (2023) proved that rewriting with a distinct high-capability model substantially reduces detectability — the key finding motivating use of JAIS-30B (Sengupta et al., 2023) and Aya-23 (Aryabumi et al., 2024) as AI Optimization Agent rewriting models.</w:t>
      </w:r>
    </w:p>
    <w:p>
      <w:pPr>
        <w:pStyle w:val="Heading2"/>
        <w:spacing w:after="120" w:before="300"/>
      </w:pPr>
      <w:r>
        <w:rPr>
          <w:rFonts w:ascii="Arial" w:cs="Arial" w:eastAsia="Arial" w:hAnsi="Arial"/>
          <w:b/>
          <w:bCs/>
          <w:color w:val="1F4E79"/>
          <w:sz w:val="27"/>
          <w:szCs w:val="27"/>
        </w:rPr>
        <w:t xml:space="preserve">3.5  Privacy-Preserving AI: Portcullis and Whistledown</w:t>
      </w:r>
    </w:p>
    <w:p>
      <w:pPr>
        <w:spacing w:after="140" w:line="330"/>
        <w:jc w:val="both"/>
      </w:pPr>
      <w:r>
        <w:rPr>
          <w:rFonts w:ascii="Arial" w:cs="Arial" w:eastAsia="Arial" w:hAnsi="Arial"/>
          <w:b w:val="false"/>
          <w:bCs w:val="false"/>
          <w:sz w:val="22"/>
          <w:szCs w:val="22"/>
        </w:rPr>
        <w:t xml:space="preserve">Carlini et al. (2021) established empirical evidence of LLM training-data memorization. The 2026 Portcullis contribution extends TEE-secured computation to LLM inference via Intel TDX, providing hardware-enforced memory isolation during cloud inference. The 2026 Whistledown contribution addresses cross-turn pseudonym consistency gaps in prior schemes, using a deterministic session-scoped PRNG with Laplace-mechanism local differential privacy on numeric values.</w:t>
      </w:r>
    </w:p>
    <w:p>
      <w:pPr>
        <w:pStyle w:val="Heading2"/>
        <w:spacing w:after="120" w:before="300"/>
      </w:pPr>
      <w:r>
        <w:rPr>
          <w:rFonts w:ascii="Arial" w:cs="Arial" w:eastAsia="Arial" w:hAnsi="Arial"/>
          <w:b/>
          <w:bCs/>
          <w:color w:val="1F4E79"/>
          <w:sz w:val="27"/>
          <w:szCs w:val="27"/>
        </w:rPr>
        <w:t xml:space="preserve">3.6  Zero Trust Architecture and Agent Identity Extensions</w:t>
      </w:r>
    </w:p>
    <w:p>
      <w:pPr>
        <w:spacing w:after="140" w:line="330"/>
        <w:jc w:val="both"/>
      </w:pPr>
      <w:r>
        <w:rPr>
          <w:rFonts w:ascii="Arial" w:cs="Arial" w:eastAsia="Arial" w:hAnsi="Arial"/>
          <w:b w:val="false"/>
          <w:bCs w:val="false"/>
          <w:sz w:val="22"/>
          <w:szCs w:val="22"/>
        </w:rPr>
        <w:t xml:space="preserve">NIST SP 800-207 (Rose et al., 2020) defines Zero Trust as "never trust, always verify." Token Isolation, Agent Persona Framework, and Behavioral Identity fingerprinting extend NIST principles to autonomous AI agents that cannot provide human-context justification for data access. ICON (2025) provides latent-space injection detection for retrieved content; ParseData (2025) provides tool-result sanitization.</w:t>
      </w:r>
    </w:p>
    <w:p>
      <w:pPr>
        <w:pStyle w:val="Heading2"/>
        <w:spacing w:after="120" w:before="300"/>
      </w:pPr>
      <w:r>
        <w:rPr>
          <w:rFonts w:ascii="Arial" w:cs="Arial" w:eastAsia="Arial" w:hAnsi="Arial"/>
          <w:b/>
          <w:bCs/>
          <w:color w:val="1F4E79"/>
          <w:sz w:val="27"/>
          <w:szCs w:val="27"/>
        </w:rPr>
        <w:t xml:space="preserve">3.7  Data Classification and MemPrivacy Taxonomy</w:t>
      </w:r>
    </w:p>
    <w:p>
      <w:pPr>
        <w:spacing w:after="140" w:line="330"/>
        <w:jc w:val="both"/>
      </w:pPr>
      <w:r>
        <w:rPr>
          <w:rFonts w:ascii="Arial" w:cs="Arial" w:eastAsia="Arial" w:hAnsi="Arial"/>
          <w:b w:val="false"/>
          <w:bCs w:val="false"/>
          <w:sz w:val="22"/>
          <w:szCs w:val="22"/>
        </w:rPr>
        <w:t xml:space="preserve">MemPrivacy (2025) introduces PL1–PL4 privacy levels for LLM memory access: PL1 Open, PL2 Regulated, PL3 Sensitive, PL4 Privileged. This peer-reviewed taxonomy provides a citable, fine-grained alternative to binary public/private classifications and maps cleanly onto ALMAS LAW's seven Sovereign Data zones (crosswalk in Section 22).</w:t>
      </w:r>
    </w:p>
    <w:p>
      <w:pPr>
        <w:pStyle w:val="Heading2"/>
        <w:spacing w:after="120" w:before="300"/>
      </w:pPr>
      <w:r>
        <w:rPr>
          <w:rFonts w:ascii="Arial" w:cs="Arial" w:eastAsia="Arial" w:hAnsi="Arial"/>
          <w:b/>
          <w:bCs/>
          <w:color w:val="1F4E79"/>
          <w:sz w:val="27"/>
          <w:szCs w:val="27"/>
        </w:rPr>
        <w:t xml:space="preserve">3.8  Knowledge Graphs, HITL, and Institutional Learning</w:t>
      </w:r>
    </w:p>
    <w:p>
      <w:pPr>
        <w:spacing w:after="140" w:line="330"/>
        <w:jc w:val="both"/>
      </w:pPr>
      <w:r>
        <w:rPr>
          <w:rFonts w:ascii="Arial" w:cs="Arial" w:eastAsia="Arial" w:hAnsi="Arial"/>
          <w:b w:val="false"/>
          <w:bCs w:val="false"/>
          <w:sz w:val="22"/>
          <w:szCs w:val="22"/>
        </w:rPr>
        <w:t xml:space="preserve">Noy et al. (2019) and Lam et al. (2021) established Neo4j property graphs as superior to flat retrieval for relational legal reasoning. Monarch (2021) provides the HITL theoretical foundation: expert-correction cycles systematically improve model performance while preserving professional accountability.</w:t>
      </w:r>
    </w:p>
    <w:p>
      <w:pPr>
        <w:pStyle w:val="Heading2"/>
        <w:spacing w:after="120" w:before="300"/>
      </w:pPr>
      <w:r>
        <w:rPr>
          <w:rFonts w:ascii="Arial" w:cs="Arial" w:eastAsia="Arial" w:hAnsi="Arial"/>
          <w:b/>
          <w:bCs/>
          <w:color w:val="1F4E79"/>
          <w:sz w:val="27"/>
          <w:szCs w:val="27"/>
        </w:rPr>
        <w:t xml:space="preserve">3.9  Comparative Legal AI Systems</w:t>
      </w:r>
    </w:p>
    <w:tbl>
      <w:tblPr>
        <w:tblW w:type="dxa" w:w="1108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200"/>
        <w:gridCol w:w="1200"/>
        <w:gridCol w:w="1400"/>
        <w:gridCol w:w="1200"/>
        <w:gridCol w:w="1100"/>
        <w:gridCol w:w="1480"/>
      </w:tblGrid>
      <w:tr>
        <w:trPr>
          <w:tblHeader/>
        </w:trP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Dimension</w:t>
            </w:r>
          </w:p>
        </w:tc>
        <w:tc>
          <w:tcPr>
            <w:tcW w:type="dxa" w:w="1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Harvey AI</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vLex Vincent</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Spellbook</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W. CoCounsel</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ChatLaw</w:t>
            </w:r>
          </w:p>
        </w:tc>
        <w:tc>
          <w:tcPr>
            <w:tcW w:type="dxa" w:w="1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LawFlow</w:t>
            </w:r>
          </w:p>
        </w:tc>
        <w:tc>
          <w:tcPr>
            <w:tcW w:type="dxa" w:w="1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ALMAS v2.2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Architecture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GPT wrapper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RAG+search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GPT wrapper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RAG+WL DB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MoE agents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Workflow</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17-engine multi-agent</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Arabic Legal</w:t>
            </w:r>
          </w:p>
        </w:tc>
        <w:tc>
          <w:tcPr>
            <w:tcW w:type="dxa" w:w="1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Limited</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1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4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Native Egyptian corpus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Schema Contracts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Partial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Partial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Pydantic v2</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Privacy TEE</w:t>
            </w:r>
          </w:p>
        </w:tc>
        <w:tc>
          <w:tcPr>
            <w:tcW w:type="dxa" w:w="1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1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4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Portcullis (Intel TDX)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Differential Privacy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Whistledown local DP</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Zero Trust Agents</w:t>
            </w:r>
          </w:p>
        </w:tc>
        <w:tc>
          <w:tcPr>
            <w:tcW w:type="dxa" w:w="1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1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4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Token Isolation + ICON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 Text Optimize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JAIS-30B / Aya-23</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Legal Audit Engine</w:t>
            </w:r>
          </w:p>
        </w:tc>
        <w:tc>
          <w:tcPr>
            <w:tcW w:type="dxa" w:w="1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Partial</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Partial</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1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4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Engine 17 — full chain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Mandatory HITL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Optional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Optional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Optional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Optional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Optional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Architecturally enforced</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Local Deployment</w:t>
            </w:r>
          </w:p>
        </w:tc>
        <w:tc>
          <w:tcPr>
            <w:tcW w:type="dxa" w:w="1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Cloud only</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Cloud only</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Cloud only</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Cloud only</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Research</w:t>
            </w:r>
          </w:p>
        </w:tc>
        <w:tc>
          <w:tcPr>
            <w:tcW w:type="dxa" w:w="11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Cloud option</w:t>
            </w:r>
          </w:p>
        </w:tc>
        <w:tc>
          <w:tcPr>
            <w:tcW w:type="dxa" w:w="14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Full local-first</w:t>
            </w:r>
          </w:p>
        </w:tc>
      </w:tr>
    </w:tbl>
    <w:p>
      <w:pPr>
        <w:spacing w:after="160"/>
      </w:pPr>
      <w:r>
        <w:t xml:space="preserve"/>
      </w:r>
    </w:p>
    <w:p>
      <w:r>
        <w:br w:type="page"/>
      </w:r>
    </w:p>
    <w:p>
      <w:pPr>
        <w:pStyle w:val="Heading1"/>
        <w:spacing w:after="180" w:before="440"/>
      </w:pPr>
      <w:r>
        <w:rPr>
          <w:rFonts w:ascii="Arial" w:cs="Arial" w:eastAsia="Arial" w:hAnsi="Arial"/>
          <w:b/>
          <w:bCs/>
          <w:color w:val="1F4E79"/>
          <w:sz w:val="34"/>
          <w:szCs w:val="34"/>
        </w:rPr>
        <w:t xml:space="preserve">4.  Research Gap Analysis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900"/>
        <w:gridCol w:w="5380"/>
      </w:tblGrid>
      <w:tr>
        <w:trPr>
          <w:tblHeader/>
        </w:trP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Gap</w:t>
            </w:r>
          </w:p>
        </w:tc>
        <w:tc>
          <w:tcPr>
            <w:tcW w:type="dxa" w:w="3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Deficiency</w:t>
            </w:r>
          </w:p>
        </w:tc>
        <w:tc>
          <w:tcPr>
            <w:tcW w:type="dxa" w:w="53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v2.2 Response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G-01</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Arabic-native Legal AI with schema-governed agent contracts</w:t>
            </w:r>
          </w:p>
        </w:tc>
        <w:tc>
          <w:tcPr>
            <w:tcW w:type="dxa" w:w="5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Schema-Driven Architecture with Pydantic v2 Agent Contract Layer (§7)</w:t>
            </w:r>
          </w:p>
        </w:tc>
      </w:tr>
      <w:tr>
        <w:tc>
          <w:tcPr>
            <w:tcW w:type="dxa" w:w="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G-02</w:t>
            </w:r>
          </w:p>
        </w:tc>
        <w:tc>
          <w:tcPr>
            <w:tcW w:type="dxa" w:w="3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No Arabic Legal AI with hardware-level client data protection during LLM inference</w:t>
            </w:r>
          </w:p>
        </w:tc>
        <w:tc>
          <w:tcPr>
            <w:tcW w:type="dxa" w:w="53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Portcullis TEE (Intel TDX) hardening of Privacy Gateway (§20)</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G-03</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Arabic Legal AI with cross-turn pseudonym consistency and formal DP guarantees</w:t>
            </w:r>
          </w:p>
        </w:tc>
        <w:tc>
          <w:tcPr>
            <w:tcW w:type="dxa" w:w="5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Whistledown session-consistent pseudonymization with Laplace DP (§20)</w:t>
            </w:r>
          </w:p>
        </w:tc>
      </w:tr>
      <w:tr>
        <w:tc>
          <w:tcPr>
            <w:tcW w:type="dxa" w:w="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G-04</w:t>
            </w:r>
          </w:p>
        </w:tc>
        <w:tc>
          <w:tcPr>
            <w:tcW w:type="dxa" w:w="3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No Arabic Legal AI with AI-generated text linguistic optimization for authentic judicial register</w:t>
            </w:r>
          </w:p>
        </w:tc>
        <w:tc>
          <w:tcPr>
            <w:tcW w:type="dxa" w:w="53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AI Optimization Agent using JAIS-30B and Aya-23 (§14)</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G-05</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Arabic Legal AI with formal Zero Trust agent identity: Token Isolation, Persona, ICON, ParseData</w:t>
            </w:r>
          </w:p>
        </w:tc>
        <w:tc>
          <w:tcPr>
            <w:tcW w:type="dxa" w:w="5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Extended Zero Trust Agent Architecture (§21)</w:t>
            </w:r>
          </w:p>
        </w:tc>
      </w:tr>
      <w:tr>
        <w:tc>
          <w:tcPr>
            <w:tcW w:type="dxa" w:w="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G-06</w:t>
            </w:r>
          </w:p>
        </w:tc>
        <w:tc>
          <w:tcPr>
            <w:tcW w:type="dxa" w:w="3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No Arabic Legal AI with legal-responsibility audit trail separate from infrastructure logging</w:t>
            </w:r>
          </w:p>
        </w:tc>
        <w:tc>
          <w:tcPr>
            <w:tcW w:type="dxa" w:w="53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Legal Audit Engine as dedicated Engine 17 (§28)</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G-07</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published reconciliation of agent-roster/implementation ambiguity in multi-agent legal systems</w:t>
            </w:r>
          </w:p>
        </w:tc>
        <w:tc>
          <w:tcPr>
            <w:tcW w:type="dxa" w:w="5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Agent/Engine Classification and Mapping Table (§8)</w:t>
            </w:r>
          </w:p>
        </w:tc>
      </w:tr>
    </w:tbl>
    <w:p>
      <w:pPr>
        <w:spacing w:after="160"/>
      </w:pPr>
      <w:r>
        <w:t xml:space="preserve"/>
      </w:r>
    </w:p>
    <w:p>
      <w:r>
        <w:br w:type="page"/>
      </w:r>
    </w:p>
    <w:p>
      <w:pPr>
        <w:pStyle w:val="Heading1"/>
        <w:spacing w:after="180" w:before="440"/>
      </w:pPr>
      <w:r>
        <w:rPr>
          <w:rFonts w:ascii="Arial" w:cs="Arial" w:eastAsia="Arial" w:hAnsi="Arial"/>
          <w:b/>
          <w:bCs/>
          <w:color w:val="1F4E79"/>
          <w:sz w:val="34"/>
          <w:szCs w:val="34"/>
        </w:rPr>
        <w:t xml:space="preserve">5.  System Requirements</w:t>
      </w:r>
    </w:p>
    <w:p>
      <w:pPr>
        <w:pStyle w:val="Heading2"/>
        <w:spacing w:after="120" w:before="300"/>
      </w:pPr>
      <w:r>
        <w:rPr>
          <w:rFonts w:ascii="Arial" w:cs="Arial" w:eastAsia="Arial" w:hAnsi="Arial"/>
          <w:b/>
          <w:bCs/>
          <w:color w:val="1F4E79"/>
          <w:sz w:val="27"/>
          <w:szCs w:val="27"/>
        </w:rPr>
        <w:t xml:space="preserve">5.1  Functional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7400"/>
        <w:gridCol w:w="1680"/>
      </w:tblGrid>
      <w:tr>
        <w:trPr>
          <w:tblHeader/>
        </w:trP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ID</w:t>
            </w:r>
          </w:p>
        </w:tc>
        <w:tc>
          <w:tcPr>
            <w:tcW w:type="dxa" w:w="7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Requirement</w:t>
            </w:r>
          </w:p>
        </w:tc>
        <w:tc>
          <w:tcPr>
            <w:tcW w:type="dxa" w:w="1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Priority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FR-01</w:t>
            </w:r>
          </w:p>
        </w:tc>
        <w:tc>
          <w:tcPr>
            <w:tcW w:type="dxa" w:w="7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inter-agent communication must use Pydantic v2 validated JSON schemas at every agent boundary</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Critical</w:t>
            </w:r>
          </w:p>
        </w:tc>
      </w:tr>
      <w:tr>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FR-02</w:t>
            </w:r>
          </w:p>
        </w:tc>
        <w:tc>
          <w:tcPr>
            <w:tcW w:type="dxa" w:w="7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All client data must pass through the Privacy Gateway before any LLM context is constructed</w:t>
            </w:r>
          </w:p>
        </w:tc>
        <w:tc>
          <w:tcPr>
            <w:tcW w:type="dxa" w:w="1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Critical</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FR-03</w:t>
            </w:r>
          </w:p>
        </w:tc>
        <w:tc>
          <w:tcPr>
            <w:tcW w:type="dxa" w:w="7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legal output may be released to a client without Human-in-the-Loop attorney approval</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Critical</w:t>
            </w:r>
          </w:p>
        </w:tc>
      </w:tr>
      <w:tr>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FR-04</w:t>
            </w:r>
          </w:p>
        </w:tc>
        <w:tc>
          <w:tcPr>
            <w:tcW w:type="dxa" w:w="7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Every legal claim must be accompanied by an explicit citation verifiable against the Knowledge Hub</w:t>
            </w:r>
          </w:p>
        </w:tc>
        <w:tc>
          <w:tcPr>
            <w:tcW w:type="dxa" w:w="1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Critical</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FR-05</w:t>
            </w:r>
          </w:p>
        </w:tc>
        <w:tc>
          <w:tcPr>
            <w:tcW w:type="dxa" w:w="7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Arabic input must be normalized to formal MSA via ALLE before reaching the Supervisor Agent</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r>
      <w:tr>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FR-06</w:t>
            </w:r>
          </w:p>
        </w:tc>
        <w:tc>
          <w:tcPr>
            <w:tcW w:type="dxa" w:w="7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Retrieval must use hybrid BM25-semantic fusion with cross-encoder re-ranking</w:t>
            </w:r>
          </w:p>
        </w:tc>
        <w:tc>
          <w:tcPr>
            <w:tcW w:type="dxa" w:w="1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High</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FR-07</w:t>
            </w:r>
          </w:p>
        </w:tc>
        <w:tc>
          <w:tcPr>
            <w:tcW w:type="dxa" w:w="7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 Optimization Agent must process all content-generating agent outputs before the HITL stage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r>
      <w:tr>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FR-08</w:t>
            </w:r>
          </w:p>
        </w:tc>
        <w:tc>
          <w:tcPr>
            <w:tcW w:type="dxa" w:w="7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Each agent must operate under a Zero Trust Token defining its permitted data access scope</w:t>
            </w:r>
          </w:p>
        </w:tc>
        <w:tc>
          <w:tcPr>
            <w:tcW w:type="dxa" w:w="1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High</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FR-09</w:t>
            </w:r>
          </w:p>
        </w:tc>
        <w:tc>
          <w:tcPr>
            <w:tcW w:type="dxa" w:w="7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Legal responsibility chain must be tracked in the Legal Audit Engine (Engine 17)</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r>
      <w:tr>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FR-10</w:t>
            </w:r>
          </w:p>
        </w:tc>
        <w:tc>
          <w:tcPr>
            <w:tcW w:type="dxa" w:w="7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Client identifiers must be system-generated unique codes — national ID is prohibited as primary key</w:t>
            </w:r>
          </w:p>
        </w:tc>
        <w:tc>
          <w:tcPr>
            <w:tcW w:type="dxa" w:w="1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High</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FR-11</w:t>
            </w:r>
          </w:p>
        </w:tc>
        <w:tc>
          <w:tcPr>
            <w:tcW w:type="dxa" w:w="7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Validation failures must trigger automatic retry (max 3) before escalation to HITL</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w:t>
            </w:r>
          </w:p>
        </w:tc>
      </w:tr>
    </w:tbl>
    <w:p>
      <w:pPr>
        <w:spacing w:after="160"/>
      </w:pPr>
      <w:r>
        <w:t xml:space="preserve"/>
      </w:r>
    </w:p>
    <w:p>
      <w:pPr>
        <w:pStyle w:val="Heading2"/>
        <w:spacing w:after="120" w:before="300"/>
      </w:pPr>
      <w:r>
        <w:rPr>
          <w:rFonts w:ascii="Arial" w:cs="Arial" w:eastAsia="Arial" w:hAnsi="Arial"/>
          <w:b/>
          <w:bCs/>
          <w:color w:val="1F4E79"/>
          <w:sz w:val="27"/>
          <w:szCs w:val="27"/>
        </w:rPr>
        <w:t xml:space="preserve">5.2  Non-Functional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5000"/>
        <w:gridCol w:w="2380"/>
      </w:tblGrid>
      <w:tr>
        <w:trPr>
          <w:tblHeader/>
        </w:trP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ID</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Category</w:t>
            </w:r>
          </w:p>
        </w:tc>
        <w:tc>
          <w:tcPr>
            <w:tcW w:type="dxa" w:w="5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Requirement</w:t>
            </w:r>
          </w:p>
        </w:tc>
        <w:tc>
          <w:tcPr>
            <w:tcW w:type="dxa" w:w="23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Target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NFR-01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Accuracy</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Citation accuracy against Knowledge Hub</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95%</w:t>
            </w:r>
          </w:p>
        </w:tc>
      </w:tr>
      <w:tr>
        <w:tc>
          <w:tcPr>
            <w:tcW w:type="dxa" w:w="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NFR-02</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Latency</w:t>
            </w:r>
          </w:p>
        </w:tc>
        <w:tc>
          <w:tcPr>
            <w:tcW w:type="dxa" w:w="5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End-to-end pipeline P95 latency</w:t>
            </w:r>
          </w:p>
        </w:tc>
        <w:tc>
          <w:tcPr>
            <w:tcW w:type="dxa" w:w="23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 60 seconds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NFR-03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Privacy</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Client PII in any LLM prompt</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0 % (enforced by Privacy Gateway)</w:t>
            </w:r>
          </w:p>
        </w:tc>
      </w:tr>
      <w:tr>
        <w:tc>
          <w:tcPr>
            <w:tcW w:type="dxa" w:w="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NFR-04</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AI Quality</w:t>
            </w:r>
          </w:p>
        </w:tc>
        <w:tc>
          <w:tcPr>
            <w:tcW w:type="dxa" w:w="5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AI-detectability score on final outputs</w:t>
            </w:r>
          </w:p>
        </w:tc>
        <w:tc>
          <w:tcPr>
            <w:tcW w:type="dxa" w:w="23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 0.15 (AraELECTRA classifier)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NFR-05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Security</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Zero Trust policy coverage of all agent data access</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100 % of agents under scoped token</w:t>
            </w:r>
          </w:p>
        </w:tc>
      </w:tr>
      <w:tr>
        <w:tc>
          <w:tcPr>
            <w:tcW w:type="dxa" w:w="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NFR-06</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Availability</w:t>
            </w:r>
          </w:p>
        </w:tc>
        <w:tc>
          <w:tcPr>
            <w:tcW w:type="dxa" w:w="5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Law firm operations layer uptime</w:t>
            </w:r>
          </w:p>
        </w:tc>
        <w:tc>
          <w:tcPr>
            <w:tcW w:type="dxa" w:w="23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 99.5 %</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NFR-07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Audit</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Legal Audit Engine coverage of all HITL decisions</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100 %</w:t>
            </w:r>
          </w:p>
        </w:tc>
      </w:tr>
    </w:tbl>
    <w:p>
      <w:pPr>
        <w:spacing w:after="160"/>
      </w:pPr>
      <w:r>
        <w:t xml:space="preserve"/>
      </w:r>
    </w:p>
    <w:p>
      <w:r>
        <w:br w:type="page"/>
      </w:r>
    </w:p>
    <w:p>
      <w:pPr>
        <w:pStyle w:val="Heading1"/>
        <w:spacing w:after="180" w:before="440"/>
      </w:pPr>
      <w:r>
        <w:rPr>
          <w:rFonts w:ascii="Arial" w:cs="Arial" w:eastAsia="Arial" w:hAnsi="Arial"/>
          <w:b/>
          <w:bCs/>
          <w:color w:val="1F4E79"/>
          <w:sz w:val="34"/>
          <w:szCs w:val="34"/>
        </w:rPr>
        <w:t xml:space="preserve">6.  System Architecture Overview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6480"/>
      </w:tblGrid>
      <w:tr>
        <w:trPr>
          <w:tblHeader/>
        </w:trP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Tier</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Designation</w:t>
            </w:r>
          </w:p>
        </w:tc>
        <w:tc>
          <w:tcPr>
            <w:tcW w:type="dxa" w:w="6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Core Components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Language Normalization</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Arabic Legal Language Engine (ALLE): CAMeL Tools, AraBERT, AraELECTRA, MARBERT</w:t>
            </w:r>
          </w:p>
        </w:tc>
      </w:tr>
      <w:tr>
        <w:tc>
          <w:tcPr>
            <w:tcW w:type="dxa" w:w="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Knowledge Foundation</w:t>
            </w:r>
          </w:p>
        </w:tc>
        <w:tc>
          <w:tcPr>
            <w:tcW w:type="dxa" w:w="64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Legal Knowledge Hub (Qdrant), Neo4j Citation Graph, Redis State Layer, PostgreSQL (operational + episodic + institutional learning + legal audit)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Intelligence Processing</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Legal Reasoning Engine, AI Optimization Agent, Explainability Engine, Evidence Mapping Engine, Knowledge Validation Engine, Privacy Gateway + Portcullis + Whistledown</w:t>
            </w:r>
          </w:p>
        </w:tc>
      </w:tr>
      <w:tr>
        <w:tc>
          <w:tcPr>
            <w:tcW w:type="dxa" w:w="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Agent Orchestration</w:t>
            </w:r>
          </w:p>
        </w:tc>
        <w:tc>
          <w:tcPr>
            <w:tcW w:type="dxa" w:w="64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LangGraph: Supervisor, Research, Reasoning, Drafting, Review, Knowledge, Compliance Agents; Adaptive Model Routing; Retrieval Intelligence Engine; HITL Gateway; Legal Audit Engine (Engine 17)</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Application Interface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Law Firm ERP/CRM, Document Workspace, Research Workspace, Legal Playbook Engine, Legal Update Engine, Calendar System, Analytics Dashboard, Multi-Jurisdiction Layer</w:t>
            </w:r>
          </w:p>
        </w:tc>
      </w:tr>
    </w:tbl>
    <w:p>
      <w:pPr>
        <w:spacing w:after="80"/>
      </w:pPr>
      <w:r>
        <w:t xml:space="preserve"/>
      </w:r>
    </w:p>
    <w:p>
      <w:pPr>
        <w:pStyle w:val="Heading2"/>
        <w:spacing w:after="120" w:before="300"/>
      </w:pPr>
      <w:r>
        <w:rPr>
          <w:rFonts w:ascii="Arial" w:cs="Arial" w:eastAsia="Arial" w:hAnsi="Arial"/>
          <w:b/>
          <w:bCs/>
          <w:color w:val="1F4E79"/>
          <w:sz w:val="27"/>
          <w:szCs w:val="27"/>
        </w:rPr>
        <w:t xml:space="preserve">6.1  Design Principles</w:t>
      </w:r>
    </w:p>
    <w:p>
      <w:pPr>
        <w:pStyle w:val="ListParagraph"/>
        <w:numPr>
          <w:ilvl w:val="0"/>
          <w:numId w:val="2"/>
        </w:numPr>
        <w:spacing w:after="80"/>
      </w:pPr>
      <w:r>
        <w:rPr>
          <w:rFonts w:ascii="Arial" w:cs="Arial" w:eastAsia="Arial" w:hAnsi="Arial"/>
          <w:sz w:val="22"/>
          <w:szCs w:val="22"/>
        </w:rPr>
        <w:t xml:space="preserve">Schema First, Text Second — all agent-to-agent exchange uses typed Pydantic v2 contracts; free text is reserved for human-facing rendering.</w:t>
      </w:r>
    </w:p>
    <w:p>
      <w:pPr>
        <w:pStyle w:val="ListParagraph"/>
        <w:numPr>
          <w:ilvl w:val="0"/>
          <w:numId w:val="2"/>
        </w:numPr>
        <w:spacing w:after="80"/>
      </w:pPr>
      <w:r>
        <w:rPr>
          <w:rFonts w:ascii="Arial" w:cs="Arial" w:eastAsia="Arial" w:hAnsi="Arial"/>
          <w:sz w:val="22"/>
          <w:szCs w:val="22"/>
        </w:rPr>
        <w:t xml:space="preserve">Privacy Before Processing — all client data is anonymized/pseudonymized by the Privacy Gateway before any LLM interaction; Portcullis TEE protects cloud inference; Whistledown ensures cross-turn consistency.</w:t>
      </w:r>
    </w:p>
    <w:p>
      <w:pPr>
        <w:pStyle w:val="ListParagraph"/>
        <w:numPr>
          <w:ilvl w:val="0"/>
          <w:numId w:val="2"/>
        </w:numPr>
        <w:spacing w:after="80"/>
      </w:pPr>
      <w:r>
        <w:rPr>
          <w:rFonts w:ascii="Arial" w:cs="Arial" w:eastAsia="Arial" w:hAnsi="Arial"/>
          <w:sz w:val="22"/>
          <w:szCs w:val="22"/>
        </w:rPr>
        <w:t xml:space="preserve">Retrieval Before Generation — the RIE assembles a confidence-scored evidence package before any generative agent is invoked.</w:t>
      </w:r>
    </w:p>
    <w:p>
      <w:pPr>
        <w:pStyle w:val="ListParagraph"/>
        <w:numPr>
          <w:ilvl w:val="0"/>
          <w:numId w:val="2"/>
        </w:numPr>
        <w:spacing w:after="80"/>
      </w:pPr>
      <w:r>
        <w:rPr>
          <w:rFonts w:ascii="Arial" w:cs="Arial" w:eastAsia="Arial" w:hAnsi="Arial"/>
          <w:sz w:val="22"/>
          <w:szCs w:val="22"/>
        </w:rPr>
        <w:t xml:space="preserve">Zero Trust by Default — every agent operates under a scoped token; no agent may access data outside its current task authorization.</w:t>
      </w:r>
    </w:p>
    <w:p>
      <w:pPr>
        <w:pStyle w:val="ListParagraph"/>
        <w:numPr>
          <w:ilvl w:val="0"/>
          <w:numId w:val="2"/>
        </w:numPr>
        <w:spacing w:after="80"/>
      </w:pPr>
      <w:r>
        <w:rPr>
          <w:rFonts w:ascii="Arial" w:cs="Arial" w:eastAsia="Arial" w:hAnsi="Arial"/>
          <w:sz w:val="22"/>
          <w:szCs w:val="22"/>
        </w:rPr>
        <w:t xml:space="preserve">Validation Before Propagation — Agent Contract Layer checkpoints reject invalid outputs before downstream consumption.</w:t>
      </w:r>
    </w:p>
    <w:p>
      <w:pPr>
        <w:pStyle w:val="ListParagraph"/>
        <w:numPr>
          <w:ilvl w:val="0"/>
          <w:numId w:val="2"/>
        </w:numPr>
        <w:spacing w:after="80"/>
      </w:pPr>
      <w:r>
        <w:rPr>
          <w:rFonts w:ascii="Arial" w:cs="Arial" w:eastAsia="Arial" w:hAnsi="Arial"/>
          <w:sz w:val="22"/>
          <w:szCs w:val="22"/>
        </w:rPr>
        <w:t xml:space="preserve">Optimization Before Delivery — all AI-generated content passes through the AI Optimization Agent before HITL.</w:t>
      </w:r>
    </w:p>
    <w:p>
      <w:pPr>
        <w:pStyle w:val="ListParagraph"/>
        <w:numPr>
          <w:ilvl w:val="0"/>
          <w:numId w:val="2"/>
        </w:numPr>
        <w:spacing w:after="80"/>
      </w:pPr>
      <w:r>
        <w:rPr>
          <w:rFonts w:ascii="Arial" w:cs="Arial" w:eastAsia="Arial" w:hAnsi="Arial"/>
          <w:sz w:val="22"/>
          <w:szCs w:val="22"/>
        </w:rPr>
        <w:t xml:space="preserve">Human Sovereignty — licensed attorneys hold final approval authority; the Legal Audit Engine records the full responsibility chain.</w:t>
      </w:r>
    </w:p>
    <w:p>
      <w:pPr>
        <w:spacing w:after="160"/>
      </w:pPr>
      <w:r>
        <w:t xml:space="preserve"/>
      </w:r>
    </w:p>
    <w:p>
      <w:r>
        <w:br w:type="page"/>
      </w:r>
    </w:p>
    <w:p>
      <w:pPr>
        <w:pStyle w:val="Heading1"/>
        <w:spacing w:after="180" w:before="440"/>
      </w:pPr>
      <w:r>
        <w:rPr>
          <w:rFonts w:ascii="Arial" w:cs="Arial" w:eastAsia="Arial" w:hAnsi="Arial"/>
          <w:b/>
          <w:bCs/>
          <w:color w:val="1F4E79"/>
          <w:sz w:val="34"/>
          <w:szCs w:val="34"/>
        </w:rPr>
        <w:t xml:space="preserve">7.  Schema-Driven Architecture and Agent Contract Layer</w:t>
      </w:r>
    </w:p>
    <w:p>
      <w:pPr>
        <w:pStyle w:val="Heading2"/>
        <w:spacing w:after="120" w:before="300"/>
      </w:pPr>
      <w:r>
        <w:rPr>
          <w:rFonts w:ascii="Arial" w:cs="Arial" w:eastAsia="Arial" w:hAnsi="Arial"/>
          <w:b/>
          <w:bCs/>
          <w:color w:val="1F4E79"/>
          <w:sz w:val="27"/>
          <w:szCs w:val="27"/>
        </w:rPr>
        <w:t xml:space="preserve">7.1  Academic Justification</w:t>
      </w:r>
    </w:p>
    <w:p>
      <w:pPr>
        <w:spacing w:after="140" w:line="330"/>
        <w:jc w:val="both"/>
      </w:pPr>
      <w:r>
        <w:rPr>
          <w:rFonts w:ascii="Arial" w:cs="Arial" w:eastAsia="Arial" w:hAnsi="Arial"/>
          <w:b w:val="false"/>
          <w:bCs w:val="false"/>
          <w:sz w:val="22"/>
          <w:szCs w:val="22"/>
        </w:rPr>
        <w:t xml:space="preserve">Newman (2021) establishes that typed API contracts are the primary reliability mechanism in distributed systems: without enforced contracts, a single schema change in one component silently corrupts all consumers. In LLM-based multi-agent pipelines this fragility is compounded by probabilistic generation — a model may omit a required field, return an out-of-range confidence score, or embed a citation in an unexpected format. Without schema validation at every boundary these exceptions propagate silently and corrupt outputs at a distance from their origin. Pydantic v2 provides deterministic runtime type validation with negligible overhead (~20 µs per validation call), creating a measurable reliability layer whose behaviour is independent of LLM training quality.</w:t>
      </w:r>
    </w:p>
    <w:p>
      <w:pPr>
        <w:pStyle w:val="Heading2"/>
        <w:spacing w:after="120" w:before="300"/>
      </w:pPr>
      <w:r>
        <w:rPr>
          <w:rFonts w:ascii="Arial" w:cs="Arial" w:eastAsia="Arial" w:hAnsi="Arial"/>
          <w:b/>
          <w:bCs/>
          <w:color w:val="1F4E79"/>
          <w:sz w:val="27"/>
          <w:szCs w:val="27"/>
        </w:rPr>
        <w:t xml:space="preserve">7.2  Contract Validation Checkpoints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000"/>
        <w:gridCol w:w="3080"/>
      </w:tblGrid>
      <w:tr>
        <w:trPr>
          <w:tblHeader/>
        </w:trP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CP</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Pipeline Position</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Schema Validated</w:t>
            </w:r>
          </w:p>
        </w:tc>
        <w:tc>
          <w:tcPr>
            <w:tcW w:type="dxa" w:w="30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Failure Action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CP-01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After ALLE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NormalizedLegalQuery</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Retry normalization; escalate on unresolvable dialect</w:t>
            </w:r>
          </w:p>
        </w:tc>
      </w:tr>
      <w:tr>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CP-02</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After RIE</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LegalResearchResult</w:t>
            </w:r>
          </w:p>
        </w:tc>
        <w:tc>
          <w:tcPr>
            <w:tcW w:type="dxa" w:w="30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Re-query with expanded terms; escalate after 3 failures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CP-03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After Research + Reasoning agents consensus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EvidencePackage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Return to Research Agent with specific evidence gap specification</w:t>
            </w:r>
          </w:p>
        </w:tc>
      </w:tr>
      <w:tr>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CP-04</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After Legal Reasoning Engine</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LegalDraftOutput</w:t>
            </w:r>
          </w:p>
        </w:tc>
        <w:tc>
          <w:tcPr>
            <w:tcW w:type="dxa" w:w="30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Retry IRAC; flag INSUFFICIENT_SOURCES if evidence inadequate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CP-05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After Knowledge Validation Engine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CitationValidationReport</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Retry ×3; escalate with diagnostic report to Supervisor</w:t>
            </w:r>
          </w:p>
        </w:tc>
      </w:tr>
      <w:tr>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CP-06</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After AI Optimization Agent</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OptimizedLegalText</w:t>
            </w:r>
          </w:p>
        </w:tc>
        <w:tc>
          <w:tcPr>
            <w:tcW w:type="dxa" w:w="30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Re-run optimization ×2; escalate if thresholds unmet</w:t>
            </w:r>
          </w:p>
        </w:tc>
      </w:tr>
    </w:tbl>
    <w:p>
      <w:pPr>
        <w:spacing w:after="80"/>
      </w:pPr>
      <w:r>
        <w:t xml:space="preserve"/>
      </w:r>
    </w:p>
    <w:p>
      <w:pPr>
        <w:pStyle w:val="Heading2"/>
        <w:spacing w:after="120" w:before="300"/>
      </w:pPr>
      <w:r>
        <w:rPr>
          <w:rFonts w:ascii="Arial" w:cs="Arial" w:eastAsia="Arial" w:hAnsi="Arial"/>
          <w:b/>
          <w:bCs/>
          <w:color w:val="1F4E79"/>
          <w:sz w:val="27"/>
          <w:szCs w:val="27"/>
        </w:rPr>
        <w:t xml:space="preserve">7.3  Core Message Schemas (Pydantic v2)</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class LegalDraftOutput(BaseModel):</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task_id: str;  sections: List[DraftSection]</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citation_registry: Dict[str, CitationRef]</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schema_compliance: bool;  confidence: float</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ai_optimization_status: Literal["PENDING","OPTIMIZED","FAILED"]</w:t>
      </w:r>
    </w:p>
    <w:p>
      <w:pPr>
        <w:spacing w:after="80"/>
      </w:pPr>
      <w:r>
        <w:t xml:space="preserve"/>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class OptimizedLegalText(BaseModel):</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task_id: str;  optimized_text: str</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ai_detectability_score: float   # target ≤ 0.15</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legal_register_score: float     # target ≥ 0.85</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morphological_compliance: bool</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citations_preserved: bool       # MUST be True</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rewrite_iterations: int;  status: Literal["APPROVED","REVISION_REQUIRED","ESCALATED"]</w:t>
      </w:r>
    </w:p>
    <w:p>
      <w:pPr>
        <w:spacing w:after="160"/>
      </w:pPr>
      <w:r>
        <w:t xml:space="preserve"/>
      </w:r>
    </w:p>
    <w:p>
      <w:r>
        <w:br w:type="page"/>
      </w:r>
    </w:p>
    <w:p>
      <w:pPr>
        <w:pStyle w:val="Heading1"/>
        <w:spacing w:after="180" w:before="440"/>
      </w:pPr>
      <w:r>
        <w:rPr>
          <w:rFonts w:ascii="Arial" w:cs="Arial" w:eastAsia="Arial" w:hAnsi="Arial"/>
          <w:b/>
          <w:bCs/>
          <w:color w:val="1F4E79"/>
          <w:sz w:val="34"/>
          <w:szCs w:val="34"/>
        </w:rPr>
        <w:t xml:space="preserve">8.  Agent Hierarchy, Engine Classification, and Operational Roster Mapping</w:t>
      </w:r>
    </w:p>
    <w:p>
      <w:pPr>
        <w:spacing w:after="140" w:line="330"/>
        <w:jc w:val="both"/>
      </w:pPr>
      <w:r>
        <w:rPr>
          <w:rFonts w:ascii="Arial" w:cs="Arial" w:eastAsia="Arial" w:hAnsi="Arial"/>
          <w:b w:val="false"/>
          <w:bCs w:val="false"/>
          <w:sz w:val="22"/>
          <w:szCs w:val="22"/>
        </w:rPr>
        <w:t xml:space="preserve">ALMAS LAW distinguishes two implementation types: (1) Agents — stateful LangGraph nodes holding Keycloak service accounts, making autonomous routing decisions, invoking tools, and participating in the Agent Debate Protocol; (2) Engines — deterministic processing pipelines called by agents that receive typed inputs, perform bounded processing, and return typed outputs without making routing decisions. The following table maps the fifteen-agent operational roster to its technical implementation component.</w:t>
      </w:r>
    </w:p>
    <w:p>
      <w:pPr>
        <w:pBdr>
          <w:left w:val="single" w:color="1A5C1A" w:sz="18" w:space="6"/>
        </w:pBdr>
        <w:shd w:fill="E8F5E9" w:val="clear"/>
        <w:spacing w:after="80" w:before="80"/>
        <w:ind w:left="200"/>
      </w:pPr>
      <w:r>
        <w:rPr>
          <w:rFonts w:ascii="Arial" w:cs="Arial" w:eastAsia="Arial" w:hAnsi="Arial"/>
          <w:sz w:val="21"/>
          <w:szCs w:val="21"/>
        </w:rPr>
        <w:t xml:space="preserve">The 15-agent operational roster maps to 7 LangGraph agent nodes + 8 engine invocations + 3 operational services. No new agents or duplicate capabilities are required.</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3000"/>
        <w:gridCol w:w="2480"/>
      </w:tblGrid>
      <w:tr>
        <w:trPr>
          <w:tblHeader/>
        </w:trP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Operational Roster Agent</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Implementation Type</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Technical Component</w:t>
            </w:r>
          </w:p>
        </w:tc>
        <w:tc>
          <w:tcPr>
            <w:tcW w:type="dxa" w:w="2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LangGraph Node / Engine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Supervisor Agent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LangGraph Node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Orchestration, task decomposition, playbook activation, retry control, Zero Trust token issuance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supervisor_agent</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Retrieval Agent</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Engine Invocation</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Retrieval Intelligence Engine (Engine 04)</w:t>
            </w:r>
          </w:p>
        </w:tc>
        <w:tc>
          <w:tcPr>
            <w:tcW w:type="dxa" w:w="24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Engine 04 — via supervisor_agent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Research Agent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LangGraph Node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Qdrant ANN + Neo4j Cypher citation traversal; episodic CBR</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research_agent</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Reasoning Agent</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LangGraph Node</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IRAC Chain-of-Thought; hypothesis formation; Agent Debate Protocol</w:t>
            </w:r>
          </w:p>
        </w:tc>
        <w:tc>
          <w:tcPr>
            <w:tcW w:type="dxa" w:w="24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reasoning_agent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Legal Qualification Agent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Engine Invocation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Legal Reasoning Engine (Engine 08) — invoked by reasoning_agent</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Engine 08 — via reasoning_agent</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Evidence Mapping Agent</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Engine Invocation</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Evidence Mapping Engine (Engine 10) — invoked by reasoning_agent</w:t>
            </w:r>
          </w:p>
        </w:tc>
        <w:tc>
          <w:tcPr>
            <w:tcW w:type="dxa" w:w="24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Engine 10 — via reasoning_agent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Litigation Strategy Agent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Engine Invocation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Litigation Strategy Engine (Engine 11) — invoked by supervisor_agent</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Engine 11 — via supervisor_agent</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Citation Validation Agent</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Engine Invocation</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Knowledge Validation Engine (Engine 16) — invoked by supervisor_agent</w:t>
            </w:r>
          </w:p>
        </w:tc>
        <w:tc>
          <w:tcPr>
            <w:tcW w:type="dxa" w:w="24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Engine 16 — via supervisor_agent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Drafting Agent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LangGraph Node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Sequential sectional drafting with shared citation registry via Redis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drafting_agent</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Review Agent</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LangGraph Node</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MSA register QA; completeness check; risk flagging</w:t>
            </w:r>
          </w:p>
        </w:tc>
        <w:tc>
          <w:tcPr>
            <w:tcW w:type="dxa" w:w="24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review_agent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Knowledge Agent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LangGraph Node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Knowledge Hub maintenance; Legal Update Engine (Engine 19) control</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knowledge_agent</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Memory Agent</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Operational Service</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5-tier memory read/write; Playbook pattern detection; Redis + PostgreSQL</w:t>
            </w:r>
          </w:p>
        </w:tc>
        <w:tc>
          <w:tcPr>
            <w:tcW w:type="dxa" w:w="24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memory_service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Client Agent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Operational Service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Law Firm ERP/CRM (Engine 13) — client intake, case management, calendar</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erp_service</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Calendar Agent</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Operational Service</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Calendar System; deadline alerts; procedural date management</w:t>
            </w:r>
          </w:p>
        </w:tc>
        <w:tc>
          <w:tcPr>
            <w:tcW w:type="dxa" w:w="24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calendar_service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Compliance Agent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LangGraph Node + Engine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Legal Audit Engine (Engine 17) write; compliance monitoring; security event triage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compliance_agent + Engine 17</w:t>
            </w:r>
          </w:p>
        </w:tc>
      </w:tr>
    </w:tbl>
    <w:p>
      <w:pPr>
        <w:spacing w:after="160"/>
      </w:pPr>
      <w:r>
        <w:t xml:space="preserve"/>
      </w:r>
    </w:p>
    <w:p>
      <w:r>
        <w:br w:type="page"/>
      </w:r>
    </w:p>
    <w:p>
      <w:pPr>
        <w:pStyle w:val="Heading1"/>
        <w:spacing w:after="180" w:before="440"/>
      </w:pPr>
      <w:r>
        <w:rPr>
          <w:rFonts w:ascii="Arial" w:cs="Arial" w:eastAsia="Arial" w:hAnsi="Arial"/>
          <w:b/>
          <w:bCs/>
          <w:color w:val="1F4E79"/>
          <w:sz w:val="34"/>
          <w:szCs w:val="34"/>
        </w:rPr>
        <w:t xml:space="preserve">9.  Arabic Legal Language Engine (ALLE)</w:t>
      </w:r>
    </w:p>
    <w:p>
      <w:pPr>
        <w:pStyle w:val="Heading2"/>
        <w:spacing w:after="120" w:before="300"/>
      </w:pPr>
      <w:r>
        <w:rPr>
          <w:rFonts w:ascii="Arial" w:cs="Arial" w:eastAsia="Arial" w:hAnsi="Arial"/>
          <w:b/>
          <w:bCs/>
          <w:color w:val="1F4E79"/>
          <w:sz w:val="27"/>
          <w:szCs w:val="27"/>
        </w:rPr>
        <w:t xml:space="preserve">9.1  Academic Justification</w:t>
      </w:r>
    </w:p>
    <w:p>
      <w:pPr>
        <w:spacing w:after="140" w:line="330"/>
        <w:jc w:val="both"/>
      </w:pPr>
      <w:r>
        <w:rPr>
          <w:rFonts w:ascii="Arial" w:cs="Arial" w:eastAsia="Arial" w:hAnsi="Arial"/>
          <w:b w:val="false"/>
          <w:bCs w:val="false"/>
          <w:sz w:val="22"/>
          <w:szCs w:val="22"/>
        </w:rPr>
        <w:t xml:space="preserve">Obeid et al. (2020) demonstrated that dialect identification and morphological disambiguation must precede any downstream Arabic NLP task. Antoun et al. (2020) showed AraBERT significantly outperforms multilingual BERT on MSA classification. AL-Qurishi et al. (2022) demonstrated AraLegal-BERT provides additional legal NER accuracy. Inoue et al. (2021) established AraELECTRA as efficient for Arabic classification tasks. Abdul-Mageed et al. (2021) established MARBERT as the state-of-the-art for Egyptian dialect understanding. The ALLE integrates all five tools in a sequential processing pipeline, ensuring every downstream agent receives a formally structured MSA-normalized legal query.</w:t>
      </w:r>
    </w:p>
    <w:p>
      <w:pPr>
        <w:pStyle w:val="Heading2"/>
        <w:spacing w:after="120" w:before="300"/>
      </w:pPr>
      <w:r>
        <w:rPr>
          <w:rFonts w:ascii="Arial" w:cs="Arial" w:eastAsia="Arial" w:hAnsi="Arial"/>
          <w:b/>
          <w:bCs/>
          <w:color w:val="1F4E79"/>
          <w:sz w:val="27"/>
          <w:szCs w:val="27"/>
        </w:rPr>
        <w:t xml:space="preserve">9.2  Seven-Stage Processing Pipeline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400"/>
        <w:gridCol w:w="2980"/>
      </w:tblGrid>
      <w:tr>
        <w:trPr>
          <w:tblHeader/>
        </w:trP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Stage</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Tool/Model</w:t>
            </w:r>
          </w:p>
        </w:tc>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Function</w:t>
            </w:r>
          </w:p>
        </w:tc>
        <w:tc>
          <w:tcPr>
            <w:tcW w:type="dxa" w:w="29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Output Field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CAMeL Tools DID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Dialect identification: Egyptian / Levantine / Gulf / MSA</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detected_dialect</w:t>
            </w:r>
          </w:p>
        </w:tc>
      </w:tr>
      <w:tr>
        <w:tc>
          <w:tcPr>
            <w:tcW w:type="dxa" w:w="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S2</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CAMeL Tools MorphAn</w:t>
            </w:r>
          </w:p>
        </w:tc>
        <w:tc>
          <w:tcPr>
            <w:tcW w:type="dxa" w:w="3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Morphological disambiguation, diacritization, lemmatization, POS tagging</w:t>
            </w:r>
          </w:p>
        </w:tc>
        <w:tc>
          <w:tcPr>
            <w:tcW w:type="dxa" w:w="29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morphological_features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CAMeL Tools Normalize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Alef/Hamza normalization, tashkeel removal, spelling variant unification</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normalized_script</w:t>
            </w:r>
          </w:p>
        </w:tc>
      </w:tr>
      <w:tr>
        <w:tc>
          <w:tcPr>
            <w:tcW w:type="dxa" w:w="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S4</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AraBERT fine-tuned</w:t>
            </w:r>
          </w:p>
        </w:tc>
        <w:tc>
          <w:tcPr>
            <w:tcW w:type="dxa" w:w="3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Dialectal term → formal MSA equivalent mapping</w:t>
            </w:r>
          </w:p>
        </w:tc>
        <w:tc>
          <w:tcPr>
            <w:tcW w:type="dxa" w:w="29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normalized_msa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AraLegal-BERT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Legal NER: parties, articles, courts, dates, case numbers</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legal_entities</w:t>
            </w:r>
          </w:p>
        </w:tc>
      </w:tr>
      <w:tr>
        <w:tc>
          <w:tcPr>
            <w:tcW w:type="dxa" w:w="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S6</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AraELECTRA fine-tuned</w:t>
            </w:r>
          </w:p>
        </w:tc>
        <w:tc>
          <w:tcPr>
            <w:tcW w:type="dxa" w:w="3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Legal intent: RESEARCH / DRAFT / ADVISORY / CRM / STRATEGY</w:t>
            </w:r>
          </w:p>
        </w:tc>
        <w:tc>
          <w:tcPr>
            <w:tcW w:type="dxa" w:w="29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intent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MARBERT fine-tuned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Criminal case narrative → Penal Code formal classification</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crime_class (nullable)</w:t>
            </w:r>
          </w:p>
        </w:tc>
      </w:tr>
    </w:tbl>
    <w:p>
      <w:pPr>
        <w:spacing w:after="160"/>
      </w:pPr>
      <w:r>
        <w:t xml:space="preserve"/>
      </w:r>
    </w:p>
    <w:p>
      <w:r>
        <w:br w:type="page"/>
      </w:r>
    </w:p>
    <w:p>
      <w:pPr>
        <w:pStyle w:val="Heading1"/>
        <w:spacing w:after="180" w:before="440"/>
      </w:pPr>
      <w:r>
        <w:rPr>
          <w:rFonts w:ascii="Arial" w:cs="Arial" w:eastAsia="Arial" w:hAnsi="Arial"/>
          <w:b/>
          <w:bCs/>
          <w:color w:val="1F4E79"/>
          <w:sz w:val="34"/>
          <w:szCs w:val="34"/>
        </w:rPr>
        <w:t xml:space="preserve">10.  Retrieval Intelligence Engine (RIE)</w:t>
      </w:r>
    </w:p>
    <w:p>
      <w:pPr>
        <w:pStyle w:val="Heading2"/>
        <w:spacing w:after="120" w:before="300"/>
      </w:pPr>
      <w:r>
        <w:rPr>
          <w:rFonts w:ascii="Arial" w:cs="Arial" w:eastAsia="Arial" w:hAnsi="Arial"/>
          <w:b/>
          <w:bCs/>
          <w:color w:val="1F4E79"/>
          <w:sz w:val="27"/>
          <w:szCs w:val="27"/>
        </w:rPr>
        <w:t xml:space="preserve">10.1  Academic Justification</w:t>
      </w:r>
    </w:p>
    <w:p>
      <w:pPr>
        <w:spacing w:after="140" w:line="330"/>
        <w:jc w:val="both"/>
      </w:pPr>
      <w:r>
        <w:rPr>
          <w:rFonts w:ascii="Arial" w:cs="Arial" w:eastAsia="Arial" w:hAnsi="Arial"/>
          <w:b w:val="false"/>
          <w:bCs w:val="false"/>
          <w:sz w:val="22"/>
          <w:szCs w:val="22"/>
        </w:rPr>
        <w:t xml:space="preserve">Robertson &amp; Zaragoza (2009) demonstrated BM25's systematic advantages over dense methods for domain-specific terminology. Karpukhin et al. (2020) validated dense passage retrieval for semantic paraphrase matching. The academic consensus is that hybrid fusion consistently outperforms either approach alone. Nogueira &amp; Cho (2019) demonstrated cross-encoder re-ranking provides a further quality increment at acceptable latency. The RIE implements the complete state-of-the-art retrieval stack purpose-built for the Arabic legal domain.</w:t>
      </w:r>
    </w:p>
    <w:p>
      <w:pPr>
        <w:pStyle w:val="Heading2"/>
        <w:spacing w:after="120" w:before="300"/>
      </w:pPr>
      <w:r>
        <w:rPr>
          <w:rFonts w:ascii="Arial" w:cs="Arial" w:eastAsia="Arial" w:hAnsi="Arial"/>
          <w:b/>
          <w:bCs/>
          <w:color w:val="1F4E79"/>
          <w:sz w:val="27"/>
          <w:szCs w:val="27"/>
        </w:rPr>
        <w:t xml:space="preserve">10.2  Eight-Stage RIE Architecture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400"/>
        <w:gridCol w:w="3480"/>
      </w:tblGrid>
      <w:tr>
        <w:trPr>
          <w:tblHeader/>
        </w:trP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Stage</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Component</w:t>
            </w:r>
          </w:p>
        </w:tc>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Method</w:t>
            </w:r>
          </w:p>
        </w:tc>
        <w:tc>
          <w:tcPr>
            <w:tcW w:type="dxa" w:w="3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Output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Query Understanding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AraLegal-BERT encoding + legal domain classification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Dense query vector + domain tags</w:t>
            </w:r>
          </w:p>
        </w:tc>
      </w:tr>
      <w:tr>
        <w:tc>
          <w:tcPr>
            <w:tcW w:type="dxa" w:w="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S2</w:t>
            </w:r>
          </w:p>
        </w:tc>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Query Expansion</w:t>
            </w:r>
          </w:p>
        </w:tc>
        <w:tc>
          <w:tcPr>
            <w:tcW w:type="dxa" w:w="3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LLM-assisted: synonyms + cross-references + hyponyms</w:t>
            </w:r>
          </w:p>
        </w:tc>
        <w:tc>
          <w:tcPr>
            <w:tcW w:type="dxa" w:w="34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3 expanded query formulations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Sparse Retrieval</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BM25 over Elasticsearch-indexed corpus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Top-50 lexical candidates</w:t>
            </w:r>
          </w:p>
        </w:tc>
      </w:tr>
      <w:tr>
        <w:tc>
          <w:tcPr>
            <w:tcW w:type="dxa" w:w="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S4</w:t>
            </w:r>
          </w:p>
        </w:tc>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Dense Retrieval</w:t>
            </w:r>
          </w:p>
        </w:tc>
        <w:tc>
          <w:tcPr>
            <w:tcW w:type="dxa" w:w="3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Qdrant ANN with AraLegal-BERT / BGE-M3 embeddings</w:t>
            </w:r>
          </w:p>
        </w:tc>
        <w:tc>
          <w:tcPr>
            <w:tcW w:type="dxa" w:w="34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Top-50 semantic candidates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Hybrid Fusion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Reciprocal Rank Fusion (RRF)</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Unified top-20 candidates</w:t>
            </w:r>
          </w:p>
        </w:tc>
      </w:tr>
      <w:tr>
        <w:tc>
          <w:tcPr>
            <w:tcW w:type="dxa" w:w="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S6</w:t>
            </w:r>
          </w:p>
        </w:tc>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Graph Augmentation</w:t>
            </w:r>
          </w:p>
        </w:tc>
        <w:tc>
          <w:tcPr>
            <w:tcW w:type="dxa" w:w="3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Neo4j Cypher: citation-linked articles ≤ 3 hops</w:t>
            </w:r>
          </w:p>
        </w:tc>
        <w:tc>
          <w:tcPr>
            <w:tcW w:type="dxa" w:w="34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 citation-linked articles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Re-Ranking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Cross-encoder (mT5, fine-tuned on Arabic legal QA pairs)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Ordered top-10 with RCS scores</w:t>
            </w:r>
          </w:p>
        </w:tc>
      </w:tr>
      <w:tr>
        <w:tc>
          <w:tcPr>
            <w:tcW w:type="dxa" w:w="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S8</w:t>
            </w:r>
          </w:p>
        </w:tc>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Evidence Packaging</w:t>
            </w:r>
          </w:p>
        </w:tc>
        <w:tc>
          <w:tcPr>
            <w:tcW w:type="dxa" w:w="3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LegalResearchResult Pydantic schema assembly → CP-02</w:t>
            </w:r>
          </w:p>
        </w:tc>
        <w:tc>
          <w:tcPr>
            <w:tcW w:type="dxa" w:w="34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Validated Evidence Package</w:t>
            </w:r>
          </w:p>
        </w:tc>
      </w:tr>
    </w:tbl>
    <w:p>
      <w:pPr>
        <w:spacing w:after="160"/>
      </w:pPr>
      <w:r>
        <w:t xml:space="preserve"/>
      </w:r>
    </w:p>
    <w:p>
      <w:r>
        <w:br w:type="page"/>
      </w:r>
    </w:p>
    <w:p>
      <w:pPr>
        <w:pStyle w:val="Heading1"/>
        <w:spacing w:after="180" w:before="440"/>
      </w:pPr>
      <w:r>
        <w:rPr>
          <w:rFonts w:ascii="Arial" w:cs="Arial" w:eastAsia="Arial" w:hAnsi="Arial"/>
          <w:b/>
          <w:bCs/>
          <w:color w:val="1F4E79"/>
          <w:sz w:val="34"/>
          <w:szCs w:val="34"/>
        </w:rPr>
        <w:t xml:space="preserve">11.  Adaptive Model Routing (AMR)</w:t>
      </w:r>
    </w:p>
    <w:p>
      <w:pPr>
        <w:spacing w:after="140" w:line="330"/>
        <w:jc w:val="both"/>
      </w:pPr>
      <w:r>
        <w:rPr>
          <w:rFonts w:ascii="Arial" w:cs="Arial" w:eastAsia="Arial" w:hAnsi="Arial"/>
          <w:b w:val="false"/>
          <w:bCs w:val="false"/>
          <w:sz w:val="22"/>
          <w:szCs w:val="22"/>
        </w:rPr>
        <w:t xml:space="preserve">Shnitzer et al. (2023) demonstrated that adaptive task-to-model routing achieves quality comparable to always using the most expensive model at a fraction of the cost. Jiang et al. (2023) established that routing based on task type is more reliable than difficulty-estimation-based routing. In the Arabic legal domain, the additional dimension of language fidelity makes routing critical: models with strong English capabilities exhibit significant degradation on formal Arabic legal text (Hijazi et al., 2024).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00"/>
        <w:gridCol w:w="3280"/>
      </w:tblGrid>
      <w:tr>
        <w:trPr>
          <w:tblHeader/>
        </w:trP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Task Type</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Primary Model</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Fallback</w:t>
            </w:r>
          </w:p>
        </w:tc>
        <w:tc>
          <w:tcPr>
            <w:tcW w:type="dxa" w:w="3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Privacy Constraint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Arabic dialect detection and NER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AraELECTRA / MARBERT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AraLegal-BERT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Local only — always</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Legal entity extraction</w:t>
            </w:r>
          </w:p>
        </w:tc>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AraLegal-BERT</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AraBERT</w:t>
            </w:r>
          </w:p>
        </w:tc>
        <w:tc>
          <w:tcPr>
            <w:tcW w:type="dxa" w:w="32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Local only — always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Complex legal reasoning (IRAC)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DeepSeek-R1 (local)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Qwen-72B (local)</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Local only — client data present</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Formal MSA legal drafting + AI Optimization</w:t>
            </w:r>
          </w:p>
        </w:tc>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JAIS-30B (local)</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Aya-23-35B (local)</w:t>
            </w:r>
          </w:p>
        </w:tc>
        <w:tc>
          <w:tcPr>
            <w:tcW w:type="dxa" w:w="32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Local only — client data present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Fast intent classification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Qwen-7B (local)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Llama-3.1-8B (local)</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Local only — client data present</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Multi-jurisdiction Arabic research</w:t>
            </w:r>
          </w:p>
        </w:tc>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Aya-23-35B (local)</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JAIS-30B (local)</w:t>
            </w:r>
          </w:p>
        </w:tc>
        <w:tc>
          <w:tcPr>
            <w:tcW w:type="dxa" w:w="32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Local only — always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Structural/non-client drafting tasks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Claude (API)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GPT-4o (API)</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 allowed ONLY if Privacy Gateway has anonymized prompt</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Document embedding</w:t>
            </w:r>
          </w:p>
        </w:tc>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BGE-M3 (local)</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AraLegal-BERT (local)</w:t>
            </w:r>
          </w:p>
        </w:tc>
        <w:tc>
          <w:tcPr>
            <w:tcW w:type="dxa" w:w="32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Local only — always</w:t>
            </w:r>
          </w:p>
        </w:tc>
      </w:tr>
    </w:tbl>
    <w:p>
      <w:pPr>
        <w:pBdr>
          <w:left w:val="single" w:color="7B0000" w:sz="18" w:space="6"/>
        </w:pBdr>
        <w:shd w:fill="FDECEA" w:val="clear"/>
        <w:spacing w:after="80" w:before="80"/>
        <w:ind w:left="200"/>
      </w:pPr>
      <w:r>
        <w:rPr>
          <w:rFonts w:ascii="Arial" w:cs="Arial" w:eastAsia="Arial" w:hAnsi="Arial"/>
          <w:sz w:val="21"/>
          <w:szCs w:val="21"/>
        </w:rPr>
        <w:t xml:space="preserve">Privacy constraint: any task containing client-identifiable information MUST route to locally deployed models. External API calls are restricted to anonymized structural tasks only — enforced programmatically by the AMR privacy policy filter, not by deployment policy.</w:t>
      </w:r>
    </w:p>
    <w:p>
      <w:pPr>
        <w:spacing w:after="160"/>
      </w:pPr>
      <w:r>
        <w:t xml:space="preserve"/>
      </w:r>
    </w:p>
    <w:p>
      <w:r>
        <w:br w:type="page"/>
      </w:r>
    </w:p>
    <w:p>
      <w:pPr>
        <w:pStyle w:val="Heading1"/>
        <w:spacing w:after="180" w:before="440"/>
      </w:pPr>
      <w:r>
        <w:rPr>
          <w:rFonts w:ascii="Arial" w:cs="Arial" w:eastAsia="Arial" w:hAnsi="Arial"/>
          <w:b/>
          <w:bCs/>
          <w:color w:val="1F4E79"/>
          <w:sz w:val="34"/>
          <w:szCs w:val="34"/>
        </w:rPr>
        <w:t xml:space="preserve">12.  Redis Shared State Layer</w:t>
      </w:r>
    </w:p>
    <w:p>
      <w:pPr>
        <w:spacing w:after="140" w:line="330"/>
        <w:jc w:val="both"/>
      </w:pPr>
      <w:r>
        <w:rPr>
          <w:rFonts w:ascii="Arial" w:cs="Arial" w:eastAsia="Arial" w:hAnsi="Arial"/>
          <w:b w:val="false"/>
          <w:bCs w:val="false"/>
          <w:sz w:val="22"/>
          <w:szCs w:val="22"/>
        </w:rPr>
        <w:t xml:space="preserve">Persisting live multi-agent workflow state to PostgreSQL introduces unnecessary ACID transaction overhead for ephemeral coordination data. Redis provides O(1) in-memory read/write with sub-millisecond latency and native pub/sub for real-time agent event broadcasting — the correct semantic separation between transient workflow state (Redis) and permanent legal records (PostgreSQL).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3400"/>
        <w:gridCol w:w="2080"/>
      </w:tblGrid>
      <w:tr>
        <w:trPr>
          <w:tblHeader/>
        </w:trP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Structure</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Key Pattern</w:t>
            </w:r>
          </w:p>
        </w:tc>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Content</w:t>
            </w:r>
          </w:p>
        </w:tc>
        <w:tc>
          <w:tcPr>
            <w:tcW w:type="dxa" w:w="20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TTL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Hash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workflow:{task_id}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LangGraph state: stage, agent assignments, retry counts, schema payloads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24 hours</w:t>
            </w:r>
          </w:p>
        </w:tc>
      </w:tr>
      <w:tr>
        <w:tc>
          <w:tcPr>
            <w:tcW w:type="dxa" w:w="1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Hash</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agent:{task_id}:{agent_id}</w:t>
            </w:r>
          </w:p>
        </w:tc>
        <w:tc>
          <w:tcPr>
            <w:tcW w:type="dxa" w:w="3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Per-agent context, token budget consumed, output cache</w:t>
            </w:r>
          </w:p>
        </w:tc>
        <w:tc>
          <w:tcPr>
            <w:tcW w:type="dxa" w:w="20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6 hours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Hash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session:{user_id}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Active lawyer session: case context, language preference, open task IDs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 hours</w:t>
            </w:r>
          </w:p>
        </w:tc>
      </w:tr>
      <w:tr>
        <w:tc>
          <w:tcPr>
            <w:tcW w:type="dxa" w:w="1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Hash</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whistle:{session_id}</w:t>
            </w:r>
          </w:p>
        </w:tc>
        <w:tc>
          <w:tcPr>
            <w:tcW w:type="dxa" w:w="3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Whistledown PRNG seed + entity-to-pseudonym mapping (encrypted)</w:t>
            </w:r>
          </w:p>
        </w:tc>
        <w:tc>
          <w:tcPr>
            <w:tcW w:type="dxa" w:w="20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Session lifetime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Pub/Sub</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events:{task_id}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Real-time agent progress events to HITL dashboard</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 (streaming)</w:t>
            </w:r>
          </w:p>
        </w:tc>
      </w:tr>
      <w:tr>
        <w:tc>
          <w:tcPr>
            <w:tcW w:type="dxa" w:w="1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Sorted Set</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retry_queue</w:t>
            </w:r>
          </w:p>
        </w:tc>
        <w:tc>
          <w:tcPr>
            <w:tcW w:type="dxa" w:w="3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Failed validation tasks ranked by priority score</w:t>
            </w:r>
          </w:p>
        </w:tc>
        <w:tc>
          <w:tcPr>
            <w:tcW w:type="dxa" w:w="20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48 hours</w:t>
            </w:r>
          </w:p>
        </w:tc>
      </w:tr>
    </w:tbl>
    <w:p>
      <w:pPr>
        <w:spacing w:after="160"/>
      </w:pPr>
      <w:r>
        <w:t xml:space="preserve"/>
      </w:r>
    </w:p>
    <w:p>
      <w:r>
        <w:br w:type="page"/>
      </w:r>
    </w:p>
    <w:p>
      <w:pPr>
        <w:pStyle w:val="Heading1"/>
        <w:spacing w:after="180" w:before="440"/>
      </w:pPr>
      <w:r>
        <w:rPr>
          <w:rFonts w:ascii="Arial" w:cs="Arial" w:eastAsia="Arial" w:hAnsi="Arial"/>
          <w:b/>
          <w:bCs/>
          <w:color w:val="1F4E79"/>
          <w:sz w:val="34"/>
          <w:szCs w:val="34"/>
        </w:rPr>
        <w:t xml:space="preserve">13.  The Seventeen Core Engines of ALMAS LAW v2.2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1800"/>
        <w:gridCol w:w="4080"/>
      </w:tblGrid>
      <w:tr>
        <w:trPr>
          <w:tblHeader/>
        </w:trP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Engine</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Status</w:t>
            </w:r>
          </w:p>
        </w:tc>
        <w:tc>
          <w:tcPr>
            <w:tcW w:type="dxa" w:w="40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Primary Function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Legal Knowledge Hub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Retained</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Dual-store Qdrant + document DB; Egyptian legal corpus ingestion and retrieval</w:t>
            </w:r>
          </w:p>
        </w:tc>
      </w:tr>
      <w:tr>
        <w:tc>
          <w:tcPr>
            <w:tcW w:type="dxa" w:w="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02</w:t>
            </w:r>
          </w:p>
        </w:tc>
        <w:tc>
          <w:tcPr>
            <w:tcW w:type="dxa" w:w="3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Legal Citation Graph (Neo4j)</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Retained</w:t>
            </w:r>
          </w:p>
        </w:tc>
        <w:tc>
          <w:tcPr>
            <w:tcW w:type="dxa" w:w="40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Property graph: multi-hop citation traversal, conflicting-interpretation detection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Arabic Legal Language Engine (ALLE)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Enhanced v2.2</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Dialect detection, MSA normalization, legal NER, intent classification</w:t>
            </w:r>
          </w:p>
        </w:tc>
      </w:tr>
      <w:tr>
        <w:tc>
          <w:tcPr>
            <w:tcW w:type="dxa" w:w="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04</w:t>
            </w:r>
          </w:p>
        </w:tc>
        <w:tc>
          <w:tcPr>
            <w:tcW w:type="dxa" w:w="3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Retrieval Intelligence Engine (RIE)</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Enhanced v2.2</w:t>
            </w:r>
          </w:p>
        </w:tc>
        <w:tc>
          <w:tcPr>
            <w:tcW w:type="dxa" w:w="40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Hybrid BM25-semantic retrieval, graph augmentation, cross-encoder re-ranking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05</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Adaptive Model Routing (AMR)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Enhanced v2.2</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Task-to-model assignment with privacy-sensitive routing constraints</w:t>
            </w:r>
          </w:p>
        </w:tc>
      </w:tr>
      <w:tr>
        <w:tc>
          <w:tcPr>
            <w:tcW w:type="dxa" w:w="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06</w:t>
            </w:r>
          </w:p>
        </w:tc>
        <w:tc>
          <w:tcPr>
            <w:tcW w:type="dxa" w:w="3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Multi-Agent Layer (LangGraph)</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Enhanced v2.2</w:t>
            </w:r>
          </w:p>
        </w:tc>
        <w:tc>
          <w:tcPr>
            <w:tcW w:type="dxa" w:w="40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Schema-governed stateful agent orchestration with Zero Trust token injection per node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07</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Long-Term Memory (5-Tier)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Enhanced v2.2</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Working + Episodic + Semantic + Procedural + Institutional Learning Memory</w:t>
            </w:r>
          </w:p>
        </w:tc>
      </w:tr>
      <w:tr>
        <w:tc>
          <w:tcPr>
            <w:tcW w:type="dxa" w:w="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08</w:t>
            </w:r>
          </w:p>
        </w:tc>
        <w:tc>
          <w:tcPr>
            <w:tcW w:type="dxa" w:w="3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Legal Reasoning Engine</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Retained</w:t>
            </w:r>
          </w:p>
        </w:tc>
        <w:tc>
          <w:tcPr>
            <w:tcW w:type="dxa" w:w="40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IRAC argument construction, citation-locked generation, INSUFFICIENT_SOURCES flagging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09</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Explainability Engine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Retained</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LangGraph trace extraction, reasoning report generation, confidence annotation</w:t>
            </w:r>
          </w:p>
        </w:tc>
      </w:tr>
      <w:tr>
        <w:tc>
          <w:tcPr>
            <w:tcW w:type="dxa" w:w="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3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Evidence Mapping Engine</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Retained</w:t>
            </w:r>
          </w:p>
        </w:tc>
        <w:tc>
          <w:tcPr>
            <w:tcW w:type="dxa" w:w="40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Fact-to-statute mapping with SUPPORT / OPPOSE / NEUTRAL directionality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Litigation Strategy Engine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Retained</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Strategy ranking with episodic CBR analogue recall and deadline identification</w:t>
            </w:r>
          </w:p>
        </w:tc>
      </w:tr>
      <w:tr>
        <w:tc>
          <w:tcPr>
            <w:tcW w:type="dxa" w:w="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12</w:t>
            </w:r>
          </w:p>
        </w:tc>
        <w:tc>
          <w:tcPr>
            <w:tcW w:type="dxa" w:w="3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Contract Intelligence Engine</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Retained</w:t>
            </w:r>
          </w:p>
        </w:tc>
        <w:tc>
          <w:tcPr>
            <w:tcW w:type="dxa" w:w="40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Egyptian contract review, clause-level risk identification, citation-annotated drafting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Law Firm ERP/CRM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Enhanced v2.2</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Case + client management with unique client codes; Calendar System; Analytics Dashboard</w:t>
            </w:r>
          </w:p>
        </w:tc>
      </w:tr>
      <w:tr>
        <w:tc>
          <w:tcPr>
            <w:tcW w:type="dxa" w:w="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3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Document Workspace</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Retained</w:t>
            </w:r>
          </w:p>
        </w:tc>
        <w:tc>
          <w:tcPr>
            <w:tcW w:type="dxa" w:w="40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Multi-agent sequential long-form legal drafting with shared citation registry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Legal Playbook Engine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Retained</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Validated workflow templates from expert input and Institutional Learning extraction</w:t>
            </w:r>
          </w:p>
        </w:tc>
      </w:tr>
      <w:tr>
        <w:tc>
          <w:tcPr>
            <w:tcW w:type="dxa" w:w="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16</w:t>
            </w:r>
          </w:p>
        </w:tc>
        <w:tc>
          <w:tcPr>
            <w:tcW w:type="dxa" w:w="3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Knowledge Validation Engine</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Enhanced v2.2</w:t>
            </w:r>
          </w:p>
        </w:tc>
        <w:tc>
          <w:tcPr>
            <w:tcW w:type="dxa" w:w="40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3-level validation: schema compliance, citation verification, logical consistency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17</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Legal Audit Engine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NEW in v2.2</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Legal-responsibility chain of custody: who approved, modified, or rejected each legal output</w:t>
            </w:r>
          </w:p>
        </w:tc>
      </w:tr>
    </w:tbl>
    <w:p>
      <w:pPr>
        <w:spacing w:after="80"/>
      </w:pPr>
      <w:r>
        <w:t xml:space="preserve"/>
      </w:r>
    </w:p>
    <w:p>
      <w:pPr>
        <w:pStyle w:val="Heading2"/>
        <w:spacing w:after="120" w:before="300"/>
      </w:pPr>
      <w:r>
        <w:rPr>
          <w:rFonts w:ascii="Arial" w:cs="Arial" w:eastAsia="Arial" w:hAnsi="Arial"/>
          <w:b/>
          <w:bCs/>
          <w:color w:val="1F4E79"/>
          <w:sz w:val="27"/>
          <w:szCs w:val="27"/>
        </w:rPr>
        <w:t xml:space="preserve">13.1  Five-Tier Long-Term Memory Architecture (Engine 07)</w:t>
      </w:r>
    </w:p>
    <w:p>
      <w:pPr>
        <w:spacing w:after="140" w:line="330"/>
        <w:jc w:val="both"/>
      </w:pPr>
      <w:r>
        <w:rPr>
          <w:rFonts w:ascii="Arial" w:cs="Arial" w:eastAsia="Arial" w:hAnsi="Arial"/>
          <w:b w:val="false"/>
          <w:bCs w:val="false"/>
          <w:sz w:val="22"/>
          <w:szCs w:val="22"/>
        </w:rPr>
        <w:t xml:space="preserve">Version 2.2 extends prior versions by adding Institutional Learning Memory as a dedicated fifth tier, separating it from Episodic Memory to reflect its categorical difference: Episodic Memory records all completed task events; Institutional Learning Memory records only lawyer-validated improvements cleared for use in fine-tuning pipelines.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400"/>
        <w:gridCol w:w="5280"/>
      </w:tblGrid>
      <w:tr>
        <w:trPr>
          <w:tblHeader/>
        </w:trP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Tier</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Type</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Storage</w:t>
            </w:r>
          </w:p>
        </w:tc>
        <w:tc>
          <w:tcPr>
            <w:tcW w:type="dxa" w:w="5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Content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Working Memory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LangGraph state + Redis</w:t>
            </w:r>
          </w:p>
        </w:tc>
        <w:tc>
          <w:tcPr>
            <w:tcW w:type="dxa" w:w="5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Active pipeline state: task spec, retrieved docs, agent messages, retry state</w:t>
            </w:r>
          </w:p>
        </w:tc>
      </w:tr>
      <w:tr>
        <w:tc>
          <w:tcPr>
            <w:tcW w:type="dxa" w:w="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Episodic Memory</w:t>
            </w:r>
          </w:p>
        </w:tc>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PostgreSQL + pgvector</w:t>
            </w:r>
          </w:p>
        </w:tc>
        <w:tc>
          <w:tcPr>
            <w:tcW w:type="dxa" w:w="52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All completed tasks, HITL decisions, case outcomes, pipeline traces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Semantic Memory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Qdrant + Neo4j</w:t>
            </w:r>
          </w:p>
        </w:tc>
        <w:tc>
          <w:tcPr>
            <w:tcW w:type="dxa" w:w="5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Legal corpus embeddings; citation graph; conceptual relationships (read-only by agents)</w:t>
            </w:r>
          </w:p>
        </w:tc>
      </w:tr>
      <w:tr>
        <w:tc>
          <w:tcPr>
            <w:tcW w:type="dxa" w:w="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Procedural Memory</w:t>
            </w:r>
          </w:p>
        </w:tc>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PostgreSQL (playbooks table)</w:t>
            </w:r>
          </w:p>
        </w:tc>
        <w:tc>
          <w:tcPr>
            <w:tcW w:type="dxa" w:w="52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Validated workflows, checklists, argument templates; updated by Playbook Engine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Institutional Learning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PostgreSQL (corrections + fine-tune queue)</w:t>
            </w:r>
          </w:p>
        </w:tc>
        <w:tc>
          <w:tcPr>
            <w:tcW w:type="dxa" w:w="5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Lawyer corrections, annotated diffs, approved improvements, domain fine-tuning examples</w:t>
            </w:r>
          </w:p>
        </w:tc>
      </w:tr>
    </w:tbl>
    <w:p>
      <w:pPr>
        <w:spacing w:after="160"/>
      </w:pPr>
      <w:r>
        <w:t xml:space="preserve"/>
      </w:r>
    </w:p>
    <w:p>
      <w:r>
        <w:br w:type="page"/>
      </w:r>
    </w:p>
    <w:p>
      <w:pPr>
        <w:pStyle w:val="Heading1"/>
        <w:spacing w:after="180" w:before="440"/>
      </w:pPr>
      <w:r>
        <w:rPr>
          <w:rFonts w:ascii="Arial" w:cs="Arial" w:eastAsia="Arial" w:hAnsi="Arial"/>
          <w:b/>
          <w:bCs/>
          <w:color w:val="1F4E79"/>
          <w:sz w:val="34"/>
          <w:szCs w:val="34"/>
        </w:rPr>
        <w:t xml:space="preserve">14.  AI Optimization Agent — Linguistic Authenticity Engine</w:t>
      </w:r>
    </w:p>
    <w:p>
      <w:pPr>
        <w:pBdr>
          <w:left w:val="single" w:color="1A5C1A" w:sz="18" w:space="6"/>
        </w:pBdr>
        <w:shd w:fill="E8F5E9" w:val="clear"/>
        <w:spacing w:after="80" w:before="80"/>
        <w:ind w:left="200"/>
      </w:pPr>
      <w:r>
        <w:rPr>
          <w:rFonts w:ascii="Arial" w:cs="Arial" w:eastAsia="Arial" w:hAnsi="Arial"/>
          <w:sz w:val="21"/>
          <w:szCs w:val="21"/>
        </w:rPr>
        <w:t xml:space="preserve">Novel contribution of ALMAS LAW with no published precedent in the Arabic LegalTech literature. Addresses the register-authenticity gap absent from all reviewed commercial and academic systems including Harvey AI, vLex Vincent AI, Spellbook AI, Westlaw CoCounsel, ChatLaw, and LawFlow.</w:t>
      </w:r>
    </w:p>
    <w:p>
      <w:pPr>
        <w:spacing w:after="80"/>
      </w:pPr>
      <w:r>
        <w:t xml:space="preserve"/>
      </w:r>
    </w:p>
    <w:p>
      <w:pPr>
        <w:pStyle w:val="Heading2"/>
        <w:spacing w:after="120" w:before="300"/>
      </w:pPr>
      <w:r>
        <w:rPr>
          <w:rFonts w:ascii="Arial" w:cs="Arial" w:eastAsia="Arial" w:hAnsi="Arial"/>
          <w:b/>
          <w:bCs/>
          <w:color w:val="1F4E79"/>
          <w:sz w:val="27"/>
          <w:szCs w:val="27"/>
        </w:rPr>
        <w:t xml:space="preserve">14.1  Problem Definition</w:t>
      </w:r>
    </w:p>
    <w:p>
      <w:pPr>
        <w:spacing w:after="140" w:line="330"/>
        <w:jc w:val="both"/>
      </w:pPr>
      <w:r>
        <w:rPr>
          <w:rFonts w:ascii="Arial" w:cs="Arial" w:eastAsia="Arial" w:hAnsi="Arial"/>
          <w:b w:val="false"/>
          <w:bCs w:val="false"/>
          <w:sz w:val="22"/>
          <w:szCs w:val="22"/>
        </w:rPr>
        <w:t xml:space="preserve">AI-generated Arabic text exhibits systematic identifiable signatures: (1) repetitive hedging constructions (يُلاحَظ أن، تجدر الإشارة إلى أن) at statistically anomalous frequencies; (2) unnatural sentence-length uniformity from autoregressive token generation; (3) syntactic calques from English transferred through multilingual pretraining; (4) formulaic connective patterns applied mechanically; (5) absence of the masdar density, passive-voice conventions, and idiomatic precision of authentic judicial Arabic. When AI-generated documents are identified as such they carry reduced professional credibility and may be subject to procedural challenge.</w:t>
      </w:r>
    </w:p>
    <w:p>
      <w:pPr>
        <w:pStyle w:val="Heading2"/>
        <w:spacing w:after="120" w:before="300"/>
      </w:pPr>
      <w:r>
        <w:rPr>
          <w:rFonts w:ascii="Arial" w:cs="Arial" w:eastAsia="Arial" w:hAnsi="Arial"/>
          <w:b/>
          <w:bCs/>
          <w:color w:val="1F4E79"/>
          <w:sz w:val="27"/>
          <w:szCs w:val="27"/>
        </w:rPr>
        <w:t xml:space="preserve">14.2  Academic Justification</w:t>
      </w:r>
    </w:p>
    <w:p>
      <w:pPr>
        <w:spacing w:after="140" w:line="330"/>
        <w:jc w:val="both"/>
      </w:pPr>
      <w:r>
        <w:rPr>
          <w:rFonts w:ascii="Arial" w:cs="Arial" w:eastAsia="Arial" w:hAnsi="Arial"/>
          <w:b w:val="false"/>
          <w:bCs w:val="false"/>
          <w:sz w:val="22"/>
          <w:szCs w:val="22"/>
        </w:rPr>
        <w:t xml:space="preserve">Gehrmann et al. (2019) established GLTR as a statistical detector; Mitchell et al. (2023) formalized DetectGPT probability-curvature analysis; Sadasivan et al. (2023) proved that distinct-model paraphrase rewriting substantially reduces detectability — the key finding motivating use of JAIS-30B (Sengupta et al., 2023) and Aya-23-35B (Aryabumi et al., 2024) as rewriting models. Both are distinct from the reasoning-phase models (DeepSeek-R1, Qwen), ensuring genuine disruption of the original statistical signature. Obeid et al. (2020) demonstrated CAMeL Tools' morphological validation accuracy; Alschner &amp; Skougarevskiy (2017) quantified the measurable stylometric profile of legal text, establishing the feasibility of automated register assessment.</w:t>
      </w:r>
    </w:p>
    <w:p>
      <w:pPr>
        <w:pStyle w:val="Heading2"/>
        <w:spacing w:after="120" w:before="300"/>
      </w:pPr>
      <w:r>
        <w:rPr>
          <w:rFonts w:ascii="Arial" w:cs="Arial" w:eastAsia="Arial" w:hAnsi="Arial"/>
          <w:b/>
          <w:bCs/>
          <w:color w:val="1F4E79"/>
          <w:sz w:val="27"/>
          <w:szCs w:val="27"/>
        </w:rPr>
        <w:t xml:space="preserve">14.3  Five-Stage Processing Pipeline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400"/>
        <w:gridCol w:w="3000"/>
        <w:gridCol w:w="1480"/>
      </w:tblGrid>
      <w:tr>
        <w:trPr>
          <w:tblHeader/>
        </w:trP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Stage</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Sub-Component</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Tool / Model</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Function</w:t>
            </w:r>
          </w:p>
        </w:tc>
        <w:tc>
          <w:tcPr>
            <w:tcW w:type="dxa" w:w="1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Threshold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AO-1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 Signature Analyzer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AraELECTRA fine-tuned on Arabic AI/human text pairs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Per-paragraph AI-detectability score</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Score ≤ 0.15 to pass</w:t>
            </w:r>
          </w:p>
        </w:tc>
      </w:tr>
      <w:tr>
        <w:tc>
          <w:tcPr>
            <w:tcW w:type="dxa" w:w="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AO-2</w:t>
            </w:r>
          </w:p>
        </w:tc>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Legal Register Comparator</w:t>
            </w:r>
          </w:p>
        </w:tc>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AraLegal-BERT cosine similarity vs. LASRC</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Stylometric gap from authentic Egyptian judicial Arabic</w:t>
            </w:r>
          </w:p>
        </w:tc>
        <w:tc>
          <w:tcPr>
            <w:tcW w:type="dxa" w:w="14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Score ≥ 0.85 to pass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AO-3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Stylistic Rewriter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JAIS-30B (primary) / Aya-23-35B (fallback)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Rewrites failing sections using 3–5 LASRC in-context style examples; temp = 0.2</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sections pass AO-1 + AO-2</w:t>
            </w:r>
          </w:p>
        </w:tc>
      </w:tr>
      <w:tr>
        <w:tc>
          <w:tcPr>
            <w:tcW w:type="dxa" w:w="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AO-4</w:t>
            </w:r>
          </w:p>
        </w:tc>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Morphological Validator</w:t>
            </w:r>
          </w:p>
        </w:tc>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CAMeL Tools MorphAn</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Verifies diacritization, lemma correctness, cliticization of rewritten text</w:t>
            </w:r>
          </w:p>
        </w:tc>
        <w:tc>
          <w:tcPr>
            <w:tcW w:type="dxa" w:w="14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morphological_compliance = True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AO-5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Quality Scorer + Citation Guard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AO-1 + AO-2 re-run + citation registry diff</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Confirms thresholds met; verifies no citation was altered during rewriting</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citations_preserved = True</w:t>
            </w:r>
          </w:p>
        </w:tc>
      </w:tr>
    </w:tbl>
    <w:p>
      <w:pPr>
        <w:spacing w:after="80"/>
      </w:pPr>
      <w:r>
        <w:t xml:space="preserve"/>
      </w:r>
    </w:p>
    <w:p>
      <w:pPr>
        <w:pStyle w:val="Heading2"/>
        <w:spacing w:after="120" w:before="300"/>
      </w:pPr>
      <w:r>
        <w:rPr>
          <w:rFonts w:ascii="Arial" w:cs="Arial" w:eastAsia="Arial" w:hAnsi="Arial"/>
          <w:b/>
          <w:bCs/>
          <w:color w:val="1F4E79"/>
          <w:sz w:val="27"/>
          <w:szCs w:val="27"/>
        </w:rPr>
        <w:t xml:space="preserve">14.4  Legal Arabic Style Reference Corpus (LASRC)</w:t>
      </w:r>
    </w:p>
    <w:p>
      <w:pPr>
        <w:spacing w:after="140" w:line="330"/>
        <w:jc w:val="both"/>
      </w:pPr>
      <w:r>
        <w:rPr>
          <w:rFonts w:ascii="Arial" w:cs="Arial" w:eastAsia="Arial" w:hAnsi="Arial"/>
          <w:b w:val="false"/>
          <w:bCs w:val="false"/>
          <w:sz w:val="22"/>
          <w:szCs w:val="22"/>
        </w:rPr>
        <w:t xml:space="preserve">The LASRC comprises 10,000 Egyptian Court of Cassation rulings (2000–2025) and 5,000 attorney-authored legal memorandums characterized across twelve stylometric dimensions: average sentence length, subordinate clause density, passive voice frequency, formulaic phrase density, masdar (verbal noun) usage rate, statutory citation placement convention, morphological complexity index, lexical density, rhetorical connective patterns, paragraph length distribution, argument structure sequence, and discourse marker frequency.</w:t>
      </w:r>
    </w:p>
    <w:p>
      <w:pPr>
        <w:pStyle w:val="Heading2"/>
        <w:spacing w:after="120" w:before="300"/>
      </w:pPr>
      <w:r>
        <w:rPr>
          <w:rFonts w:ascii="Arial" w:cs="Arial" w:eastAsia="Arial" w:hAnsi="Arial"/>
          <w:b/>
          <w:bCs/>
          <w:color w:val="1F4E79"/>
          <w:sz w:val="27"/>
          <w:szCs w:val="27"/>
        </w:rPr>
        <w:t xml:space="preserve">14.5  Citation Preservation Guarantee</w:t>
      </w:r>
    </w:p>
    <w:p>
      <w:pPr>
        <w:spacing w:after="140" w:line="330"/>
        <w:jc w:val="both"/>
      </w:pPr>
      <w:r>
        <w:rPr>
          <w:rFonts w:ascii="Arial" w:cs="Arial" w:eastAsia="Arial" w:hAnsi="Arial"/>
          <w:b w:val="false"/>
          <w:bCs w:val="false"/>
          <w:sz w:val="22"/>
          <w:szCs w:val="22"/>
        </w:rPr>
        <w:t xml:space="preserve">Citations are embedded as structured tokens ({cite:art_id:article_num}) before AO-3 rewriting. The rewriting prompt explicitly instructs JAIS/Aya-23 to preserve all cite tokens verbatim. AO-5 diffs the citation registry before and after rewriting; if any citation is altered or removed, that section reverts to pre-rewriting state with a CITATION_INTEGRITY_FAILURE flag for HITL review. This guarantee ensures Knowledge Validation Engine citation verification remains valid after optimization.</w:t>
      </w:r>
    </w:p>
    <w:p>
      <w:pPr>
        <w:pStyle w:val="Heading2"/>
        <w:spacing w:after="120" w:before="300"/>
      </w:pPr>
      <w:r>
        <w:rPr>
          <w:rFonts w:ascii="Arial" w:cs="Arial" w:eastAsia="Arial" w:hAnsi="Arial"/>
          <w:b/>
          <w:bCs/>
          <w:color w:val="1F4E79"/>
          <w:sz w:val="27"/>
          <w:szCs w:val="27"/>
        </w:rPr>
        <w:t xml:space="preserve">14.6  Pipeline Position</w:t>
      </w:r>
    </w:p>
    <w:p>
      <w:pPr>
        <w:spacing w:after="140" w:line="330"/>
        <w:jc w:val="both"/>
      </w:pPr>
      <w:r>
        <w:rPr>
          <w:rFonts w:ascii="Arial" w:cs="Arial" w:eastAsia="Arial" w:hAnsi="Arial"/>
          <w:b w:val="false"/>
          <w:bCs w:val="false"/>
          <w:sz w:val="22"/>
          <w:szCs w:val="22"/>
        </w:rPr>
        <w:t xml:space="preserve">The AI Optimization Agent is positioned after Knowledge Validation Engine (CP-05 — citations verified before rewriting) and before Explainability Engine (reasoning trace reflects final optimized text). HITL attorneys receive linguistically authentic Arabic. The Legal Audit Engine records the post-optimization output hash as the approved version.</w:t>
      </w:r>
    </w:p>
    <w:p>
      <w:pPr>
        <w:spacing w:after="160"/>
      </w:pPr>
      <w:r>
        <w:t xml:space="preserve"/>
      </w:r>
    </w:p>
    <w:p>
      <w:r>
        <w:br w:type="page"/>
      </w:r>
    </w:p>
    <w:p>
      <w:pPr>
        <w:pStyle w:val="Heading1"/>
        <w:spacing w:after="180" w:before="440"/>
      </w:pPr>
      <w:r>
        <w:rPr>
          <w:rFonts w:ascii="Arial" w:cs="Arial" w:eastAsia="Arial" w:hAnsi="Arial"/>
          <w:b/>
          <w:bCs/>
          <w:color w:val="1F4E79"/>
          <w:sz w:val="34"/>
          <w:szCs w:val="34"/>
        </w:rPr>
        <w:t xml:space="preserve">15.  Complete Pipeline Plan: Client Input to Final Output</w:t>
      </w:r>
    </w:p>
    <w:p>
      <w:pPr>
        <w:spacing w:after="140" w:line="330"/>
        <w:jc w:val="both"/>
      </w:pPr>
      <w:r>
        <w:rPr>
          <w:rFonts w:ascii="Arial" w:cs="Arial" w:eastAsia="Arial" w:hAnsi="Arial"/>
          <w:b w:val="false"/>
          <w:bCs w:val="false"/>
          <w:sz w:val="22"/>
          <w:szCs w:val="22"/>
        </w:rPr>
        <w:t xml:space="preserve">The following sixteen-stage specification is the authoritative execution model for ALMAS LAW v2.2. It is simultaneously the LangGraph implementation guide, the QA acceptance-test specification, and the foundation for the Audit Trail time-sequence.</w:t>
      </w:r>
    </w:p>
    <w:p>
      <w:pPr>
        <w:pStyle w:val="Heading2"/>
        <w:spacing w:after="120" w:before="300"/>
      </w:pPr>
      <w:r>
        <w:rPr>
          <w:rFonts w:ascii="Arial" w:cs="Arial" w:eastAsia="Arial" w:hAnsi="Arial"/>
          <w:b/>
          <w:bCs/>
          <w:color w:val="1F4E79"/>
          <w:sz w:val="27"/>
          <w:szCs w:val="27"/>
        </w:rPr>
        <w:t xml:space="preserve">15.1  Pipeline Architecture Diagram</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ALMAS LAW v2.2 — SIXTEEN-STAGE PIPELINE PLAN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[CLIENT INPUT — Arabic text (any dialect) or English]</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  STAGE 01 — PRIVACY GATEWAY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  Anonymize (PL4), Pseudonymize (Whistledown, PL3), Mask, Tokenize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  Portcullis TEE active if Hardened Deployment Tier enabled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  → PrivacyProtectedInput schema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  STAGE 02 — ARABIC LEGAL LANGUAGE ENGINE (ALLE)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  Dialect → Normalize → NER → Intent → NormalizedLegalQuery [CP-01]│</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  STAGE 03 — SUPERVISOR AGENT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  Task decomposition + Playbook activation + Redis state init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  AMR consulted → Zero Trust tokens scoped per sub-task issued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  STAGE 04 — RETRIEVAL INTELLIGENCE ENGINE (RIE)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  BM25 + Qdrant ANN + Neo4j graph + RRF + re-rank → RCS gate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  → LegalResearchResult [CP-02]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  STAGE 05              │   │  STAGE 06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  RESEARCH AGENT        │◄─►│  REASONING AGENT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  Qdrant ANN + Neo4j    │   │  IRAC + Chain-of-Thought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  CBR from Episodic Mem │   │  Agent Debate Protocol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  [CP-03 consensus]</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  STAGE 07 — EVIDENCE MAPPING ENGINE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  Fact→statute mapping; SUPPORT/OPPOSE/NEUTRAL tags; Neo4j subgraph│</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  STAGE 08 — LEGAL REASONING ENGINE (Engine 08)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  Citation-locked IRAC draft; Pydantic enforcement; INSUFF flag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  → LegalDraftOutput [CP-04]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  STAGE 09 — DRAFTING AGENT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  Sequential sectional drafting; citation registry via Redis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  Litigation Strategy Engine (11) integrated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  STAGE 10 — KNOWLEDGE VALIDATION ENGINE (Engine 16) [CP-05]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  L1: Schema  |  L2: Citation verify  |  L3: Logic check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  FAIL → retry ×3 → ESCALATE  |  PASS → Stage 11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  STAGE 11 — AI OPTIMIZATION AGENT  ★ (§14)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  AO-1 detect → AO-2 register compare → AO-3 JAIS rewrite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  AO-4 morphology validate → AO-5 cite guard + quality score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  FAIL → re-run ×2 → ESCALATE  |  PASS [CP-06] → Stage 12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  STAGE 12 — EXPLAINABILITY ENGINE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  LangGraph trace extraction → Reasoning Report → confidence annot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  STAGE 13 — REVIEW AGENT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  MSA register QA + completeness check + risk flag insertion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  STAGE 14 — HUMAN-IN-THE-LOOP GATEWAY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  Lawyer receives: Output | Reasoning Report | Evidence Map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                   Confidence Scores | Risk Flags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  ✓ APPROVE → Stage 15 → Stage 16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  ✎ CORRECT → Capture correction → Stage 15 → Stage 16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  ✗ REJECT  → Stage 03 restart with rejection guidance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  STAGE 15 — INSTITUTIONAL LEARNING ENGINE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  Correction → Episodic Memory + Institutional Learning Memory (T5)│</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  Pattern detection → Playbook refinement proposal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  STAGE 16 — OUTPUT DELIVERY + LEGAL AUDIT ENGINE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  Arabic DOCX/PDF generation + RTL formatting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  Whistledown: pseudonyms → real names in approved final document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  Legal Audit Engine (Engine 17): legal responsibility record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  PostgreSQL permanent record; Redis cleanup; Audit Trail archival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w:t>
      </w:r>
    </w:p>
    <w:p>
      <w:pPr>
        <w:spacing w:after="80"/>
      </w:pPr>
      <w:r>
        <w:t xml:space="preserve"/>
      </w:r>
    </w:p>
    <w:p>
      <w:pPr>
        <w:pStyle w:val="Heading2"/>
        <w:spacing w:after="120" w:before="300"/>
      </w:pPr>
      <w:r>
        <w:rPr>
          <w:rFonts w:ascii="Arial" w:cs="Arial" w:eastAsia="Arial" w:hAnsi="Arial"/>
          <w:b/>
          <w:bCs/>
          <w:color w:val="1F4E79"/>
          <w:sz w:val="27"/>
          <w:szCs w:val="27"/>
        </w:rPr>
        <w:t xml:space="preserve">15.2  Stage Reference 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2200"/>
        <w:gridCol w:w="2200"/>
        <w:gridCol w:w="2280"/>
      </w:tblGrid>
      <w:tr>
        <w:trPr>
          <w:tblHeader/>
        </w:trP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Stage</w:t>
            </w:r>
          </w:p>
        </w:tc>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Component</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Input Schema</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Output Schema</w:t>
            </w:r>
          </w:p>
        </w:tc>
        <w:tc>
          <w:tcPr>
            <w:tcW w:type="dxa" w:w="2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Failure Protocol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Privacy Gateway + Whistledown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Raw client text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PrivacyProtectedInput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Retry anonymization; halt on PII detection failure</w:t>
            </w:r>
          </w:p>
        </w:tc>
      </w:tr>
      <w:tr>
        <w:tc>
          <w:tcPr>
            <w:tcW w:type="dxa" w:w="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02</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ALLE</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PrivacyProtectedInput</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NormalizedLegalQuery [CP-01]</w:t>
            </w:r>
          </w:p>
        </w:tc>
        <w:tc>
          <w:tcPr>
            <w:tcW w:type="dxa" w:w="22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Retry; escalate on unresolvable dialect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Supervisor Agent + AMR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NormalizedLegalQuery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TaskDecomposition + ModelAssignment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Log; alert operator; graceful degradation</w:t>
            </w:r>
          </w:p>
        </w:tc>
      </w:tr>
      <w:tr>
        <w:tc>
          <w:tcPr>
            <w:tcW w:type="dxa" w:w="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04</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RIE</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TaskDecomposition</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LegalResearchResult [CP-02]</w:t>
            </w:r>
          </w:p>
        </w:tc>
        <w:tc>
          <w:tcPr>
            <w:tcW w:type="dxa" w:w="22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Re-query expanded terms; escalate ×3</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Research Agent (parallel)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LegalResearchResult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EvidencePackage (partial)</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Targeted re-retrieval for evidence gaps</w:t>
            </w:r>
          </w:p>
        </w:tc>
      </w:tr>
      <w:tr>
        <w:tc>
          <w:tcPr>
            <w:tcW w:type="dxa" w:w="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06</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Reasoning Agent (parallel)</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LegalResearchResult</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ReasoningAnalysis</w:t>
            </w:r>
          </w:p>
        </w:tc>
        <w:tc>
          <w:tcPr>
            <w:tcW w:type="dxa" w:w="22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Debate protocol for conflicting hypotheses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Evidence Mapping Engine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Consensus [CP-03]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EvidencePackage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Return to Stage 06 with gap specification</w:t>
            </w:r>
          </w:p>
        </w:tc>
      </w:tr>
      <w:tr>
        <w:tc>
          <w:tcPr>
            <w:tcW w:type="dxa" w:w="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08</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Legal Reasoning Engine</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EvidencePackage</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LegalDraftOutput [CP-04]</w:t>
            </w:r>
          </w:p>
        </w:tc>
        <w:tc>
          <w:tcPr>
            <w:tcW w:type="dxa" w:w="22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INSUFFICIENT_SOURCES flag; route to HITL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09</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Drafting Agent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LegalDraftOutput + StrategyReport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LegalDraftOutput (complete)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Retry section; revert to Stage 08 if coherence fails</w:t>
            </w:r>
          </w:p>
        </w:tc>
      </w:tr>
      <w:tr>
        <w:tc>
          <w:tcPr>
            <w:tcW w:type="dxa" w:w="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Knowledge Validation Engine</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LegalDraftOutput</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CitationValidationReport [CP-05]</w:t>
            </w:r>
          </w:p>
        </w:tc>
        <w:tc>
          <w:tcPr>
            <w:tcW w:type="dxa" w:w="22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Retry ×3; escalate with diagnostic report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 Optimization Agent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Validated LegalDraftOutput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OptimizedLegalText [CP-06]</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Re-run ×2; ESCALATE if thresholds unmet</w:t>
            </w:r>
          </w:p>
        </w:tc>
      </w:tr>
      <w:tr>
        <w:tc>
          <w:tcPr>
            <w:tcW w:type="dxa" w:w="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12</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Explainability Engine</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OptimizedLegalText + LG trace</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ExplainabilityReport</w:t>
            </w:r>
          </w:p>
        </w:tc>
        <w:tc>
          <w:tcPr>
            <w:tcW w:type="dxa" w:w="22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Partial report; flag gaps to HITL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Review Agent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OptimizedLegalText + Report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ReviewedLegalOutput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Flag issues; do not block delivery</w:t>
            </w:r>
          </w:p>
        </w:tc>
      </w:tr>
      <w:tr>
        <w:tc>
          <w:tcPr>
            <w:tcW w:type="dxa" w:w="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HITL Gateway</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ReviewedLegalOutput (4 panels)</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LawyerDecision</w:t>
            </w:r>
          </w:p>
        </w:tc>
        <w:tc>
          <w:tcPr>
            <w:tcW w:type="dxa" w:w="22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Human action required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Institutional Learning Engine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LawyerDecision (if CORRECT)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LearningRecord</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Log failure; do not block release</w:t>
            </w:r>
          </w:p>
        </w:tc>
      </w:tr>
      <w:tr>
        <w:tc>
          <w:tcPr>
            <w:tcW w:type="dxa" w:w="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16</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Output Delivery + Legal Audit Engine</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ApprovedOutput</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FinalLegalDocument + AuditRecord</w:t>
            </w:r>
          </w:p>
        </w:tc>
        <w:tc>
          <w:tcPr>
            <w:tcW w:type="dxa" w:w="22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Preserve in Redis buffer on error</w:t>
            </w:r>
          </w:p>
        </w:tc>
      </w:tr>
    </w:tbl>
    <w:p>
      <w:pPr>
        <w:spacing w:after="160"/>
      </w:pPr>
      <w:r>
        <w:t xml:space="preserve"/>
      </w:r>
    </w:p>
    <w:p>
      <w:r>
        <w:br w:type="page"/>
      </w:r>
    </w:p>
    <w:p>
      <w:pPr>
        <w:pStyle w:val="Heading1"/>
        <w:spacing w:after="180" w:before="440"/>
      </w:pPr>
      <w:r>
        <w:rPr>
          <w:rFonts w:ascii="Arial" w:cs="Arial" w:eastAsia="Arial" w:hAnsi="Arial"/>
          <w:b/>
          <w:bCs/>
          <w:color w:val="1F4E79"/>
          <w:sz w:val="34"/>
          <w:szCs w:val="34"/>
        </w:rPr>
        <w:t xml:space="preserve">16.  Agent Communication Protocol</w:t>
      </w:r>
    </w:p>
    <w:p>
      <w:pPr>
        <w:pStyle w:val="Heading2"/>
        <w:spacing w:after="120" w:before="300"/>
      </w:pPr>
      <w:r>
        <w:rPr>
          <w:rFonts w:ascii="Arial" w:cs="Arial" w:eastAsia="Arial" w:hAnsi="Arial"/>
          <w:b/>
          <w:bCs/>
          <w:color w:val="1F4E79"/>
          <w:sz w:val="27"/>
          <w:szCs w:val="27"/>
        </w:rPr>
        <w:t xml:space="preserve">16.1  Canonical Message Envelope</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"message_id":      "UUID4",</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"timestamp":       "ISO 8601 UTC",</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"sender_agent":    "supervisor|research|reasoning|drafting|review|validation|compliance",</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"receiver_agent":  "supervisor|research|reasoning|drafting|review|hitl|compliance",</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"session_id":      "UUID4  — ties message to active lawyer session",</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"task_id":         "UUID4  — ties message to originating task",</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"message_type":    "TASK_ASSIGNMENT|EVIDENCE_PACKAGE|REASONING_OUTPUT|</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REVIEW_DRAFT|VALIDATION_RESULT|ESCALATION|CORRECTION",</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"payload":         { /* message_type-specific Pydantic BaseModel */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"confidence":      0.0–1.0,</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"citations":       ["source_id:article_ref", ...],</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"zero_trust_token":"scoped bearer token for this task (from Keycloak)",</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"retry_count":     0–3,</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  "status":          "PENDING|IN_PROGRESS|COMPLETE|FAILED|ESCALATED"</w:t>
      </w:r>
    </w:p>
    <w:p>
      <w:pPr>
        <w:pBdr>
          <w:left w:val="single" w:color="1F4E79" w:sz="14" w:space="4"/>
        </w:pBdr>
        <w:shd w:fill="EFF4FB" w:val="clear"/>
        <w:spacing w:after="40" w:before="40"/>
      </w:pPr>
      <w:r>
        <w:rPr>
          <w:rFonts w:ascii="Courier New" w:cs="Courier New" w:eastAsia="Courier New" w:hAnsi="Courier New"/>
          <w:color w:val="1A2A4A"/>
          <w:sz w:val="18"/>
          <w:szCs w:val="18"/>
        </w:rPr>
        <w:t xml:space="preserve">}</w:t>
      </w:r>
    </w:p>
    <w:p>
      <w:pPr>
        <w:spacing w:after="80"/>
      </w:pPr>
      <w:r>
        <w:t xml:space="preserve"/>
      </w:r>
    </w:p>
    <w:p>
      <w:pPr>
        <w:pStyle w:val="Heading2"/>
        <w:spacing w:after="120" w:before="300"/>
      </w:pPr>
      <w:r>
        <w:rPr>
          <w:rFonts w:ascii="Arial" w:cs="Arial" w:eastAsia="Arial" w:hAnsi="Arial"/>
          <w:b/>
          <w:bCs/>
          <w:color w:val="1F4E79"/>
          <w:sz w:val="27"/>
          <w:szCs w:val="27"/>
        </w:rPr>
        <w:t xml:space="preserve">16.2  Routing and Supervisor Control Rules</w:t>
      </w:r>
    </w:p>
    <w:p>
      <w:pPr>
        <w:pStyle w:val="ListParagraph"/>
        <w:numPr>
          <w:ilvl w:val="0"/>
          <w:numId w:val="2"/>
        </w:numPr>
        <w:spacing w:after="80"/>
      </w:pPr>
      <w:r>
        <w:rPr>
          <w:rFonts w:ascii="Arial" w:cs="Arial" w:eastAsia="Arial" w:hAnsi="Arial"/>
          <w:sz w:val="22"/>
          <w:szCs w:val="22"/>
        </w:rPr>
        <w:t xml:space="preserve">Supervisor Agent is sole initiator of TASK_ASSIGNMENT messages. No agent may directly task another.</w:t>
      </w:r>
    </w:p>
    <w:p>
      <w:pPr>
        <w:pStyle w:val="ListParagraph"/>
        <w:numPr>
          <w:ilvl w:val="0"/>
          <w:numId w:val="2"/>
        </w:numPr>
        <w:spacing w:after="80"/>
      </w:pPr>
      <w:r>
        <w:rPr>
          <w:rFonts w:ascii="Arial" w:cs="Arial" w:eastAsia="Arial" w:hAnsi="Arial"/>
          <w:sz w:val="22"/>
          <w:szCs w:val="22"/>
        </w:rPr>
        <w:t xml:space="preserve">EVIDENCE_PACKAGE messages originate only from Research Agent; delivered only to Reasoning Agent or Evidence Mapping Engine.</w:t>
      </w:r>
    </w:p>
    <w:p>
      <w:pPr>
        <w:pStyle w:val="ListParagraph"/>
        <w:numPr>
          <w:ilvl w:val="0"/>
          <w:numId w:val="2"/>
        </w:numPr>
        <w:spacing w:after="80"/>
      </w:pPr>
      <w:r>
        <w:rPr>
          <w:rFonts w:ascii="Arial" w:cs="Arial" w:eastAsia="Arial" w:hAnsi="Arial"/>
          <w:sz w:val="22"/>
          <w:szCs w:val="22"/>
        </w:rPr>
        <w:t xml:space="preserve">ESCALATION messages are generated by any agent on retry_count = 3 and must route to HITL Gateway.</w:t>
      </w:r>
    </w:p>
    <w:p>
      <w:pPr>
        <w:pStyle w:val="ListParagraph"/>
        <w:numPr>
          <w:ilvl w:val="0"/>
          <w:numId w:val="2"/>
        </w:numPr>
        <w:spacing w:after="80"/>
      </w:pPr>
      <w:r>
        <w:rPr>
          <w:rFonts w:ascii="Arial" w:cs="Arial" w:eastAsia="Arial" w:hAnsi="Arial"/>
          <w:sz w:val="22"/>
          <w:szCs w:val="22"/>
        </w:rPr>
        <w:t xml:space="preserve">CORRECTION messages originate exclusively from HITL Gateway; delivered to Supervisor Agent for next-cycle injection.</w:t>
      </w:r>
    </w:p>
    <w:p>
      <w:pPr>
        <w:pStyle w:val="ListParagraph"/>
        <w:numPr>
          <w:ilvl w:val="0"/>
          <w:numId w:val="2"/>
        </w:numPr>
        <w:spacing w:after="80"/>
      </w:pPr>
      <w:r>
        <w:rPr>
          <w:rFonts w:ascii="Arial" w:cs="Arial" w:eastAsia="Arial" w:hAnsi="Arial"/>
          <w:sz w:val="22"/>
          <w:szCs w:val="22"/>
        </w:rPr>
        <w:t xml:space="preserve">Every message is persisted to the Redis audit buffer before delivery; Legal Audit Engine receives HITL-relevant messages in real time.</w:t>
      </w:r>
    </w:p>
    <w:p>
      <w:pPr>
        <w:spacing w:after="160"/>
      </w:pPr>
      <w:r>
        <w:t xml:space="preserve"/>
      </w:r>
    </w:p>
    <w:p>
      <w:r>
        <w:br w:type="page"/>
      </w:r>
    </w:p>
    <w:p>
      <w:pPr>
        <w:pStyle w:val="Heading1"/>
        <w:spacing w:after="180" w:before="440"/>
      </w:pPr>
      <w:r>
        <w:rPr>
          <w:rFonts w:ascii="Arial" w:cs="Arial" w:eastAsia="Arial" w:hAnsi="Arial"/>
          <w:b/>
          <w:bCs/>
          <w:color w:val="1F4E79"/>
          <w:sz w:val="34"/>
          <w:szCs w:val="34"/>
        </w:rPr>
        <w:t xml:space="preserve">17.  Five-Tier Long-Term Memory Architecture</w:t>
      </w:r>
    </w:p>
    <w:p>
      <w:pPr>
        <w:spacing w:after="140" w:line="330"/>
        <w:jc w:val="both"/>
      </w:pPr>
      <w:r>
        <w:rPr>
          <w:rFonts w:ascii="Arial" w:cs="Arial" w:eastAsia="Arial" w:hAnsi="Arial"/>
          <w:b w:val="false"/>
          <w:bCs w:val="false"/>
          <w:sz w:val="22"/>
          <w:szCs w:val="22"/>
        </w:rPr>
        <w:t xml:space="preserve">The v2.2 memory architecture extends prior versions by separating Institutional Learning Memory as a dedicated fifth tier. Episodic Memory records all completed task events including unapproved outputs; Institutional Learning Memory records only lawyer-validated corrections cleared for use in fine-tuning — a categorically critical distinction for data-governance and model-improvement pipelines.</w:t>
      </w:r>
    </w:p>
    <w:p>
      <w:pPr>
        <w:pBdr>
          <w:left w:val="single" w:color="7B0000" w:sz="18" w:space="6"/>
        </w:pBdr>
        <w:shd w:fill="FDECEA" w:val="clear"/>
        <w:spacing w:after="80" w:before="80"/>
        <w:ind w:left="200"/>
      </w:pPr>
      <w:r>
        <w:rPr>
          <w:rFonts w:ascii="Arial" w:cs="Arial" w:eastAsia="Arial" w:hAnsi="Arial"/>
          <w:sz w:val="21"/>
          <w:szCs w:val="21"/>
        </w:rPr>
        <w:t xml:space="preserve">Fine-tuning pipelines MUST consume ONLY Tier 5 (Institutional Learning Memory) data. Consuming Tier 2 (Episodic Memory) without attorney validation risks training on unapproved or incorrect outputs.</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200"/>
        <w:gridCol w:w="3200"/>
        <w:gridCol w:w="2280"/>
      </w:tblGrid>
      <w:tr>
        <w:trPr>
          <w:tblHeader/>
        </w:trP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Tier</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Type</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Storage</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Content</w:t>
            </w:r>
          </w:p>
        </w:tc>
        <w:tc>
          <w:tcPr>
            <w:tcW w:type="dxa" w:w="2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Access Control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Working Memory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LangGraph state + Redis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Active pipeline state: task spec, retrieved docs, agent messages, retry state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R/W per agent call; cleared on pipeline completion</w:t>
            </w:r>
          </w:p>
        </w:tc>
      </w:tr>
      <w:tr>
        <w:tc>
          <w:tcPr>
            <w:tcW w:type="dxa" w:w="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Episodic Memory</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PostgreSQL + pgvector</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All completed tasks, HITL decisions, case outcomes, pipeline traces</w:t>
            </w:r>
          </w:p>
        </w:tc>
        <w:tc>
          <w:tcPr>
            <w:tcW w:type="dxa" w:w="22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Research Agent (R via RIE); HITL (W); Institutional Learning Engine (R)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Semantic Memory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Qdrant + Neo4j</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Legal corpus embeddings; citation graph; conceptual relationships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Read-only by all agents; updated by Knowledge Agent + Legal Update Engine only</w:t>
            </w:r>
          </w:p>
        </w:tc>
      </w:tr>
      <w:tr>
        <w:tc>
          <w:tcPr>
            <w:tcW w:type="dxa" w:w="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Procedural Memory</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PostgreSQL (playbooks)</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Validated workflows, checklists, argument templates, best-practice sequences</w:t>
            </w:r>
          </w:p>
        </w:tc>
        <w:tc>
          <w:tcPr>
            <w:tcW w:type="dxa" w:w="22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Supervisor Agent (R); Legal Playbook Engine (R/W); Senior Attorney approval for updates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Institutional Learning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PostgreSQL (corrections + fine-tune queue)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Lawyer corrections, annotated diffs, approved improvements, domain fine-tuning examples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Institutional Learning Engine (W); Fine-tuning pipeline (R); No agent direct access</w:t>
            </w:r>
          </w:p>
        </w:tc>
      </w:tr>
    </w:tbl>
    <w:p>
      <w:pPr>
        <w:spacing w:after="160"/>
      </w:pPr>
      <w:r>
        <w:t xml:space="preserve"/>
      </w:r>
    </w:p>
    <w:p>
      <w:r>
        <w:br w:type="page"/>
      </w:r>
    </w:p>
    <w:p>
      <w:pPr>
        <w:pStyle w:val="Heading1"/>
        <w:spacing w:after="180" w:before="440"/>
      </w:pPr>
      <w:r>
        <w:rPr>
          <w:rFonts w:ascii="Arial" w:cs="Arial" w:eastAsia="Arial" w:hAnsi="Arial"/>
          <w:b/>
          <w:bCs/>
          <w:color w:val="1F4E79"/>
          <w:sz w:val="34"/>
          <w:szCs w:val="34"/>
        </w:rPr>
        <w:t xml:space="preserve">18.  Knowledge Graph Layer (Neo4j)</w:t>
      </w:r>
    </w:p>
    <w:p>
      <w:pPr>
        <w:spacing w:after="140" w:line="330"/>
        <w:jc w:val="both"/>
      </w:pPr>
      <w:r>
        <w:rPr>
          <w:rFonts w:ascii="Arial" w:cs="Arial" w:eastAsia="Arial" w:hAnsi="Arial"/>
          <w:b w:val="false"/>
          <w:bCs w:val="false"/>
          <w:sz w:val="22"/>
          <w:szCs w:val="22"/>
        </w:rPr>
        <w:t xml:space="preserve">The Legal Citation Graph encodes the relational structure of the Egyptian legal corpus as a directed property graph, providing multi-hop citation traversal, conflicting-interpretation detection, and definitional lineage extraction unavailable to flat vector retrieval (Lam et al., 2021).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4480"/>
      </w:tblGrid>
      <w:tr>
        <w:trPr>
          <w:tblHeader/>
        </w:trP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Node Type</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Key Properties</w:t>
            </w:r>
          </w:p>
        </w:tc>
        <w:tc>
          <w:tcPr>
            <w:tcW w:type="dxa" w:w="4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Represents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Article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article_id, code_name, article_num, text, status, amendment_date</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 single statutory article from Egyptian law</w:t>
            </w:r>
          </w:p>
        </w:tc>
      </w:tr>
      <w:tr>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Case</w:t>
            </w:r>
          </w:p>
        </w:tc>
        <w:tc>
          <w:tcPr>
            <w:tcW w:type="dxa" w:w="3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case_id, court, chamber, date, ruling_text, citation_count</w:t>
            </w:r>
          </w:p>
        </w:tc>
        <w:tc>
          <w:tcPr>
            <w:tcW w:type="dxa" w:w="44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A Court of Cassation ruling or published precedent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LegalConcept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concept_id, name, definition_source, domain</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Abstract legal concept (force majeure, legal personality, etc.)</w:t>
            </w:r>
          </w:p>
        </w:tc>
      </w:tr>
      <w:tr>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Scholar</w:t>
            </w:r>
          </w:p>
        </w:tc>
        <w:tc>
          <w:tcPr>
            <w:tcW w:type="dxa" w:w="3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scholar_id, name, era, major_works</w:t>
            </w:r>
          </w:p>
        </w:tc>
        <w:tc>
          <w:tcPr>
            <w:tcW w:type="dxa" w:w="44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Authoritative jurisprudential commentator (e.g., el-Sanhouri)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LegalCode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code_id, name, year, current_version</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 complete Egyptian legal code as a metadata anchor node</w:t>
            </w:r>
          </w:p>
        </w:tc>
      </w:tr>
    </w:tbl>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400"/>
        <w:gridCol w:w="4080"/>
      </w:tblGrid>
      <w:tr>
        <w:trPr>
          <w:tblHeader/>
        </w:trP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Relationship</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Direction</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Properties</w:t>
            </w:r>
          </w:p>
        </w:tc>
        <w:tc>
          <w:tcPr>
            <w:tcW w:type="dxa" w:w="40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Query Capability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CITES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Article → Article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citation_type, strength</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Find all articles citing a given provision (multi-hop traversal)</w:t>
            </w:r>
          </w:p>
        </w:tc>
      </w:tr>
      <w:tr>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INTERPRETS</w:t>
            </w:r>
          </w:p>
        </w:tc>
        <w:tc>
          <w:tcPr>
            <w:tcW w:type="dxa" w:w="1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Case → Article</w:t>
            </w:r>
          </w:p>
        </w:tc>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interpretation_type, year</w:t>
            </w:r>
          </w:p>
        </w:tc>
        <w:tc>
          <w:tcPr>
            <w:tcW w:type="dxa" w:w="40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Find all precedents interpreting an article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AMENDS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Article → Article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amendment_date, type</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Track complete legislative history of a provision</w:t>
            </w:r>
          </w:p>
        </w:tc>
      </w:tr>
      <w:tr>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DEFINES</w:t>
            </w:r>
          </w:p>
        </w:tc>
        <w:tc>
          <w:tcPr>
            <w:tcW w:type="dxa" w:w="1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Article → LegalConcept</w:t>
            </w:r>
          </w:p>
        </w:tc>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completeness</w:t>
            </w:r>
          </w:p>
        </w:tc>
        <w:tc>
          <w:tcPr>
            <w:tcW w:type="dxa" w:w="40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Authoritative concept definition lookup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CONFLICTS_WITH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Case → Case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conflict_type, resolution_status</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Identify split judicial interpretations</w:t>
            </w:r>
          </w:p>
        </w:tc>
      </w:tr>
      <w:tr>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SUPERSEDES</w:t>
            </w:r>
          </w:p>
        </w:tc>
        <w:tc>
          <w:tcPr>
            <w:tcW w:type="dxa" w:w="1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Article → Article</w:t>
            </w:r>
          </w:p>
        </w:tc>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effective_date</w:t>
            </w:r>
          </w:p>
        </w:tc>
        <w:tc>
          <w:tcPr>
            <w:tcW w:type="dxa" w:w="40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Identify the current valid version of a provision</w:t>
            </w:r>
          </w:p>
        </w:tc>
      </w:tr>
    </w:tbl>
    <w:p>
      <w:pPr>
        <w:spacing w:after="160"/>
      </w:pPr>
      <w:r>
        <w:t xml:space="preserve"/>
      </w:r>
    </w:p>
    <w:p>
      <w:r>
        <w:br w:type="page"/>
      </w:r>
    </w:p>
    <w:p>
      <w:pPr>
        <w:pStyle w:val="Heading1"/>
        <w:spacing w:after="180" w:before="440"/>
      </w:pPr>
      <w:r>
        <w:rPr>
          <w:rFonts w:ascii="Arial" w:cs="Arial" w:eastAsia="Arial" w:hAnsi="Arial"/>
          <w:b/>
          <w:bCs/>
          <w:color w:val="1F4E79"/>
          <w:sz w:val="34"/>
          <w:szCs w:val="34"/>
        </w:rPr>
        <w:t xml:space="preserve">19.  Validation Layer and Contract Framework</w:t>
      </w:r>
    </w:p>
    <w:p>
      <w:pPr>
        <w:pStyle w:val="Heading2"/>
        <w:spacing w:after="120" w:before="300"/>
      </w:pPr>
      <w:r>
        <w:rPr>
          <w:rFonts w:ascii="Arial" w:cs="Arial" w:eastAsia="Arial" w:hAnsi="Arial"/>
          <w:b/>
          <w:bCs/>
          <w:color w:val="1F4E79"/>
          <w:sz w:val="27"/>
          <w:szCs w:val="27"/>
        </w:rPr>
        <w:t xml:space="preserve">19.1  Three-Level Validation Architecture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300"/>
        <w:gridCol w:w="3280"/>
      </w:tblGrid>
      <w:tr>
        <w:trPr>
          <w:tblHeader/>
        </w:trP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Level</w:t>
            </w:r>
          </w:p>
        </w:tc>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Mechanism</w:t>
            </w:r>
          </w:p>
        </w:tc>
        <w:tc>
          <w:tcPr>
            <w:tcW w:type="dxa" w:w="3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Checks</w:t>
            </w:r>
          </w:p>
        </w:tc>
        <w:tc>
          <w:tcPr>
            <w:tcW w:type="dxa" w:w="3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Failure Action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L1 — Schema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Pydantic v2 model.validate()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Required fields present; correct types; enum values valid; confidence in [0.0, 1.0]</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Immediate retry with error-enriched prompt specifying failed fields and expected types</w:t>
            </w:r>
          </w:p>
        </w:tc>
      </w:tr>
      <w:tr>
        <w:tc>
          <w:tcPr>
            <w:tcW w:type="dxa" w:w="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L2 — Citation</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Qdrant metadata lookup + Neo4j node existence check</w:t>
            </w:r>
          </w:p>
        </w:tc>
        <w:tc>
          <w:tcPr>
            <w:tcW w:type="dxa" w:w="3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Every cited article_id and case_id exists in Knowledge Hub with matching article number</w:t>
            </w:r>
          </w:p>
        </w:tc>
        <w:tc>
          <w:tcPr>
            <w:tcW w:type="dxa" w:w="32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Remove unverifiable citations; flag INSUFFICIENT_SOURCES if critical citations removed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L3 — Logic</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DeepSeek-R1 zero-shot consistency checker</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 contains no internal contradictions; argument structure is logically valid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Return to Reasoning Agent with specific contradiction specification for targeted correction</w:t>
            </w:r>
          </w:p>
        </w:tc>
      </w:tr>
    </w:tbl>
    <w:p>
      <w:pPr>
        <w:spacing w:after="80"/>
      </w:pPr>
      <w:r>
        <w:t xml:space="preserve"/>
      </w:r>
    </w:p>
    <w:p>
      <w:pPr>
        <w:pStyle w:val="Heading2"/>
        <w:spacing w:after="120" w:before="300"/>
      </w:pPr>
      <w:r>
        <w:rPr>
          <w:rFonts w:ascii="Arial" w:cs="Arial" w:eastAsia="Arial" w:hAnsi="Arial"/>
          <w:b/>
          <w:bCs/>
          <w:color w:val="1F4E79"/>
          <w:sz w:val="27"/>
          <w:szCs w:val="27"/>
        </w:rPr>
        <w:t xml:space="preserve">19.2  Retry and Recovery Protocol</w:t>
      </w:r>
    </w:p>
    <w:p>
      <w:pPr>
        <w:pStyle w:val="ListParagraph"/>
        <w:numPr>
          <w:ilvl w:val="0"/>
          <w:numId w:val="3"/>
        </w:numPr>
        <w:spacing w:after="80"/>
      </w:pPr>
      <w:r>
        <w:rPr>
          <w:rFonts w:ascii="Arial" w:cs="Arial" w:eastAsia="Arial" w:hAnsi="Arial"/>
          <w:sz w:val="22"/>
          <w:szCs w:val="22"/>
        </w:rPr>
        <w:t xml:space="preserve">Attempt 1: Re-run the same agent with an error-enriched prompt specifying the exact failed validation fields.</w:t>
      </w:r>
    </w:p>
    <w:p>
      <w:pPr>
        <w:pStyle w:val="ListParagraph"/>
        <w:numPr>
          <w:ilvl w:val="0"/>
          <w:numId w:val="3"/>
        </w:numPr>
        <w:spacing w:after="80"/>
      </w:pPr>
      <w:r>
        <w:rPr>
          <w:rFonts w:ascii="Arial" w:cs="Arial" w:eastAsia="Arial" w:hAnsi="Arial"/>
          <w:sz w:val="22"/>
          <w:szCs w:val="22"/>
        </w:rPr>
        <w:t xml:space="preserve">Attempt 2: Re-run with upstream context refresh — previous stage output re-fetched from Redis to clear state corruption.</w:t>
      </w:r>
    </w:p>
    <w:p>
      <w:pPr>
        <w:pStyle w:val="ListParagraph"/>
        <w:numPr>
          <w:ilvl w:val="0"/>
          <w:numId w:val="3"/>
        </w:numPr>
        <w:spacing w:after="80"/>
      </w:pPr>
      <w:r>
        <w:rPr>
          <w:rFonts w:ascii="Arial" w:cs="Arial" w:eastAsia="Arial" w:hAnsi="Arial"/>
          <w:sz w:val="22"/>
          <w:szCs w:val="22"/>
        </w:rPr>
        <w:t xml:space="preserve">Attempt 3: Re-run with simplified task scope — complex multi-part tasks decomposed into single-assertion tasks.</w:t>
      </w:r>
    </w:p>
    <w:p>
      <w:pPr>
        <w:pStyle w:val="ListParagraph"/>
        <w:numPr>
          <w:ilvl w:val="0"/>
          <w:numId w:val="3"/>
        </w:numPr>
        <w:spacing w:after="80"/>
      </w:pPr>
      <w:r>
        <w:rPr>
          <w:rFonts w:ascii="Arial" w:cs="Arial" w:eastAsia="Arial" w:hAnsi="Arial"/>
          <w:sz w:val="22"/>
          <w:szCs w:val="22"/>
        </w:rPr>
        <w:t xml:space="preserve">Escalation: After 3 failed attempts, Supervisor Agent flags REQUIRES_HUMAN_INTERVENTION and routes to HITL Gateway with complete diagnostic report.</w:t>
      </w:r>
    </w:p>
    <w:p>
      <w:pPr>
        <w:spacing w:after="160"/>
      </w:pPr>
      <w:r>
        <w:t xml:space="preserve"/>
      </w:r>
    </w:p>
    <w:p>
      <w:r>
        <w:br w:type="page"/>
      </w:r>
    </w:p>
    <w:p>
      <w:pPr>
        <w:pStyle w:val="Heading1"/>
        <w:spacing w:after="180" w:before="440"/>
      </w:pPr>
      <w:r>
        <w:rPr>
          <w:rFonts w:ascii="Arial" w:cs="Arial" w:eastAsia="Arial" w:hAnsi="Arial"/>
          <w:b/>
          <w:bCs/>
          <w:color w:val="1F4E79"/>
          <w:sz w:val="34"/>
          <w:szCs w:val="34"/>
        </w:rPr>
        <w:t xml:space="preserve">20.  Privacy Architecture</w:t>
      </w:r>
    </w:p>
    <w:p>
      <w:pPr>
        <w:pBdr>
          <w:left w:val="single" w:color="4A235A" w:sz="18" w:space="6"/>
        </w:pBdr>
        <w:shd w:fill="F3E8F9" w:val="clear"/>
        <w:spacing w:after="80" w:before="80"/>
        <w:ind w:left="200"/>
      </w:pPr>
      <w:r>
        <w:rPr>
          <w:rFonts w:ascii="Arial" w:cs="Arial" w:eastAsia="Arial" w:hAnsi="Arial"/>
          <w:sz w:val="21"/>
          <w:szCs w:val="21"/>
        </w:rPr>
        <w:t xml:space="preserve">Three independent defense layers: Portcullis (hardware TEE), Whistledown (protocol DP), Privacy Gateway (architectural anonymization). Each independently sufficient to prevent client data exposure; together they provide defense-in-depth.</w:t>
      </w:r>
    </w:p>
    <w:p>
      <w:pPr>
        <w:spacing w:after="80"/>
      </w:pPr>
      <w:r>
        <w:t xml:space="preserve"/>
      </w:r>
    </w:p>
    <w:p>
      <w:pPr>
        <w:pStyle w:val="Heading2"/>
        <w:spacing w:after="120" w:before="300"/>
      </w:pPr>
      <w:r>
        <w:rPr>
          <w:rFonts w:ascii="Arial" w:cs="Arial" w:eastAsia="Arial" w:hAnsi="Arial"/>
          <w:b/>
          <w:bCs/>
          <w:color w:val="1F4E79"/>
          <w:sz w:val="27"/>
          <w:szCs w:val="27"/>
        </w:rPr>
        <w:t xml:space="preserve">20.1  Privacy Gateway — Five Core Operations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000"/>
        <w:gridCol w:w="3280"/>
      </w:tblGrid>
      <w:tr>
        <w:trPr>
          <w:tblHeader/>
        </w:trP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Operation</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Trigger</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Mechanism</w:t>
            </w:r>
          </w:p>
        </w:tc>
        <w:tc>
          <w:tcPr>
            <w:tcW w:type="dxa" w:w="3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Example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Anonymization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Entities classified PL4 (Privileged)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One-way hash with session salt; original not recoverable from anonymized value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National ID 29001014512345 → [ANON:NID:9f3a]</w:t>
            </w:r>
          </w:p>
        </w:tc>
      </w:tr>
      <w:tr>
        <w:tc>
          <w:tcPr>
            <w:tcW w:type="dxa" w:w="1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Pseudonymization</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Named parties classified PL3 (Sensitive)</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Whistledown session-consistent PRNG; same entity = same pseudonym across all turns</w:t>
            </w:r>
          </w:p>
        </w:tc>
        <w:tc>
          <w:tcPr>
            <w:tcW w:type="dxa" w:w="32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Mohamed Khalil → Plaintiff_A (consistent throughout session)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Masking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Partial sensitive fields (phone, address)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Structural mask preserving format class for downstream processing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01012345678 → 010XXXXXXX</w:t>
            </w:r>
          </w:p>
        </w:tc>
      </w:tr>
      <w:tr>
        <w:tc>
          <w:tcPr>
            <w:tcW w:type="dxa" w:w="1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Tokenization</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Financial amounts and case numbers</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Format-preserving encryption; detokenized only at Stage 16 output delivery</w:t>
            </w:r>
          </w:p>
        </w:tc>
        <w:tc>
          <w:tcPr>
            <w:tcW w:type="dxa" w:w="32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EGP 500,000 → [TOKEN:AMOUNT:7c2d]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Redaction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Court-ordered sealed information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Complete removal from context; original preserved in encrypted vault only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[REDACTED: Court Order #2026/CR/4421]</w:t>
            </w:r>
          </w:p>
        </w:tc>
      </w:tr>
    </w:tbl>
    <w:p>
      <w:pPr>
        <w:spacing w:after="80"/>
      </w:pPr>
      <w:r>
        <w:t xml:space="preserve"/>
      </w:r>
    </w:p>
    <w:p>
      <w:pPr>
        <w:pStyle w:val="Heading2"/>
        <w:spacing w:after="120" w:before="300"/>
      </w:pPr>
      <w:r>
        <w:rPr>
          <w:rFonts w:ascii="Arial" w:cs="Arial" w:eastAsia="Arial" w:hAnsi="Arial"/>
          <w:b/>
          <w:bCs/>
          <w:color w:val="1F4E79"/>
          <w:sz w:val="27"/>
          <w:szCs w:val="27"/>
        </w:rPr>
        <w:t xml:space="preserve">20.2  Whistledown — Session-Consistent Pseudonymization with Differential Privacy</w:t>
      </w:r>
    </w:p>
    <w:p>
      <w:pPr>
        <w:spacing w:after="140" w:line="330"/>
        <w:jc w:val="both"/>
      </w:pPr>
      <w:r>
        <w:rPr>
          <w:rFonts w:ascii="Arial" w:cs="Arial" w:eastAsia="Arial" w:hAnsi="Arial"/>
          <w:b w:val="false"/>
          <w:bCs w:val="false"/>
          <w:sz w:val="22"/>
          <w:szCs w:val="22"/>
        </w:rPr>
        <w:t xml:space="preserve">Prior pseudonymization schemes applied independent entity-to-alias mappings per turn, creating a cross-turn correlation vulnerability: an adversary with access to multiple turns could infer original entities by comparing alias patterns across turns. Whistledown eliminates this through two mechanisms.</w:t>
      </w:r>
    </w:p>
    <w:p>
      <w:pPr>
        <w:spacing w:after="140" w:line="330"/>
        <w:jc w:val="both"/>
      </w:pPr>
      <w:r>
        <w:rPr>
          <w:rFonts w:ascii="Arial" w:cs="Arial" w:eastAsia="Arial" w:hAnsi="Arial"/>
          <w:b w:val="false"/>
          <w:bCs w:val="false"/>
          <w:sz w:val="22"/>
          <w:szCs w:val="22"/>
        </w:rPr>
        <w:t xml:space="preserve">First, a deterministic session-scoped PRNG seeded with (session_id ⊕ entity_type_hash) generates all pseudonym assignments for a given session. The seed is derived at session initialization, stored only in Redis for the session lifetime (see Table in §12, key whistle:{session_id}), and destroyed on session close. This guarantees that the same entity produces the same pseudonym in every turn of the same session while different sessions produce independent pseudonyms.</w:t>
      </w:r>
    </w:p>
    <w:p>
      <w:pPr>
        <w:spacing w:after="140" w:line="330"/>
        <w:jc w:val="both"/>
      </w:pPr>
      <w:r>
        <w:rPr>
          <w:rFonts w:ascii="Arial" w:cs="Arial" w:eastAsia="Arial" w:hAnsi="Arial"/>
          <w:b w:val="false"/>
          <w:bCs w:val="false"/>
          <w:sz w:val="22"/>
          <w:szCs w:val="22"/>
        </w:rPr>
        <w:t xml:space="preserve">Second, all numeric values — financial amounts, dates, durations, distances — receive Laplace-mechanism local differential privacy before inclusion in any LLM prompt. The privacy budget ε is configurable per data category (default: ε = 1.0 for financial amounts, ε = 2.0 for dates). Noised values are used only in LLM reasoning; original values are preserved in the Privacy Gateway vault and restored in the final approved document at Stage 16 output delivery.</w:t>
      </w:r>
    </w:p>
    <w:p>
      <w:pPr>
        <w:pStyle w:val="Heading2"/>
        <w:spacing w:after="120" w:before="300"/>
      </w:pPr>
      <w:r>
        <w:rPr>
          <w:rFonts w:ascii="Arial" w:cs="Arial" w:eastAsia="Arial" w:hAnsi="Arial"/>
          <w:b/>
          <w:bCs/>
          <w:color w:val="1F4E79"/>
          <w:sz w:val="27"/>
          <w:szCs w:val="27"/>
        </w:rPr>
        <w:t xml:space="preserve">20.3  Portcullis — Trusted Execution Environment Hardening (Optional Tier)</w:t>
      </w:r>
    </w:p>
    <w:p>
      <w:pPr>
        <w:spacing w:after="140" w:line="330"/>
        <w:jc w:val="both"/>
      </w:pPr>
      <w:r>
        <w:rPr>
          <w:rFonts w:ascii="Arial" w:cs="Arial" w:eastAsia="Arial" w:hAnsi="Arial"/>
          <w:b w:val="false"/>
          <w:bCs w:val="false"/>
          <w:sz w:val="22"/>
          <w:szCs w:val="22"/>
        </w:rPr>
        <w:t xml:space="preserve">Portcullis addresses the cloud-hosted LLM inference risk demonstrated by Carlini et al. (2021): in standard cloud deployment the cloud operator observes all inference-time input and output data. Intel Trust Domain Extensions (TDX) provide hardware-enforced memory encryption and isolation that prevents the cloud operator — and any co-located process — from reading TEE memory pages during inference execution.</w:t>
      </w:r>
    </w:p>
    <w:p>
      <w:pPr>
        <w:spacing w:after="140" w:line="330"/>
        <w:jc w:val="both"/>
      </w:pPr>
      <w:r>
        <w:rPr>
          <w:rFonts w:ascii="Arial" w:cs="Arial" w:eastAsia="Arial" w:hAnsi="Arial"/>
          <w:b w:val="false"/>
          <w:bCs w:val="false"/>
          <w:sz w:val="22"/>
          <w:szCs w:val="22"/>
        </w:rPr>
        <w:t xml:space="preserve">In the ALMAS LAW Portcullis deployment tier, the LLM inference process runs inside an Intel TDX Trust Domain. The Privacy Gateway transmits encrypted payloads to the TEE; decryption occurs only inside the TEE's protected memory; outputs are re-encrypted before leaving the TEE. The law firm holds the TEE attestation keys; the cloud operator has no access to plaintext inference data. Portcullis is specified as an Optional Hardened Deployment Tier recognizing that it requires specific hardware support beyond standard enterprise environments.</w:t>
      </w:r>
    </w:p>
    <w:p>
      <w:pPr>
        <w:spacing w:after="160"/>
      </w:pPr>
      <w:r>
        <w:t xml:space="preserve"/>
      </w:r>
    </w:p>
    <w:p>
      <w:r>
        <w:br w:type="page"/>
      </w:r>
    </w:p>
    <w:p>
      <w:pPr>
        <w:pStyle w:val="Heading1"/>
        <w:spacing w:after="180" w:before="440"/>
      </w:pPr>
      <w:r>
        <w:rPr>
          <w:rFonts w:ascii="Arial" w:cs="Arial" w:eastAsia="Arial" w:hAnsi="Arial"/>
          <w:b/>
          <w:bCs/>
          <w:color w:val="1F4E79"/>
          <w:sz w:val="34"/>
          <w:szCs w:val="34"/>
        </w:rPr>
        <w:t xml:space="preserve">21.  Zero Trust Agent Architecture</w:t>
      </w:r>
    </w:p>
    <w:p>
      <w:pPr>
        <w:spacing w:after="140" w:line="330"/>
        <w:jc w:val="both"/>
      </w:pPr>
      <w:r>
        <w:rPr>
          <w:rFonts w:ascii="Arial" w:cs="Arial" w:eastAsia="Arial" w:hAnsi="Arial"/>
          <w:b w:val="false"/>
          <w:bCs w:val="false"/>
          <w:sz w:val="22"/>
          <w:szCs w:val="22"/>
        </w:rPr>
        <w:t xml:space="preserve">NIST SP 800-207 defines Zero Trust as "never trust, always verify" — every resource access request authenticated and authorized regardless of network location. ALMAS LAW extends these principles to autonomous AI agents through five mechanisms that address the specific challenge absent in human-user contexts: agents cannot provide contextual justification for data access requests in real time.</w:t>
      </w:r>
    </w:p>
    <w:p>
      <w:pPr>
        <w:pStyle w:val="Heading2"/>
        <w:spacing w:after="120" w:before="300"/>
      </w:pPr>
      <w:r>
        <w:rPr>
          <w:rFonts w:ascii="Arial" w:cs="Arial" w:eastAsia="Arial" w:hAnsi="Arial"/>
          <w:b/>
          <w:bCs/>
          <w:color w:val="1F4E79"/>
          <w:sz w:val="27"/>
          <w:szCs w:val="27"/>
        </w:rPr>
        <w:t xml:space="preserve">21.1  Token Isolation Pattern</w:t>
      </w:r>
    </w:p>
    <w:p>
      <w:pPr>
        <w:spacing w:after="140" w:line="330"/>
        <w:jc w:val="both"/>
      </w:pPr>
      <w:r>
        <w:rPr>
          <w:rFonts w:ascii="Arial" w:cs="Arial" w:eastAsia="Arial" w:hAnsi="Arial"/>
          <w:b w:val="false"/>
          <w:bCs w:val="false"/>
          <w:sz w:val="22"/>
          <w:szCs w:val="22"/>
        </w:rPr>
        <w:t xml:space="preserve">For each task invocation, every agent receives a Keycloak-issued bearer token specifying exactly: permitted Qdrant collections, permitted Neo4j node types, permitted PostgreSQL tables with row-level scope, maximum context window size in tokens, and maximum API call budget. The token is valid only for the current task execution duration and expires on task completion or timeout. Unauthorized access attempts are logged as P1 security events and trigger automatic agent suspension pending investigation.</w:t>
      </w:r>
    </w:p>
    <w:p>
      <w:pPr>
        <w:pStyle w:val="Heading2"/>
        <w:spacing w:after="120" w:before="300"/>
      </w:pPr>
      <w:r>
        <w:rPr>
          <w:rFonts w:ascii="Arial" w:cs="Arial" w:eastAsia="Arial" w:hAnsi="Arial"/>
          <w:b/>
          <w:bCs/>
          <w:color w:val="1F4E79"/>
          <w:sz w:val="27"/>
          <w:szCs w:val="27"/>
        </w:rPr>
        <w:t xml:space="preserve">21.2  Agent Persona Framework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600"/>
        <w:gridCol w:w="1800"/>
        <w:gridCol w:w="1880"/>
      </w:tblGrid>
      <w:tr>
        <w:trPr>
          <w:tblHeader/>
        </w:trP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Agent Persona</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Permitted Data Sources</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Max Context</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Token Budget / Task</w:t>
            </w:r>
          </w:p>
        </w:tc>
        <w:tc>
          <w:tcPr>
            <w:tcW w:type="dxa" w:w="1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Key Prohibition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supervisor_agent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Redis R/W; Playbook Engine R; Routing Table 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8K tokens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5K output tokens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direct Qdrant, Neo4j, or PostgreSQL client data access</w:t>
            </w:r>
          </w:p>
        </w:tc>
      </w:tr>
      <w:tr>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research_agent</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RIE output R; Neo4j read-only via RIE; Episodic Memory R via RIE</w:t>
            </w:r>
          </w:p>
        </w:tc>
        <w:tc>
          <w:tcPr>
            <w:tcW w:type="dxa" w:w="1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32K tokens</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10K output tokens</w:t>
            </w:r>
          </w:p>
        </w:tc>
        <w:tc>
          <w:tcPr>
            <w:tcW w:type="dxa" w:w="18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No billing, calendar, or personal data vault access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reasoning_agent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Evidence Package received R; Session Memory 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64K tokens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20K output tokens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direct DB access of any kind — reasons only on received evidence</w:t>
            </w:r>
          </w:p>
        </w:tc>
      </w:tr>
      <w:tr>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drafting_agent</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Legal Draft inputs R; Citation Registry R/W via Redis</w:t>
            </w:r>
          </w:p>
        </w:tc>
        <w:tc>
          <w:tcPr>
            <w:tcW w:type="dxa" w:w="1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128K tokens</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50K output tokens</w:t>
            </w:r>
          </w:p>
        </w:tc>
        <w:tc>
          <w:tcPr>
            <w:tcW w:type="dxa" w:w="18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No personal data vault access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review_agent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Draft for review R; Playbook templates 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32K tokens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10K output tokens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Read-only — may not modify draft content directly</w:t>
            </w:r>
          </w:p>
        </w:tc>
      </w:tr>
      <w:tr>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knowledge_agent</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Legal corpus Qdrant R/W; Neo4j R/W; public legal docs only</w:t>
            </w:r>
          </w:p>
        </w:tc>
        <w:tc>
          <w:tcPr>
            <w:tcW w:type="dxa" w:w="1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16K tokens</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5K output tokens</w:t>
            </w:r>
          </w:p>
        </w:tc>
        <w:tc>
          <w:tcPr>
            <w:tcW w:type="dxa" w:w="18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No client data access of any kind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compliance_agent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Audit log R/W; HITL decisions R; Legal Audit Engine R/W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16K tokens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5K output tokens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case content access — audit and compliance metadata only</w:t>
            </w:r>
          </w:p>
        </w:tc>
      </w:tr>
    </w:tbl>
    <w:p>
      <w:pPr>
        <w:spacing w:after="80"/>
      </w:pPr>
      <w:r>
        <w:t xml:space="preserve"/>
      </w:r>
    </w:p>
    <w:p>
      <w:pPr>
        <w:pStyle w:val="Heading2"/>
        <w:spacing w:after="120" w:before="300"/>
      </w:pPr>
      <w:r>
        <w:rPr>
          <w:rFonts w:ascii="Arial" w:cs="Arial" w:eastAsia="Arial" w:hAnsi="Arial"/>
          <w:b/>
          <w:bCs/>
          <w:color w:val="1F4E79"/>
          <w:sz w:val="27"/>
          <w:szCs w:val="27"/>
        </w:rPr>
        <w:t xml:space="preserve">21.3  Behavioral Identity Fingerprinting</w:t>
      </w:r>
    </w:p>
    <w:p>
      <w:pPr>
        <w:spacing w:after="140" w:line="330"/>
        <w:jc w:val="both"/>
      </w:pPr>
      <w:r>
        <w:rPr>
          <w:rFonts w:ascii="Arial" w:cs="Arial" w:eastAsia="Arial" w:hAnsi="Arial"/>
          <w:b w:val="false"/>
          <w:bCs w:val="false"/>
          <w:sz w:val="22"/>
          <w:szCs w:val="22"/>
        </w:rPr>
        <w:t xml:space="preserve">Each agent's access patterns are characterized across five dimensions: query frequency per data type, data volume per API call, temporal access distribution, API endpoint sequence patterns, and error rate per endpoint. Baselines established over the first 30 days of operation. Deviations exceeding 3 standard deviations on any dimension trigger a Behavioral Anomaly Alert routed to the compliance_agent and system administrator. This detects agent compromise, prompt-injection-induced behavior changes, and infrastructure-level intrusions.</w:t>
      </w:r>
    </w:p>
    <w:p>
      <w:pPr>
        <w:pStyle w:val="Heading2"/>
        <w:spacing w:after="120" w:before="300"/>
      </w:pPr>
      <w:r>
        <w:rPr>
          <w:rFonts w:ascii="Arial" w:cs="Arial" w:eastAsia="Arial" w:hAnsi="Arial"/>
          <w:b/>
          <w:bCs/>
          <w:color w:val="1F4E79"/>
          <w:sz w:val="27"/>
          <w:szCs w:val="27"/>
        </w:rPr>
        <w:t xml:space="preserve">21.4  ICON — Latent-Space Injection Detection</w:t>
      </w:r>
    </w:p>
    <w:p>
      <w:pPr>
        <w:spacing w:after="140" w:line="330"/>
        <w:jc w:val="both"/>
      </w:pPr>
      <w:r>
        <w:rPr>
          <w:rFonts w:ascii="Arial" w:cs="Arial" w:eastAsia="Arial" w:hAnsi="Arial"/>
          <w:b w:val="false"/>
          <w:bCs w:val="false"/>
          <w:sz w:val="22"/>
          <w:szCs w:val="22"/>
        </w:rPr>
        <w:t xml:space="preserve">ICON (2025) checks all retrieved content for adversarial embeddings before inclusion in any agent context window, addressing Indirect Prompt Injection: attackers embed instructions in legal documents that would be retrieved by the RAG pipeline and cause agents to execute unintended actions. ICON checks for: (1) high cosine similarity to known adversarial instruction embeddings; (2) unusual perplexity relative to the legal domain language model; (3) structural anomalies such as instructions in metadata fields. Flagged chunks are quarantined and logged to the Legal Audit Engine.</w:t>
      </w:r>
    </w:p>
    <w:p>
      <w:pPr>
        <w:pStyle w:val="Heading2"/>
        <w:spacing w:after="120" w:before="300"/>
      </w:pPr>
      <w:r>
        <w:rPr>
          <w:rFonts w:ascii="Arial" w:cs="Arial" w:eastAsia="Arial" w:hAnsi="Arial"/>
          <w:b/>
          <w:bCs/>
          <w:color w:val="1F4E79"/>
          <w:sz w:val="27"/>
          <w:szCs w:val="27"/>
        </w:rPr>
        <w:t xml:space="preserve">21.5  ParseData — Tool-Result Sanitization</w:t>
      </w:r>
    </w:p>
    <w:p>
      <w:pPr>
        <w:spacing w:after="140" w:line="330"/>
        <w:jc w:val="both"/>
      </w:pPr>
      <w:r>
        <w:rPr>
          <w:rFonts w:ascii="Arial" w:cs="Arial" w:eastAsia="Arial" w:hAnsi="Arial"/>
          <w:b w:val="false"/>
          <w:bCs w:val="false"/>
          <w:sz w:val="22"/>
          <w:szCs w:val="22"/>
        </w:rPr>
        <w:t xml:space="preserve">ParseData (2025) intercepts all tool call results — Qdrant responses, Neo4j Cypher results, PostgreSQL queries, external API responses — before they enter any agent context window. Sanitization operations: remove unexpected control characters, strip HTML/XML tags from text content, enforce maximum content length per field, validate response structures against the expected schema for the invoked tool. This prevents malicious data sources from returning crafted responses designed to manipulate agent behavior.</w:t>
      </w:r>
    </w:p>
    <w:p>
      <w:pPr>
        <w:spacing w:after="160"/>
      </w:pPr>
      <w:r>
        <w:t xml:space="preserve"/>
      </w:r>
    </w:p>
    <w:p>
      <w:r>
        <w:br w:type="page"/>
      </w:r>
    </w:p>
    <w:p>
      <w:pPr>
        <w:pStyle w:val="Heading1"/>
        <w:spacing w:after="180" w:before="440"/>
      </w:pPr>
      <w:r>
        <w:rPr>
          <w:rFonts w:ascii="Arial" w:cs="Arial" w:eastAsia="Arial" w:hAnsi="Arial"/>
          <w:b/>
          <w:bCs/>
          <w:color w:val="1F4E79"/>
          <w:sz w:val="34"/>
          <w:szCs w:val="34"/>
        </w:rPr>
        <w:t xml:space="preserve">22.  Sovereign Data Architecture and MemPrivacy Classification</w:t>
      </w:r>
    </w:p>
    <w:p>
      <w:pPr>
        <w:pStyle w:val="Heading2"/>
        <w:spacing w:after="120" w:before="300"/>
      </w:pPr>
      <w:r>
        <w:rPr>
          <w:rFonts w:ascii="Arial" w:cs="Arial" w:eastAsia="Arial" w:hAnsi="Arial"/>
          <w:b/>
          <w:bCs/>
          <w:color w:val="1F4E79"/>
          <w:sz w:val="27"/>
          <w:szCs w:val="27"/>
        </w:rPr>
        <w:t xml:space="preserve">22.1  Seven Sovereign Data Zones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000"/>
        <w:gridCol w:w="2200"/>
        <w:gridCol w:w="1680"/>
      </w:tblGrid>
      <w:tr>
        <w:trPr>
          <w:tblHeader/>
        </w:trP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Zone</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Data Content</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Storage</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Access Control</w:t>
            </w:r>
          </w:p>
        </w:tc>
        <w:tc>
          <w:tcPr>
            <w:tcW w:type="dxa" w:w="1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Retention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Z1 — Legal Corpus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Statutes, rulings, scholarly commentaries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Qdrant + Neo4j</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agents (read-only); Knowledge Agent (R/W)</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Permanent; updated by Legal Update Engine</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Z2 — Operational Data</w:t>
            </w:r>
          </w:p>
        </w:tc>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Case metadata, ERP records, billing, deadlines</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PostgreSQL (cases, billing, calendar)</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Role-based: Senior/Junior Atty, Paralegal, Admin</w:t>
            </w:r>
          </w:p>
        </w:tc>
        <w:tc>
          <w:tcPr>
            <w:tcW w:type="dxa" w:w="1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Case lifecycle + 15 years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Z3 — Personal Data Vault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Client names, contact info, national IDs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PostgreSQL (AES-256 pgcrypto encrypted columns)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Senior Attorney + Admin only; Vault keys in HashiCorp Vault; no agent access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 years per Law 151/2020</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Z4 — Conversation Memory</w:t>
            </w:r>
          </w:p>
        </w:tc>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Active session context, partial pipeline state</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Redis (TTL-scoped, Whistledown pseudonyms)</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Session-owning attorney; supervisor_agent for task state</w:t>
            </w:r>
          </w:p>
        </w:tc>
        <w:tc>
          <w:tcPr>
            <w:tcW w:type="dxa" w:w="1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Session lifetime (8 hours); then purged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Z5 — AI Metadata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 versions, prompt versions, agent configs, routing tables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PostgreSQL (ai_metadata schema)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 team + Admin R/W; all agents R</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 years rolling</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Z6 — Infrastructure Audit Logs</w:t>
            </w:r>
          </w:p>
        </w:tc>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API calls, auth events, database queries, agent invocations</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PostgreSQL (audit schema, append-only)</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Admin read-only; compliance_agent write-only</w:t>
            </w:r>
          </w:p>
        </w:tc>
        <w:tc>
          <w:tcPr>
            <w:tcW w:type="dxa" w:w="1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7 years; immutable monthly snapshot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Z7 — Legal Audit Records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HITL decisions, approvals, corrections, legal responsibility chain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PostgreSQL (legal_audit schema, append-only)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compliance_agent write; Senior Attorney + Admin read; court-subpoena export</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Permanent; append-only enforced by RLS</w:t>
            </w:r>
          </w:p>
        </w:tc>
      </w:tr>
    </w:tbl>
    <w:p>
      <w:pPr>
        <w:spacing w:after="80"/>
      </w:pPr>
      <w:r>
        <w:t xml:space="preserve"/>
      </w:r>
    </w:p>
    <w:p>
      <w:pPr>
        <w:pStyle w:val="Heading2"/>
        <w:spacing w:after="120" w:before="300"/>
      </w:pPr>
      <w:r>
        <w:rPr>
          <w:rFonts w:ascii="Arial" w:cs="Arial" w:eastAsia="Arial" w:hAnsi="Arial"/>
          <w:b/>
          <w:bCs/>
          <w:color w:val="1F4E79"/>
          <w:sz w:val="27"/>
          <w:szCs w:val="27"/>
        </w:rPr>
        <w:t xml:space="preserve">22.2  MemPrivacy PL1–PL4 Reconciliation Crosswalk</w:t>
      </w:r>
    </w:p>
    <w:p>
      <w:pPr>
        <w:spacing w:after="140" w:line="330"/>
        <w:jc w:val="both"/>
      </w:pPr>
      <w:r>
        <w:rPr>
          <w:rFonts w:ascii="Arial" w:cs="Arial" w:eastAsia="Arial" w:hAnsi="Arial"/>
          <w:b w:val="false"/>
          <w:bCs w:val="false"/>
          <w:sz w:val="22"/>
          <w:szCs w:val="22"/>
        </w:rPr>
        <w:t xml:space="preserve">MemPrivacy (2025) defines four privacy levels for LLM memory access control. The following crosswalk confirms that ALMAS LAW's existing seven-zone architecture is consistent with MemPrivacy requirements — no redesign is needed, only formal documentation of the mapping: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200"/>
        <w:gridCol w:w="3280"/>
      </w:tblGrid>
      <w:tr>
        <w:trPr>
          <w:tblHeader/>
        </w:trP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ALMAS LAW Zone</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MemPrivacy Level</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Definition</w:t>
            </w:r>
          </w:p>
        </w:tc>
        <w:tc>
          <w:tcPr>
            <w:tcW w:type="dxa" w:w="3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Enforcement Mechanism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Z1 — Legal Corpus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PL1: Open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Non-personal, publicly available data. No privacy restrictions on AI access.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agents may access; standard rate limiting applies</w:t>
            </w:r>
          </w:p>
        </w:tc>
      </w:tr>
      <w:tr>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Z2 — Operational Data</w:t>
            </w:r>
          </w:p>
        </w:tc>
        <w:tc>
          <w:tcPr>
            <w:tcW w:type="dxa" w:w="1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PL2: Regulated</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Non-personal but subject to regulatory controls (business records, billing).</w:t>
            </w:r>
          </w:p>
        </w:tc>
        <w:tc>
          <w:tcPr>
            <w:tcW w:type="dxa" w:w="32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Role-based access; audit logged; task-scoped token required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Z3 — Personal Data Vault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PL4: Privileged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Personally identifiable information requiring maximum protection.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AES-256 encryption; Vault key management; no AI model access ever</w:t>
            </w:r>
          </w:p>
        </w:tc>
      </w:tr>
      <w:tr>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Z4 — Conversation Memory</w:t>
            </w:r>
          </w:p>
        </w:tc>
        <w:tc>
          <w:tcPr>
            <w:tcW w:type="dxa" w:w="1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PL3: Sensitive</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Session-specific data that could reveal personal or case details.</w:t>
            </w:r>
          </w:p>
        </w:tc>
        <w:tc>
          <w:tcPr>
            <w:tcW w:type="dxa" w:w="32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Whistledown pseudonymization applied; Redis TTL; strict session isolation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Z5 — AI Metadata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PL2: Regulated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Technical config data; not personal but operationally sensitive.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 team role-based; versioned; audited</w:t>
            </w:r>
          </w:p>
        </w:tc>
      </w:tr>
      <w:tr>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Z6 — Infrastructure Audit</w:t>
            </w:r>
          </w:p>
        </w:tc>
        <w:tc>
          <w:tcPr>
            <w:tcW w:type="dxa" w:w="1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PL2: Regulated</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System event logs; not personal but operationally sensitive.</w:t>
            </w:r>
          </w:p>
        </w:tc>
        <w:tc>
          <w:tcPr>
            <w:tcW w:type="dxa" w:w="32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Append-only; Admin read-only; no modification or deletion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Z7 — Legal Audit Records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PL3: Sensitive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Legal responsibility records; may contain case references tied to individuals.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Compliance Agent write; pseudonymization applied on client references</w:t>
            </w:r>
          </w:p>
        </w:tc>
      </w:tr>
    </w:tbl>
    <w:p>
      <w:pPr>
        <w:pBdr>
          <w:left w:val="single" w:color="1A5C1A" w:sz="18" w:space="6"/>
        </w:pBdr>
        <w:shd w:fill="E8F5E9" w:val="clear"/>
        <w:spacing w:after="80" w:before="80"/>
        <w:ind w:left="200"/>
      </w:pPr>
      <w:r>
        <w:rPr>
          <w:rFonts w:ascii="Arial" w:cs="Arial" w:eastAsia="Arial" w:hAnsi="Arial"/>
          <w:sz w:val="21"/>
          <w:szCs w:val="21"/>
        </w:rPr>
        <w:t xml:space="preserve">The MemPrivacy reconciliation confirms no architectural redesign is required. The existing seven-zone classification is consistent with PL1–PL4 requirements. This crosswalk resolves the classification-scheme conflict identified in the v2.2 technical review.</w:t>
      </w:r>
    </w:p>
    <w:p>
      <w:pPr>
        <w:spacing w:after="160"/>
      </w:pPr>
      <w:r>
        <w:t xml:space="preserve"/>
      </w:r>
    </w:p>
    <w:p>
      <w:r>
        <w:br w:type="page"/>
      </w:r>
    </w:p>
    <w:p>
      <w:pPr>
        <w:pStyle w:val="Heading1"/>
        <w:spacing w:after="180" w:before="440"/>
      </w:pPr>
      <w:r>
        <w:rPr>
          <w:rFonts w:ascii="Arial" w:cs="Arial" w:eastAsia="Arial" w:hAnsi="Arial"/>
          <w:b/>
          <w:bCs/>
          <w:color w:val="1F4E79"/>
          <w:sz w:val="34"/>
          <w:szCs w:val="34"/>
        </w:rPr>
        <w:t xml:space="preserve">23.  Identity and Access Management</w:t>
      </w:r>
    </w:p>
    <w:p>
      <w:pPr>
        <w:pStyle w:val="Heading2"/>
        <w:spacing w:after="120" w:before="300"/>
      </w:pPr>
      <w:r>
        <w:rPr>
          <w:rFonts w:ascii="Arial" w:cs="Arial" w:eastAsia="Arial" w:hAnsi="Arial"/>
          <w:b/>
          <w:bCs/>
          <w:color w:val="1F4E79"/>
          <w:sz w:val="27"/>
          <w:szCs w:val="27"/>
        </w:rPr>
        <w:t xml:space="preserve">23.1  Keycloak Architecture</w:t>
      </w:r>
    </w:p>
    <w:p>
      <w:pPr>
        <w:spacing w:after="140" w:line="330"/>
        <w:jc w:val="both"/>
      </w:pPr>
      <w:r>
        <w:rPr>
          <w:rFonts w:ascii="Arial" w:cs="Arial" w:eastAsia="Arial" w:hAnsi="Arial"/>
          <w:b w:val="false"/>
          <w:bCs w:val="false"/>
          <w:sz w:val="22"/>
          <w:szCs w:val="22"/>
        </w:rPr>
        <w:t xml:space="preserve">Keycloak provides the centralized IAM layer, managing authentication for human users and service accounts for all LangGraph agents. Integration: JWT bearer tokens to LangGraph; OIDC middleware to FastAPI; connection-level identity verification to PostgreSQL; dynamic secrets to HashiCorp Vault.</w:t>
      </w:r>
    </w:p>
    <w:p>
      <w:pPr>
        <w:pStyle w:val="Heading2"/>
        <w:spacing w:after="120" w:before="300"/>
      </w:pPr>
      <w:r>
        <w:rPr>
          <w:rFonts w:ascii="Arial" w:cs="Arial" w:eastAsia="Arial" w:hAnsi="Arial"/>
          <w:b/>
          <w:bCs/>
          <w:color w:val="1F4E79"/>
          <w:sz w:val="27"/>
          <w:szCs w:val="27"/>
        </w:rPr>
        <w:t xml:space="preserve">23.2  Authentication Assurance Levels (NIST SP 800-63B Rev. 4, 2025)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2400"/>
        <w:gridCol w:w="3680"/>
      </w:tblGrid>
      <w:tr>
        <w:trPr>
          <w:tblHeader/>
        </w:trP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AAL</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Requirement</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ALMAS LAW Roles</w:t>
            </w:r>
          </w:p>
        </w:tc>
        <w:tc>
          <w:tcPr>
            <w:tcW w:type="dxa" w:w="3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Authenticator Type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AAL1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Single-factor authentication.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Read-only public legal research (if unauthenticated access is enabled).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Password (PBKDF2-SHA256, min 12 chars, breach-corpus checked at registration)</w:t>
            </w:r>
          </w:p>
        </w:tc>
      </w:tr>
      <w:tr>
        <w:tc>
          <w:tcPr>
            <w:tcW w:type="dxa" w:w="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AAL2</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Multi-factor authentication; phishing-resistant MFA preferred.</w:t>
            </w:r>
          </w:p>
        </w:tc>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Junior Attorney, Paralegal, Researcher, Administrator (standard access).</w:t>
            </w:r>
          </w:p>
        </w:tc>
        <w:tc>
          <w:tcPr>
            <w:tcW w:type="dxa" w:w="3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Password + TOTP (Authenticator app) OR FIDO2 passkey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AAL3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Hardware-bound MFA; required for high-assurance privileged operations.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Senior Attorney (HITL approval actions); Administrator (audit log and vault key operations).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FIDO2 hardware key (YubiKey 5 or Titan) OR platform authenticator with TPM binding</w:t>
            </w:r>
          </w:p>
        </w:tc>
      </w:tr>
    </w:tbl>
    <w:p>
      <w:pPr>
        <w:spacing w:after="80"/>
      </w:pPr>
      <w:r>
        <w:t xml:space="preserve"/>
      </w:r>
    </w:p>
    <w:p>
      <w:pPr>
        <w:pStyle w:val="Heading2"/>
        <w:spacing w:after="120" w:before="300"/>
      </w:pPr>
      <w:r>
        <w:rPr>
          <w:rFonts w:ascii="Arial" w:cs="Arial" w:eastAsia="Arial" w:hAnsi="Arial"/>
          <w:b/>
          <w:bCs/>
          <w:color w:val="1F4E79"/>
          <w:sz w:val="27"/>
          <w:szCs w:val="27"/>
        </w:rPr>
        <w:t xml:space="preserve">23.3  NIST SP 800-63B Rev. 4 Password Policy</w:t>
      </w:r>
    </w:p>
    <w:p>
      <w:pPr>
        <w:spacing w:after="140" w:line="330"/>
        <w:jc w:val="both"/>
      </w:pPr>
      <w:r>
        <w:rPr>
          <w:rFonts w:ascii="Arial" w:cs="Arial" w:eastAsia="Arial" w:hAnsi="Arial"/>
          <w:b w:val="false"/>
          <w:bCs w:val="false"/>
          <w:sz w:val="22"/>
          <w:szCs w:val="22"/>
        </w:rPr>
        <w:t xml:space="preserve">NIST SP 800-63B Rev. 4 (2025) explicitly rejects mandatory complexity rules and forced periodic rotation in favour of length-based policy and breach-corpus screening: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480"/>
      </w:tblGrid>
      <w:tr>
        <w:trPr>
          <w:tblHeader/>
        </w:trP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Policy Element</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NIST Rev. 4 Requirement</w:t>
            </w:r>
          </w:p>
        </w:tc>
        <w:tc>
          <w:tcPr>
            <w:tcW w:type="dxa" w:w="4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ALMAS LAW Implementation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Minimum length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 characters (NIST recommendation; 8 minimum for MFA accounts)</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Keycloak password policy: 15 characters for all accounts</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Maximum length</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At least 64 characters MUST be supported</w:t>
            </w:r>
          </w:p>
        </w:tc>
        <w:tc>
          <w:tcPr>
            <w:tcW w:type="dxa" w:w="44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Keycloak supports up to 255 characters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Complexity rules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PROHIBITED — no mandatory uppercase/lowercase/special character requirements</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Keycloak complexity policies disabled</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Forced rotation</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PROHIBITED unless credential compromise is detected</w:t>
            </w:r>
          </w:p>
        </w:tc>
        <w:tc>
          <w:tcPr>
            <w:tcW w:type="dxa" w:w="44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Keycloak forced expiry disabled; reset triggered only on breach detection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Breach corpus check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REQUIRED at time of creation and optionally at authentication</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Integration with HaveIBeenPwned API (k-anonymity model) at registration</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Password hints</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PROHIBITED</w:t>
            </w:r>
          </w:p>
        </w:tc>
        <w:tc>
          <w:tcPr>
            <w:tcW w:type="dxa" w:w="44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Keycloak hint field disabled in all registration and reset flows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Paste support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MUST permit paste in password fields to enable password manager usage</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Keycloak default UI permits paste; custom frontend preserves this</w:t>
            </w:r>
          </w:p>
        </w:tc>
      </w:tr>
    </w:tbl>
    <w:p>
      <w:pPr>
        <w:spacing w:after="80"/>
      </w:pPr>
      <w:r>
        <w:t xml:space="preserve"/>
      </w:r>
    </w:p>
    <w:p>
      <w:pPr>
        <w:pStyle w:val="Heading2"/>
        <w:spacing w:after="120" w:before="300"/>
      </w:pPr>
      <w:r>
        <w:rPr>
          <w:rFonts w:ascii="Arial" w:cs="Arial" w:eastAsia="Arial" w:hAnsi="Arial"/>
          <w:b/>
          <w:bCs/>
          <w:color w:val="1F4E79"/>
          <w:sz w:val="27"/>
          <w:szCs w:val="27"/>
        </w:rPr>
        <w:t xml:space="preserve">23.4  Dual Registration Pipeline</w:t>
      </w:r>
    </w:p>
    <w:p>
      <w:pPr>
        <w:pStyle w:val="Heading3"/>
        <w:spacing w:after="80" w:before="200"/>
      </w:pPr>
      <w:r>
        <w:rPr>
          <w:rFonts w:ascii="Arial" w:cs="Arial" w:eastAsia="Arial" w:hAnsi="Arial"/>
          <w:b/>
          <w:bCs/>
          <w:color w:val="0D2B45"/>
          <w:sz w:val="24"/>
          <w:szCs w:val="24"/>
        </w:rPr>
        <w:t xml:space="preserve">Legal Professional Pathway (Attorney)</w:t>
      </w:r>
    </w:p>
    <w:p>
      <w:pPr>
        <w:pStyle w:val="ListParagraph"/>
        <w:numPr>
          <w:ilvl w:val="0"/>
          <w:numId w:val="3"/>
        </w:numPr>
        <w:spacing w:after="80"/>
      </w:pPr>
      <w:r>
        <w:rPr>
          <w:rFonts w:ascii="Arial" w:cs="Arial" w:eastAsia="Arial" w:hAnsi="Arial"/>
          <w:sz w:val="22"/>
          <w:szCs w:val="22"/>
        </w:rPr>
        <w:t xml:space="preserve">Email address verification via 6-digit OTP (10-minute expiry).</w:t>
      </w:r>
    </w:p>
    <w:p>
      <w:pPr>
        <w:pStyle w:val="ListParagraph"/>
        <w:numPr>
          <w:ilvl w:val="0"/>
          <w:numId w:val="3"/>
        </w:numPr>
        <w:spacing w:after="80"/>
      </w:pPr>
      <w:r>
        <w:rPr>
          <w:rFonts w:ascii="Arial" w:cs="Arial" w:eastAsia="Arial" w:hAnsi="Arial"/>
          <w:sz w:val="22"/>
          <w:szCs w:val="22"/>
        </w:rPr>
        <w:t xml:space="preserve">Bar Association number entry and verification against the Egyptian Bar Association registry (automated where API available; manual review queue otherwise).</w:t>
      </w:r>
    </w:p>
    <w:p>
      <w:pPr>
        <w:pStyle w:val="ListParagraph"/>
        <w:numPr>
          <w:ilvl w:val="0"/>
          <w:numId w:val="3"/>
        </w:numPr>
        <w:spacing w:after="80"/>
      </w:pPr>
      <w:r>
        <w:rPr>
          <w:rFonts w:ascii="Arial" w:cs="Arial" w:eastAsia="Arial" w:hAnsi="Arial"/>
          <w:sz w:val="22"/>
          <w:szCs w:val="22"/>
        </w:rPr>
        <w:t xml:space="preserve">Identity document upload for system administrator manual review.</w:t>
      </w:r>
    </w:p>
    <w:p>
      <w:pPr>
        <w:pStyle w:val="ListParagraph"/>
        <w:numPr>
          <w:ilvl w:val="0"/>
          <w:numId w:val="3"/>
        </w:numPr>
        <w:spacing w:after="80"/>
      </w:pPr>
      <w:r>
        <w:rPr>
          <w:rFonts w:ascii="Arial" w:cs="Arial" w:eastAsia="Arial" w:hAnsi="Arial"/>
          <w:sz w:val="22"/>
          <w:szCs w:val="22"/>
        </w:rPr>
        <w:t xml:space="preserve">AAL2 MFA setup (TOTP or FIDO2 passkey) — mandatory before account activation.</w:t>
      </w:r>
    </w:p>
    <w:p>
      <w:pPr>
        <w:pStyle w:val="ListParagraph"/>
        <w:numPr>
          <w:ilvl w:val="0"/>
          <w:numId w:val="3"/>
        </w:numPr>
        <w:spacing w:after="80"/>
      </w:pPr>
      <w:r>
        <w:rPr>
          <w:rFonts w:ascii="Arial" w:cs="Arial" w:eastAsia="Arial" w:hAnsi="Arial"/>
          <w:sz w:val="22"/>
          <w:szCs w:val="22"/>
        </w:rPr>
        <w:t xml:space="preserve">Role assignment: Junior Attorney (default) or Senior Attorney (requires co-approval by an existing Senior Attorney).</w:t>
      </w:r>
    </w:p>
    <w:p>
      <w:pPr>
        <w:pStyle w:val="ListParagraph"/>
        <w:numPr>
          <w:ilvl w:val="0"/>
          <w:numId w:val="3"/>
        </w:numPr>
        <w:spacing w:after="80"/>
      </w:pPr>
      <w:r>
        <w:rPr>
          <w:rFonts w:ascii="Arial" w:cs="Arial" w:eastAsia="Arial" w:hAnsi="Arial"/>
          <w:sz w:val="22"/>
          <w:szCs w:val="22"/>
        </w:rPr>
        <w:t xml:space="preserve">Account activation email with time-limited single-use first-login link.</w:t>
      </w:r>
    </w:p>
    <w:p>
      <w:pPr>
        <w:spacing w:after="80"/>
      </w:pPr>
      <w:r>
        <w:t xml:space="preserve"/>
      </w:r>
    </w:p>
    <w:p>
      <w:pPr>
        <w:pStyle w:val="Heading3"/>
        <w:spacing w:after="80" w:before="200"/>
      </w:pPr>
      <w:r>
        <w:rPr>
          <w:rFonts w:ascii="Arial" w:cs="Arial" w:eastAsia="Arial" w:hAnsi="Arial"/>
          <w:b/>
          <w:bCs/>
          <w:color w:val="0D2B45"/>
          <w:sz w:val="24"/>
          <w:szCs w:val="24"/>
        </w:rPr>
        <w:t xml:space="preserve">Non-Legal Staff Pathway (Paralegal / Administrative)</w:t>
      </w:r>
    </w:p>
    <w:p>
      <w:pPr>
        <w:pStyle w:val="ListParagraph"/>
        <w:numPr>
          <w:ilvl w:val="0"/>
          <w:numId w:val="3"/>
        </w:numPr>
        <w:spacing w:after="80"/>
      </w:pPr>
      <w:r>
        <w:rPr>
          <w:rFonts w:ascii="Arial" w:cs="Arial" w:eastAsia="Arial" w:hAnsi="Arial"/>
          <w:sz w:val="22"/>
          <w:szCs w:val="22"/>
        </w:rPr>
        <w:t xml:space="preserve">Email address verification via 6-digit OTP.</w:t>
      </w:r>
    </w:p>
    <w:p>
      <w:pPr>
        <w:pStyle w:val="ListParagraph"/>
        <w:numPr>
          <w:ilvl w:val="0"/>
          <w:numId w:val="3"/>
        </w:numPr>
        <w:spacing w:after="80"/>
      </w:pPr>
      <w:r>
        <w:rPr>
          <w:rFonts w:ascii="Arial" w:cs="Arial" w:eastAsia="Arial" w:hAnsi="Arial"/>
          <w:sz w:val="22"/>
          <w:szCs w:val="22"/>
        </w:rPr>
        <w:t xml:space="preserve">Manager (Senior Attorney or Admin) approval request sent automatically on email verification.</w:t>
      </w:r>
    </w:p>
    <w:p>
      <w:pPr>
        <w:pStyle w:val="ListParagraph"/>
        <w:numPr>
          <w:ilvl w:val="0"/>
          <w:numId w:val="3"/>
        </w:numPr>
        <w:spacing w:after="80"/>
      </w:pPr>
      <w:r>
        <w:rPr>
          <w:rFonts w:ascii="Arial" w:cs="Arial" w:eastAsia="Arial" w:hAnsi="Arial"/>
          <w:sz w:val="22"/>
          <w:szCs w:val="22"/>
        </w:rPr>
        <w:t xml:space="preserve">AAL2 MFA setup on manager approval.</w:t>
      </w:r>
    </w:p>
    <w:p>
      <w:pPr>
        <w:pStyle w:val="ListParagraph"/>
        <w:numPr>
          <w:ilvl w:val="0"/>
          <w:numId w:val="3"/>
        </w:numPr>
        <w:spacing w:after="80"/>
      </w:pPr>
      <w:r>
        <w:rPr>
          <w:rFonts w:ascii="Arial" w:cs="Arial" w:eastAsia="Arial" w:hAnsi="Arial"/>
          <w:sz w:val="22"/>
          <w:szCs w:val="22"/>
        </w:rPr>
        <w:t xml:space="preserve">Role assignment by approving manager: Paralegal, Administrator, or Researcher.</w:t>
      </w:r>
    </w:p>
    <w:p>
      <w:pPr>
        <w:pStyle w:val="ListParagraph"/>
        <w:numPr>
          <w:ilvl w:val="0"/>
          <w:numId w:val="3"/>
        </w:numPr>
        <w:spacing w:after="80"/>
      </w:pPr>
      <w:r>
        <w:rPr>
          <w:rFonts w:ascii="Arial" w:cs="Arial" w:eastAsia="Arial" w:hAnsi="Arial"/>
          <w:sz w:val="22"/>
          <w:szCs w:val="22"/>
        </w:rPr>
        <w:t xml:space="preserve">Account activation follows manager confirmation.</w:t>
      </w:r>
    </w:p>
    <w:p>
      <w:pPr>
        <w:spacing w:after="160"/>
      </w:pPr>
      <w:r>
        <w:t xml:space="preserve"/>
      </w:r>
    </w:p>
    <w:p>
      <w:r>
        <w:br w:type="page"/>
      </w:r>
    </w:p>
    <w:p>
      <w:pPr>
        <w:pStyle w:val="Heading1"/>
        <w:spacing w:after="180" w:before="440"/>
      </w:pPr>
      <w:r>
        <w:rPr>
          <w:rFonts w:ascii="Arial" w:cs="Arial" w:eastAsia="Arial" w:hAnsi="Arial"/>
          <w:b/>
          <w:bCs/>
          <w:color w:val="1F4E79"/>
          <w:sz w:val="34"/>
          <w:szCs w:val="34"/>
        </w:rPr>
        <w:t xml:space="preserve">24.  AI Risk Management (ISO 42001 + NIST AI RMF)</w:t>
      </w:r>
    </w:p>
    <w:p>
      <w:pPr>
        <w:spacing w:after="140" w:line="330"/>
        <w:jc w:val="both"/>
      </w:pPr>
      <w:r>
        <w:rPr>
          <w:rFonts w:ascii="Arial" w:cs="Arial" w:eastAsia="Arial" w:hAnsi="Arial"/>
          <w:b w:val="false"/>
          <w:bCs w:val="false"/>
          <w:sz w:val="22"/>
          <w:szCs w:val="22"/>
        </w:rPr>
        <w:t xml:space="preserve">ALMAS LAW's AI Risk Management framework is structured around ISO 42001:2023 (Artificial Intelligence Management System) and the NIST AI RMF (NIST AI 100-1, 2023). ISO 42001 provides the organizational management system; NIST AI RMF provides the four-function operational model: Govern, Map, Measure, Manage.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600"/>
        <w:gridCol w:w="1200"/>
        <w:gridCol w:w="3580"/>
      </w:tblGrid>
      <w:tr>
        <w:trPr>
          <w:tblHeader/>
        </w:trPr>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Risk ID</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Risk Type</w:t>
            </w:r>
          </w:p>
        </w:tc>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Description</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Severity</w:t>
            </w:r>
          </w:p>
        </w:tc>
        <w:tc>
          <w:tcPr>
            <w:tcW w:type="dxa" w:w="35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Mitigation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Hallucination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 generates false legal citations not in retrieved evidence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Critical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Citation-Locked schema + Knowledge Validation Engine Level 2 citation verification</w:t>
            </w:r>
          </w:p>
        </w:tc>
      </w:tr>
      <w:tr>
        <w:tc>
          <w:tcPr>
            <w:tcW w:type="dxa" w:w="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R-02</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Prompt Injection</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Adversarial content in retrieved documents manipulates agent behavior</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35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ICON latent-space detection; ParseData sanitization; agent context size limits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R-03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 Leakage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Client PII transmitted to external LLM API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Critical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Privacy Gateway + Whistledown + AMR local-only routing constraint for client data</w:t>
            </w:r>
          </w:p>
        </w:tc>
      </w:tr>
      <w:tr>
        <w:tc>
          <w:tcPr>
            <w:tcW w:type="dxa" w:w="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R-04</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AI Register Failure</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Model generates grammatically valid but legally inappropriate Arabic</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35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AI Optimization Agent: AraELECTRA gate + JAIS rewriting + CAMeL morphological validation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R-05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Unauthorized Practice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System output used as legal advice without attorney review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Critical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HITL Gateway: no bypass path exists architecturally; enforced in LangGraph state machine</w:t>
            </w:r>
          </w:p>
        </w:tc>
      </w:tr>
      <w:tr>
        <w:tc>
          <w:tcPr>
            <w:tcW w:type="dxa" w:w="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R-06</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Model Bias</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Systemic differential recommendations across demographic groups</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35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Quarterly Bias Audit; Legal Audit Engine demographic analysis reports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R-07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Training Data Memorization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Fine-tuned model memorizes and reveals client-specific case 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Critical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Tier 5 Institutional Learning Memory only; all data anonymized before entry into Tier 5</w:t>
            </w:r>
          </w:p>
        </w:tc>
      </w:tr>
      <w:tr>
        <w:tc>
          <w:tcPr>
            <w:tcW w:type="dxa" w:w="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R-08</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Agent Privilege Escalation</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Agent accesses data outside its authorized token scope</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35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Token Isolation; Behavioral Identity fingerprinting; automatic agent suspension on violation</w:t>
            </w:r>
          </w:p>
        </w:tc>
      </w:tr>
    </w:tbl>
    <w:p>
      <w:pPr>
        <w:spacing w:after="160"/>
      </w:pPr>
      <w:r>
        <w:t xml:space="preserve"/>
      </w:r>
    </w:p>
    <w:p>
      <w:r>
        <w:br w:type="page"/>
      </w:r>
    </w:p>
    <w:p>
      <w:pPr>
        <w:pStyle w:val="Heading1"/>
        <w:spacing w:after="180" w:before="440"/>
      </w:pPr>
      <w:r>
        <w:rPr>
          <w:rFonts w:ascii="Arial" w:cs="Arial" w:eastAsia="Arial" w:hAnsi="Arial"/>
          <w:b/>
          <w:bCs/>
          <w:color w:val="1F4E79"/>
          <w:sz w:val="34"/>
          <w:szCs w:val="34"/>
        </w:rPr>
        <w:t xml:space="preserve">25.  Threat Modeling (STRIDE + LLM Extensions)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600"/>
        <w:gridCol w:w="3080"/>
      </w:tblGrid>
      <w:tr>
        <w:trPr>
          <w:tblHeader/>
        </w:trP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Threat</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Category</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Attack Vector</w:t>
            </w:r>
          </w:p>
        </w:tc>
        <w:tc>
          <w:tcPr>
            <w:tcW w:type="dxa" w:w="30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Control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Direct Prompt Injection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LLM-Specific</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Malicious instructions in client input hijack agent behavior</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ALLE normalization; input schema validation; Privacy Gateway context isolation</w:t>
            </w:r>
          </w:p>
        </w:tc>
      </w:tr>
      <w:tr>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Indirect Prompt Injection</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LLM-Specific</w:t>
            </w:r>
          </w:p>
        </w:tc>
        <w:tc>
          <w:tcPr>
            <w:tcW w:type="dxa" w:w="3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Adversarial instructions in retrieved legal documents</w:t>
            </w:r>
          </w:p>
        </w:tc>
        <w:tc>
          <w:tcPr>
            <w:tcW w:type="dxa" w:w="30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ICON latent-space detection; ParseData tool-result sanitization; retrieved content sandboxed from instruction space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Retrieval Poisoning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LLM-Specific</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Polluted Knowledge Hub with doctored legal texts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Provenance verification at ingestion; Legal Update Engine source authentication; ICON on all retrieved chunks</w:t>
            </w:r>
          </w:p>
        </w:tc>
      </w:tr>
      <w:tr>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Prompt Leakage</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Information Disclosure</w:t>
            </w:r>
          </w:p>
        </w:tc>
        <w:tc>
          <w:tcPr>
            <w:tcW w:type="dxa" w:w="3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Queries designed to reveal system prompt architecture</w:t>
            </w:r>
          </w:p>
        </w:tc>
        <w:tc>
          <w:tcPr>
            <w:tcW w:type="dxa" w:w="30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Output monitoring for prompt-pattern reproduction; rate limiting; system prompt never transmitted to client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Session Hijacking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Spoofing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Attacker acquires active lawyer session token</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AAL3 for Senior Attorney; short-lived JWT (15 min); Redis session revocation on anomaly</w:t>
            </w:r>
          </w:p>
        </w:tc>
      </w:tr>
      <w:tr>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Agent Impersonation</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Spoofing</w:t>
            </w:r>
          </w:p>
        </w:tc>
        <w:tc>
          <w:tcPr>
            <w:tcW w:type="dxa" w:w="3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Malicious process claims to be legitimate LangGraph agent</w:t>
            </w:r>
          </w:p>
        </w:tc>
        <w:tc>
          <w:tcPr>
            <w:tcW w:type="dxa" w:w="30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Agent Persona Framework (Keycloak service accounts); mutual TLS between services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 Exfiltration via LLM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Information Disclosure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Client data extracted through carefully crafted inference queries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Local-only routing for client data; no external API calls with client context; Whistledown pseudonymization</w:t>
            </w:r>
          </w:p>
        </w:tc>
      </w:tr>
      <w:tr>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Supply Chain Attack</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Tampering</w:t>
            </w:r>
          </w:p>
        </w:tc>
        <w:tc>
          <w:tcPr>
            <w:tcW w:type="dxa" w:w="3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Compromised model weights or dependency packages</w:t>
            </w:r>
          </w:p>
        </w:tc>
        <w:tc>
          <w:tcPr>
            <w:tcW w:type="dxa" w:w="30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Signed model checksums; Trivy container image scanning; dependency pinning; SBOM maintenance</w:t>
            </w:r>
          </w:p>
        </w:tc>
      </w:tr>
    </w:tbl>
    <w:p>
      <w:pPr>
        <w:spacing w:after="160"/>
      </w:pPr>
      <w:r>
        <w:t xml:space="preserve"/>
      </w:r>
    </w:p>
    <w:p>
      <w:r>
        <w:br w:type="page"/>
      </w:r>
    </w:p>
    <w:p>
      <w:pPr>
        <w:pStyle w:val="Heading1"/>
        <w:spacing w:after="180" w:before="440"/>
      </w:pPr>
      <w:r>
        <w:rPr>
          <w:rFonts w:ascii="Arial" w:cs="Arial" w:eastAsia="Arial" w:hAnsi="Arial"/>
          <w:b/>
          <w:bCs/>
          <w:color w:val="1F4E79"/>
          <w:sz w:val="34"/>
          <w:szCs w:val="34"/>
        </w:rPr>
        <w:t xml:space="preserve">26.  Enterprise Observability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400"/>
        <w:gridCol w:w="2680"/>
      </w:tblGrid>
      <w:tr>
        <w:trPr>
          <w:tblHeader/>
        </w:trP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Tool</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Role</w:t>
            </w:r>
          </w:p>
        </w:tc>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Key Metrics / Data</w:t>
            </w:r>
          </w:p>
        </w:tc>
        <w:tc>
          <w:tcPr>
            <w:tcW w:type="dxa" w:w="2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Alert Threshold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OpenTelemetry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Distributed tracing and metrics emission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 execution spans, API call latency, token usage, Redis operations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SLA breach triggers Warning automatically</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Prometheus</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Time-series metrics storage and alerting</w:t>
            </w:r>
          </w:p>
        </w:tc>
        <w:tc>
          <w:tcPr>
            <w:tcW w:type="dxa" w:w="3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RIE latency, citation accuracy rate, HITL approval rate, error rates per agent, GPU utilization</w:t>
            </w:r>
          </w:p>
        </w:tc>
        <w:tc>
          <w:tcPr>
            <w:tcW w:type="dxa" w:w="2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P95 latency &gt; 60s → Warning; citation accuracy &lt; 90% → Critical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Grafana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Metrics visualization and operational dashboards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Pipeline latency dashboards, model cost tracking, agent collaboration score, HITL queue depth</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HITL queue depth &gt; 10 for &gt; 1 hour → Warning</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Loki</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Structured log aggregation</w:t>
            </w:r>
          </w:p>
        </w:tc>
        <w:tc>
          <w:tcPr>
            <w:tcW w:type="dxa" w:w="3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Agent invocation logs, validation failures, Privacy Gateway audit events, Redis state events</w:t>
            </w:r>
          </w:p>
        </w:tc>
        <w:tc>
          <w:tcPr>
            <w:tcW w:type="dxa" w:w="2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Privacy Gateway failure → Critical (halt pipeline)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Jaeger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Distributed trace visualization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End-to-end Stage 01→16 trace with per-stage latency and agent correlation</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practical threshold; used for investigation and SLA analysis</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Falco</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Kernel-level runtime anomaly detection</w:t>
            </w:r>
          </w:p>
        </w:tc>
        <w:tc>
          <w:tcPr>
            <w:tcW w:type="dxa" w:w="3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Unexpected syscalls, unauthorized network connections, container escape, agent behavioral deviations</w:t>
            </w:r>
          </w:p>
        </w:tc>
        <w:tc>
          <w:tcPr>
            <w:tcW w:type="dxa" w:w="2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Any deviation from expected agent syscall profile → P1 Security Alert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Wazuh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Host-based SIEM and intrusion detection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PostgreSQL audit log correlation, Keycloak auth events, MinIO access logs, multi-service event correlation</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Multi-service anomaly correlation → P2 Security Alert</w:t>
            </w:r>
          </w:p>
        </w:tc>
      </w:tr>
    </w:tbl>
    <w:p>
      <w:pPr>
        <w:spacing w:after="160"/>
      </w:pPr>
      <w:r>
        <w:t xml:space="preserve"/>
      </w:r>
    </w:p>
    <w:p>
      <w:r>
        <w:br w:type="page"/>
      </w:r>
    </w:p>
    <w:p>
      <w:pPr>
        <w:pStyle w:val="Heading1"/>
        <w:spacing w:after="180" w:before="440"/>
      </w:pPr>
      <w:r>
        <w:rPr>
          <w:rFonts w:ascii="Arial" w:cs="Arial" w:eastAsia="Arial" w:hAnsi="Arial"/>
          <w:b/>
          <w:bCs/>
          <w:color w:val="1F4E79"/>
          <w:sz w:val="34"/>
          <w:szCs w:val="34"/>
        </w:rPr>
        <w:t xml:space="preserve">27.  Human-in-the-Loop Framework</w:t>
      </w:r>
    </w:p>
    <w:p>
      <w:pPr>
        <w:pStyle w:val="Heading2"/>
        <w:spacing w:after="120" w:before="300"/>
      </w:pPr>
      <w:r>
        <w:rPr>
          <w:rFonts w:ascii="Arial" w:cs="Arial" w:eastAsia="Arial" w:hAnsi="Arial"/>
          <w:b/>
          <w:bCs/>
          <w:color w:val="1F4E79"/>
          <w:sz w:val="27"/>
          <w:szCs w:val="27"/>
        </w:rPr>
        <w:t xml:space="preserve">27.1  HITL Gateway Design</w:t>
      </w:r>
    </w:p>
    <w:p>
      <w:pPr>
        <w:spacing w:after="140" w:line="330"/>
        <w:jc w:val="both"/>
      </w:pPr>
      <w:r>
        <w:rPr>
          <w:rFonts w:ascii="Arial" w:cs="Arial" w:eastAsia="Arial" w:hAnsi="Arial"/>
          <w:b w:val="false"/>
          <w:bCs w:val="false"/>
          <w:sz w:val="22"/>
          <w:szCs w:val="22"/>
        </w:rPr>
        <w:t xml:space="preserve">The Human-in-the-Loop Gateway is architecturally positioned as the mandatory terminal stage of every legal advisory pipeline execution. No pathway exists within the ALMAS LAW standard deployment for legal outputs to bypass attorney review — this is enforced at the LangGraph orchestration level, not by deployment policy. APPROVE / CORRECT / REJECT are the only state transitions that exit the HITL stage. The gateway presents a four-panel Review Interface: Substantive Output, Reasoning Report (Explainability Engine), Evidence Map, and Risk and Confidence panel with AAS scores, validation flags, and per-claim confidence scores.</w:t>
      </w:r>
    </w:p>
    <w:p>
      <w:pPr>
        <w:pStyle w:val="Heading2"/>
        <w:spacing w:after="120" w:before="300"/>
      </w:pPr>
      <w:r>
        <w:rPr>
          <w:rFonts w:ascii="Arial" w:cs="Arial" w:eastAsia="Arial" w:hAnsi="Arial"/>
          <w:b/>
          <w:bCs/>
          <w:color w:val="1F4E79"/>
          <w:sz w:val="27"/>
          <w:szCs w:val="27"/>
        </w:rPr>
        <w:t xml:space="preserve">27.2  Attorney Action Protocols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600"/>
        <w:gridCol w:w="3280"/>
      </w:tblGrid>
      <w:tr>
        <w:trPr>
          <w:tblHeader/>
        </w:trP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Action</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Pipeline Effect</w:t>
            </w:r>
          </w:p>
        </w:tc>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Learning Engine Trigger</w:t>
            </w:r>
          </w:p>
        </w:tc>
        <w:tc>
          <w:tcPr>
            <w:tcW w:type="dxa" w:w="3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Legal Audit Record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APPROVE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 released; stored in Document Workspace; Episodic Memory archived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correction triggered; output marked as validated high-confidence reference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HITL_APPROVE: lawyer_id, timestamp, task_id, output_hash — permanent in Z7</w:t>
            </w:r>
          </w:p>
        </w:tc>
      </w:tr>
      <w:tr>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CORRECT</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Attorney modifies output; correction captured with optional annotation; corrected version released</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Correction → Institutional Learning Memory (Tier 5); Playbook refinement analysis triggered</w:t>
            </w:r>
          </w:p>
        </w:tc>
        <w:tc>
          <w:tcPr>
            <w:tcW w:type="dxa" w:w="32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HITL_CORRECT: lawyer_id, original_hash, corrected_hash, semantic_delta, annotation — permanent in Z7</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REJECT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 discarded; task restarted at Stage 03 with rejection reason as high-priority constraint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 learning event (rejection reasons preserved for diagnostics, not used as fine-tuning signal without annotation)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HITL_REJECT: lawyer_id, rejection_reason, task_id, timestamp — permanent in Z7</w:t>
            </w:r>
          </w:p>
        </w:tc>
      </w:tr>
    </w:tbl>
    <w:p>
      <w:pPr>
        <w:spacing w:after="160"/>
      </w:pPr>
      <w:r>
        <w:t xml:space="preserve"/>
      </w:r>
    </w:p>
    <w:p>
      <w:r>
        <w:br w:type="page"/>
      </w:r>
    </w:p>
    <w:p>
      <w:pPr>
        <w:pStyle w:val="Heading1"/>
        <w:spacing w:after="180" w:before="440"/>
      </w:pPr>
      <w:r>
        <w:rPr>
          <w:rFonts w:ascii="Arial" w:cs="Arial" w:eastAsia="Arial" w:hAnsi="Arial"/>
          <w:b/>
          <w:bCs/>
          <w:color w:val="1F4E79"/>
          <w:sz w:val="34"/>
          <w:szCs w:val="34"/>
        </w:rPr>
        <w:t xml:space="preserve">28.  Legal Audit Engine (Engine 17)</w:t>
      </w:r>
    </w:p>
    <w:p>
      <w:pPr>
        <w:pBdr>
          <w:left w:val="single" w:color="006666" w:sz="18" w:space="6"/>
        </w:pBdr>
        <w:shd w:fill="E0F2F2" w:val="clear"/>
        <w:spacing w:after="80" w:before="80"/>
        <w:ind w:left="200"/>
      </w:pPr>
      <w:r>
        <w:rPr>
          <w:rFonts w:ascii="Arial" w:cs="Arial" w:eastAsia="Arial" w:hAnsi="Arial"/>
          <w:sz w:val="21"/>
          <w:szCs w:val="21"/>
        </w:rPr>
        <w:t xml:space="preserve">Engine 17 is a new v2.2 addition. Its distinction from infrastructure audit logging is architecturally significant and carries direct professional ethics and regulatory compliance implications.</w:t>
      </w:r>
    </w:p>
    <w:p>
      <w:pPr>
        <w:spacing w:after="80"/>
      </w:pPr>
      <w:r>
        <w:t xml:space="preserve"/>
      </w:r>
    </w:p>
    <w:p>
      <w:pPr>
        <w:pStyle w:val="Heading2"/>
        <w:spacing w:after="120" w:before="300"/>
      </w:pPr>
      <w:r>
        <w:rPr>
          <w:rFonts w:ascii="Arial" w:cs="Arial" w:eastAsia="Arial" w:hAnsi="Arial"/>
          <w:b/>
          <w:bCs/>
          <w:color w:val="1F4E79"/>
          <w:sz w:val="27"/>
          <w:szCs w:val="27"/>
        </w:rPr>
        <w:t xml:space="preserve">28.1  Infrastructure Audit Log vs. Legal Audit Engine</w:t>
      </w:r>
    </w:p>
    <w:p>
      <w:pPr>
        <w:spacing w:after="140" w:line="330"/>
        <w:jc w:val="both"/>
      </w:pPr>
      <w:r>
        <w:rPr>
          <w:rFonts w:ascii="Arial" w:cs="Arial" w:eastAsia="Arial" w:hAnsi="Arial"/>
          <w:b w:val="false"/>
          <w:bCs w:val="false"/>
          <w:sz w:val="22"/>
          <w:szCs w:val="22"/>
        </w:rPr>
        <w:t xml:space="preserve">The infrastructure audit log (Zone Z6) records system events — API calls, database queries, authentication events, agent invocations — and answers: "what did the system do?" The Legal Audit Engine (Zone Z7) records legal responsibility events — who gave what legal advice, on what evidentiary basis, verified by which licensed attorney, at what time — and answers: "who is professionally responsible for this legal conclusion?" This distinction is critical for professional ethics defence in malpractice claims and for regulatory compliance with Law No. 151/2020.</w:t>
      </w:r>
    </w:p>
    <w:p>
      <w:pPr>
        <w:pStyle w:val="Heading2"/>
        <w:spacing w:after="120" w:before="300"/>
      </w:pPr>
      <w:r>
        <w:rPr>
          <w:rFonts w:ascii="Arial" w:cs="Arial" w:eastAsia="Arial" w:hAnsi="Arial"/>
          <w:b/>
          <w:bCs/>
          <w:color w:val="1F4E79"/>
          <w:sz w:val="27"/>
          <w:szCs w:val="27"/>
        </w:rPr>
        <w:t xml:space="preserve">28.2  Legal Audit Record Schema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6280"/>
      </w:tblGrid>
      <w:tr>
        <w:trPr>
          <w:tblHeader/>
        </w:trP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Field</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Type</w:t>
            </w:r>
          </w:p>
        </w:tc>
        <w:tc>
          <w:tcPr>
            <w:tcW w:type="dxa" w:w="6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legal_audit_id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UUID (PK)</w:t>
            </w:r>
          </w:p>
        </w:tc>
        <w:tc>
          <w:tcPr>
            <w:tcW w:type="dxa" w:w="6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Immutable primary key; created once and never modified</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task_id</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UUID (FK)</w:t>
            </w:r>
          </w:p>
        </w:tc>
        <w:tc>
          <w:tcPr>
            <w:tcW w:type="dxa" w:w="62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Links to the pipeline task that produced this legal output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output_version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Integer</w:t>
            </w:r>
          </w:p>
        </w:tc>
        <w:tc>
          <w:tcPr>
            <w:tcW w:type="dxa" w:w="6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Version counter; incremented on each CORRECT action; full history preserved</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output_hash</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SHA-256</w:t>
            </w:r>
          </w:p>
        </w:tc>
        <w:tc>
          <w:tcPr>
            <w:tcW w:type="dxa" w:w="62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Cryptographic hash of output content at this version; tamper-evidence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legal_domain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Enum</w:t>
            </w:r>
          </w:p>
        </w:tc>
        <w:tc>
          <w:tcPr>
            <w:tcW w:type="dxa" w:w="6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Criminal / Civil / Commercial / Labor / Procedural</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responsible_attorney_id</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UUID</w:t>
            </w:r>
          </w:p>
        </w:tc>
        <w:tc>
          <w:tcPr>
            <w:tcW w:type="dxa" w:w="62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Keycloak user ID of attorney who took the HITL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attorney_bar_number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 (encrypted)</w:t>
            </w:r>
          </w:p>
        </w:tc>
        <w:tc>
          <w:tcPr>
            <w:tcW w:type="dxa" w:w="6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Bar Association number; stored AES-256 encrypted; decryptable only by Admin</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hitl_action</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Enum</w:t>
            </w:r>
          </w:p>
        </w:tc>
        <w:tc>
          <w:tcPr>
            <w:tcW w:type="dxa" w:w="62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APPROVE / CORRECT / REJECT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correction_reason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Text (nullable)</w:t>
            </w:r>
          </w:p>
        </w:tc>
        <w:tc>
          <w:tcPr>
            <w:tcW w:type="dxa" w:w="6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Attorney annotation for CORRECT or REJECT actions</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evidence_package_hash</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SHA-256</w:t>
            </w:r>
          </w:p>
        </w:tc>
        <w:tc>
          <w:tcPr>
            <w:tcW w:type="dxa" w:w="62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Hash of evidence package used for this output; links to retrieval audit record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timestamp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Timestamptz</w:t>
            </w:r>
          </w:p>
        </w:tc>
        <w:tc>
          <w:tcPr>
            <w:tcW w:type="dxa" w:w="6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UTC timestamp of HITL action; immutable once written</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responsibility_chain</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JSONB</w:t>
            </w:r>
          </w:p>
        </w:tc>
        <w:tc>
          <w:tcPr>
            <w:tcW w:type="dxa" w:w="62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Array of all prior audit records for this task (for multi-CORRECT revision history)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legal_hold_flag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Boolean</w:t>
            </w:r>
          </w:p>
        </w:tc>
        <w:tc>
          <w:tcPr>
            <w:tcW w:type="dxa" w:w="6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If true: record exempt from all deletion processes regardless of retention policy</w:t>
            </w:r>
          </w:p>
        </w:tc>
      </w:tr>
    </w:tbl>
    <w:p>
      <w:pPr>
        <w:spacing w:after="80"/>
      </w:pPr>
      <w:r>
        <w:t xml:space="preserve"/>
      </w:r>
    </w:p>
    <w:p>
      <w:pPr>
        <w:pStyle w:val="Heading2"/>
        <w:spacing w:after="120" w:before="300"/>
      </w:pPr>
      <w:r>
        <w:rPr>
          <w:rFonts w:ascii="Arial" w:cs="Arial" w:eastAsia="Arial" w:hAnsi="Arial"/>
          <w:b/>
          <w:bCs/>
          <w:color w:val="1F4E79"/>
          <w:sz w:val="27"/>
          <w:szCs w:val="27"/>
        </w:rPr>
        <w:t xml:space="preserve">28.3  Immutability and Retention Enforcement</w:t>
      </w:r>
    </w:p>
    <w:p>
      <w:pPr>
        <w:spacing w:after="140" w:line="330"/>
        <w:jc w:val="both"/>
      </w:pPr>
      <w:r>
        <w:rPr>
          <w:rFonts w:ascii="Arial" w:cs="Arial" w:eastAsia="Arial" w:hAnsi="Arial"/>
          <w:b w:val="false"/>
          <w:bCs w:val="false"/>
          <w:sz w:val="22"/>
          <w:szCs w:val="22"/>
        </w:rPr>
        <w:t xml:space="preserve">Legal Audit Engine records are append-only: PostgreSQL RLS policy grants INSERT permission to compliance_agent and denies UPDATE and DELETE to all roles. Retention is permanent by default. Legal hold (legal_hold_flag = true) is applied automatically when a case is flagged as subject to litigation or regulatory investigation — preventing any data deletion regardless of other retention policies. This architecture satisfies the Professional Conduct requirements of the Egyptian Bar Association and the record-keeping obligations under Law No. 151/2020.</w:t>
      </w:r>
    </w:p>
    <w:p>
      <w:pPr>
        <w:spacing w:after="160"/>
      </w:pPr>
      <w:r>
        <w:t xml:space="preserve"/>
      </w:r>
    </w:p>
    <w:p>
      <w:r>
        <w:br w:type="page"/>
      </w:r>
    </w:p>
    <w:p>
      <w:pPr>
        <w:pStyle w:val="Heading1"/>
        <w:spacing w:after="180" w:before="440"/>
      </w:pPr>
      <w:r>
        <w:rPr>
          <w:rFonts w:ascii="Arial" w:cs="Arial" w:eastAsia="Arial" w:hAnsi="Arial"/>
          <w:b/>
          <w:bCs/>
          <w:color w:val="1F4E79"/>
          <w:sz w:val="34"/>
          <w:szCs w:val="34"/>
        </w:rPr>
        <w:t xml:space="preserve">29.  Evaluation Framework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2800"/>
        <w:gridCol w:w="1200"/>
        <w:gridCol w:w="2680"/>
      </w:tblGrid>
      <w:tr>
        <w:trPr>
          <w:tblHeader/>
        </w:trP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ID</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Metric</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Definition</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Target</w:t>
            </w:r>
          </w:p>
        </w:tc>
        <w:tc>
          <w:tcPr>
            <w:tcW w:type="dxa" w:w="2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Measurement Method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Legal Qualification Accuracy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legal issue classifications matching expert attorney assessment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90%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200-case Egyptian Law Benchmark with expert panel review</w:t>
            </w:r>
          </w:p>
        </w:tc>
      </w:tr>
      <w:tr>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M-02</w:t>
            </w:r>
          </w:p>
        </w:tc>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Citation Accuracy Rate</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 citations verified against Knowledge Hub</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 95%</w:t>
            </w:r>
          </w:p>
        </w:tc>
        <w:tc>
          <w:tcPr>
            <w:tcW w:type="dxa" w:w="2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Automated Qdrant/Neo4j verification on sampled outputs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Retrieval Precision@5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top-5 results rated relevant by domain expert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85%</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Expert annotation of 500 retrieval samples</w:t>
            </w:r>
          </w:p>
        </w:tc>
      </w:tr>
      <w:tr>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M-04</w:t>
            </w:r>
          </w:p>
        </w:tc>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Hallucination Rate</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 legal claims not traceable to any retrieved source</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 3%</w:t>
            </w:r>
          </w:p>
        </w:tc>
        <w:tc>
          <w:tcPr>
            <w:tcW w:type="dxa" w:w="2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Citation-lock enforcement rate + expert audit sample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Legal Drafting Quality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Expert quality score (1–10 scale, blind evaluation)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8.0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Evaluation by 5 practicing Egyptian attorneys</w:t>
            </w:r>
          </w:p>
        </w:tc>
      </w:tr>
      <w:tr>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M-06</w:t>
            </w:r>
          </w:p>
        </w:tc>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AI-Detectability Score</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AraELECTRA classifier on final optimized outputs</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 0.15</w:t>
            </w:r>
          </w:p>
        </w:tc>
        <w:tc>
          <w:tcPr>
            <w:tcW w:type="dxa" w:w="2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Automated classification on sampled final outputs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Legal Register Score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AraLegal-BERT cosine similarity vs. LASRC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0.85</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Automated per-output scoring</w:t>
            </w:r>
          </w:p>
        </w:tc>
      </w:tr>
      <w:tr>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M-08</w:t>
            </w:r>
          </w:p>
        </w:tc>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HITL Approval Rate</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 submissions approved without correction after 6 months</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 75% (longitudinal)</w:t>
            </w:r>
          </w:p>
        </w:tc>
        <w:tc>
          <w:tcPr>
            <w:tcW w:type="dxa" w:w="2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HITL Gateway decision logs — monthly tracking</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 Collaboration Score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pipelines completing without manual intervention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85%</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Pipeline execution logs</w:t>
            </w:r>
          </w:p>
        </w:tc>
      </w:tr>
      <w:tr>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M-10</w:t>
            </w:r>
          </w:p>
        </w:tc>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Privacy Gateway Zero-Leak Rate</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 LLM prompts containing no original PII</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100%</w:t>
            </w:r>
          </w:p>
        </w:tc>
        <w:tc>
          <w:tcPr>
            <w:tcW w:type="dxa" w:w="2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Automated PII scanner on sampled prompt logs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Pipeline Latency (P95)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95th-percentile end-to-end latency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60 seconds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OpenTelemetry Jaeger trace data</w:t>
            </w:r>
          </w:p>
        </w:tc>
      </w:tr>
    </w:tbl>
    <w:p>
      <w:pPr>
        <w:spacing w:after="160"/>
      </w:pPr>
      <w:r>
        <w:t xml:space="preserve"/>
      </w:r>
    </w:p>
    <w:p>
      <w:r>
        <w:br w:type="page"/>
      </w:r>
    </w:p>
    <w:p>
      <w:pPr>
        <w:pStyle w:val="Heading1"/>
        <w:spacing w:after="180" w:before="440"/>
      </w:pPr>
      <w:r>
        <w:rPr>
          <w:rFonts w:ascii="Arial" w:cs="Arial" w:eastAsia="Arial" w:hAnsi="Arial"/>
          <w:b/>
          <w:bCs/>
          <w:color w:val="1F4E79"/>
          <w:sz w:val="34"/>
          <w:szCs w:val="34"/>
        </w:rPr>
        <w:t xml:space="preserve">30.  Benchmarking Framework</w:t>
      </w:r>
    </w:p>
    <w:p>
      <w:pPr>
        <w:pStyle w:val="Heading2"/>
        <w:spacing w:after="120" w:before="300"/>
      </w:pPr>
      <w:r>
        <w:rPr>
          <w:rFonts w:ascii="Arial" w:cs="Arial" w:eastAsia="Arial" w:hAnsi="Arial"/>
          <w:b/>
          <w:bCs/>
          <w:color w:val="1F4E79"/>
          <w:sz w:val="27"/>
          <w:szCs w:val="27"/>
        </w:rPr>
        <w:t xml:space="preserve">30.1  Competitive Capability Matrix</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1200"/>
        <w:gridCol w:w="1200"/>
        <w:gridCol w:w="1200"/>
        <w:gridCol w:w="1560"/>
        <w:gridCol w:w="1200"/>
        <w:gridCol w:w="1080"/>
      </w:tblGrid>
      <w:tr>
        <w:trPr>
          <w:tblHeader/>
        </w:trP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Capability</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ALMAS v2.2</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Harvey AI</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vLex Vincent</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Spellbook</w:t>
            </w:r>
          </w:p>
        </w:tc>
        <w:tc>
          <w:tcPr>
            <w:tcW w:type="dxa" w:w="1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W. CoCounsel</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ChatLaw</w:t>
            </w:r>
          </w:p>
        </w:tc>
        <w:tc>
          <w:tcPr>
            <w:tcW w:type="dxa" w:w="10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LawFlow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Architecture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17-engine multi-agent; schema-governed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GPT wrapper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RAG+search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GPT wrapper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RAG+WL DB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MoE agents</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Workflow auto.</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Arabic Legal Depth</w:t>
            </w:r>
          </w:p>
        </w:tc>
        <w:tc>
          <w:tcPr>
            <w:tcW w:type="dxa" w:w="1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Native Egyptian corpus; 6 codes; ALLE pipeline</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Very limited</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0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None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Schema Contracts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 Pydantic v2 at every boundary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Partial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Partial</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Privacy TEE Hardening</w:t>
            </w:r>
          </w:p>
        </w:tc>
        <w:tc>
          <w:tcPr>
            <w:tcW w:type="dxa" w:w="1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Portcullis (Intel TDX, optional tier)</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0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No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Differential Privacy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Whistledown (Laplace local DP)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Zero Trust Agents</w:t>
            </w:r>
          </w:p>
        </w:tc>
        <w:tc>
          <w:tcPr>
            <w:tcW w:type="dxa" w:w="1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Token Isolation + Persona + ICON + ParseData</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0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No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 Text Optimization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JAIS-30B / Aya-23 linguistic authenticity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Legal Audit Engine</w:t>
            </w:r>
          </w:p>
        </w:tc>
        <w:tc>
          <w:tcPr>
            <w:tcW w:type="dxa" w:w="1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Engine 17 — full responsibility chain</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Partial</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Partial</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0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No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Mandatory HITL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Architecturally enforced; no bypass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Optional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Optional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Optional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Optional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Optional</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Local Deployment</w:t>
            </w:r>
          </w:p>
        </w:tc>
        <w:tc>
          <w:tcPr>
            <w:tcW w:type="dxa" w:w="1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Full local-first; DeepSeek-R1, JAIS, Qwen</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Cloud only</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Cloud only</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Cloud only</w:t>
            </w:r>
          </w:p>
        </w:tc>
        <w:tc>
          <w:tcPr>
            <w:tcW w:type="dxa" w:w="1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Cloud only</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Research</w:t>
            </w:r>
          </w:p>
        </w:tc>
        <w:tc>
          <w:tcPr>
            <w:tcW w:type="dxa" w:w="10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Limited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CQRS Scalability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Explicit Command/Query separation; 2M DAU arch.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Partial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Partial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w:t>
            </w:r>
          </w:p>
        </w:tc>
      </w:tr>
    </w:tbl>
    <w:p>
      <w:pPr>
        <w:spacing w:after="160"/>
      </w:pPr>
      <w:r>
        <w:t xml:space="preserve"/>
      </w:r>
    </w:p>
    <w:p>
      <w:r>
        <w:br w:type="page"/>
      </w:r>
    </w:p>
    <w:p>
      <w:pPr>
        <w:pStyle w:val="Heading1"/>
        <w:spacing w:after="180" w:before="440"/>
      </w:pPr>
      <w:r>
        <w:rPr>
          <w:rFonts w:ascii="Arial" w:cs="Arial" w:eastAsia="Arial" w:hAnsi="Arial"/>
          <w:b/>
          <w:bCs/>
          <w:color w:val="1F4E79"/>
          <w:sz w:val="34"/>
          <w:szCs w:val="34"/>
        </w:rPr>
        <w:t xml:space="preserve">31.  Implementation Technology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900"/>
        <w:gridCol w:w="4180"/>
      </w:tblGrid>
      <w:tr>
        <w:trPr>
          <w:tblHeader/>
        </w:trP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Category</w:t>
            </w:r>
          </w:p>
        </w:tc>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Technology</w:t>
            </w:r>
          </w:p>
        </w:tc>
        <w:tc>
          <w:tcPr>
            <w:tcW w:type="dxa" w:w="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Version</w:t>
            </w:r>
          </w:p>
        </w:tc>
        <w:tc>
          <w:tcPr>
            <w:tcW w:type="dxa" w:w="41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Role in ALMAS LAW v2.2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 Orchestration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LangGraph (LangChain)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Latest</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Stateful graph multi-agent; conditional routing; Zero Trust token injection per node</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Local LLM — Reasoning</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DeepSeek-R1 (distilled local)</w:t>
            </w:r>
          </w:p>
        </w:tc>
        <w:tc>
          <w:tcPr>
            <w:tcW w:type="dxa" w:w="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V1</w:t>
            </w:r>
          </w:p>
        </w:tc>
        <w:tc>
          <w:tcPr>
            <w:tcW w:type="dxa" w:w="41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Complex IRAC reasoning; local deployment for all client-data tasks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Local LLM — Arabic Gen. (primary)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JAIS-30B (local)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V2</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 Optimization Agent primary rewriter; Drafting Agent for formal MSA legal Arabic</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Local LLM — Arabic Gen. (fallback)</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Aya-23-35B (local)</w:t>
            </w:r>
          </w:p>
        </w:tc>
        <w:tc>
          <w:tcPr>
            <w:tcW w:type="dxa" w:w="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2024</w:t>
            </w:r>
          </w:p>
        </w:tc>
        <w:tc>
          <w:tcPr>
            <w:tcW w:type="dxa" w:w="41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AI Optimization Agent fallback; strong multilingual Arabic register quality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Local LLM — Classification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Qwen-7B / Qwen-72B (local)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Fast intent classification (7B); complex reasoning fallback (72B)</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Cloud LLM (anonymized only)</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Claude (Anthropic API)</w:t>
            </w:r>
          </w:p>
        </w:tc>
        <w:tc>
          <w:tcPr>
            <w:tcW w:type="dxa" w:w="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claude-sonnet-4-6</w:t>
            </w:r>
          </w:p>
        </w:tc>
        <w:tc>
          <w:tcPr>
            <w:tcW w:type="dxa" w:w="41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Structural drafting templates where no client PII is present; Privacy Gateway verified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Arabic NLP — Legal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AraLegal-BERT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2022</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Legal embedding; NER; LASRC register scoring in AO-2</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Arabic NLP — General</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AraBERT</w:t>
            </w:r>
          </w:p>
        </w:tc>
        <w:tc>
          <w:tcPr>
            <w:tcW w:type="dxa" w:w="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V02</w:t>
            </w:r>
          </w:p>
        </w:tc>
        <w:tc>
          <w:tcPr>
            <w:tcW w:type="dxa" w:w="41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MSA encoding; register classification; dialect mapping support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Arabic NLP — Efficient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AraELECTRA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2021</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AI signature analysis in AO-1; intent classification in ALLE Stage 6</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Arabic NLP — Dialect</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MARBERT (fine-tuned)</w:t>
            </w:r>
          </w:p>
        </w:tc>
        <w:tc>
          <w:tcPr>
            <w:tcW w:type="dxa" w:w="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2021</w:t>
            </w:r>
          </w:p>
        </w:tc>
        <w:tc>
          <w:tcPr>
            <w:tcW w:type="dxa" w:w="41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Egyptian colloquial narrative → Penal Code formal classification (ALLE Stage 7)</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Arabic NLP Toolkit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CAMeL Tools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Morphological analysis; dialect ID; normalization; AO-4 morphological validation</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Vector Database</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Qdrant</w:t>
            </w:r>
          </w:p>
        </w:tc>
        <w:tc>
          <w:tcPr>
            <w:tcW w:type="dxa" w:w="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Latest</w:t>
            </w:r>
          </w:p>
        </w:tc>
        <w:tc>
          <w:tcPr>
            <w:tcW w:type="dxa" w:w="41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ANN search over legal corpus; payload filtering; multi-vector support for hybrid retrieval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Graph Database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Neo4j</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5.x</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Legal Citation Graph; Cypher-based multi-hop relational legal reasoning</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In-Memory State</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Redis</w:t>
            </w:r>
          </w:p>
        </w:tc>
        <w:tc>
          <w:tcPr>
            <w:tcW w:type="dxa" w:w="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7.x</w:t>
            </w:r>
          </w:p>
        </w:tc>
        <w:tc>
          <w:tcPr>
            <w:tcW w:type="dxa" w:w="41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Live workflow state; Whistledown session PRNG; agent context; retry queues; pub/sub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Relational DB</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PostgreSQL + pgvector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16.x</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CRM; Episodic Memory; Institutional Learning; Legal Audit (Z7); Infrastructure Audit (Z6); Personal Data Vault (Z3)</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IAM</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Keycloak</w:t>
            </w:r>
          </w:p>
        </w:tc>
        <w:tc>
          <w:tcPr>
            <w:tcW w:type="dxa" w:w="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Latest</w:t>
            </w:r>
          </w:p>
        </w:tc>
        <w:tc>
          <w:tcPr>
            <w:tcW w:type="dxa" w:w="41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OAuth2/OIDC; RBAC; agent service accounts; AAL1–3 MFA enforcement; dual registration flows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Secrets Mgmt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HashiCorp Vault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Latest</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AES-256 key management; dynamic database credentials; auto-rotation every 24 hours</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Policy Engine</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Open Policy Agent (OPA)</w:t>
            </w:r>
          </w:p>
        </w:tc>
        <w:tc>
          <w:tcPr>
            <w:tcW w:type="dxa" w:w="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Latest</w:t>
            </w:r>
          </w:p>
        </w:tc>
        <w:tc>
          <w:tcPr>
            <w:tcW w:type="dxa" w:w="41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Fine-grained authorization beyond RBAC; Rego policies per microservice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Observability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OpenTelemetry + Prometheus + Grafana + Loki + Jaeger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Latest</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Full-stack tracing, metrics, logging, alerting, and trace visualization</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Runtime Security</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Falco</w:t>
            </w:r>
          </w:p>
        </w:tc>
        <w:tc>
          <w:tcPr>
            <w:tcW w:type="dxa" w:w="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Latest</w:t>
            </w:r>
          </w:p>
        </w:tc>
        <w:tc>
          <w:tcPr>
            <w:tcW w:type="dxa" w:w="41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Kernel-level agent behavioral monitoring; container escape detection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SIEM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Wazuh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Latest</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Security event correlation; compliance reporting; multi-service intrusion detection</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Backend API</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FastAPI + Pydantic v2</w:t>
            </w:r>
          </w:p>
        </w:tc>
        <w:tc>
          <w:tcPr>
            <w:tcW w:type="dxa" w:w="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0.104+</w:t>
            </w:r>
          </w:p>
        </w:tc>
        <w:tc>
          <w:tcPr>
            <w:tcW w:type="dxa" w:w="41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Agent contract enforcement; WebSocket + REST; OIDC middleware; 16 microservices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Containerization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Docker + Docker Compose / Kubernetes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Latest</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Service isolation; local-first deployment; production k8s with HPA</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Document Storage</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MinIO</w:t>
            </w:r>
          </w:p>
        </w:tc>
        <w:tc>
          <w:tcPr>
            <w:tcW w:type="dxa" w:w="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Latest</w:t>
            </w:r>
          </w:p>
        </w:tc>
        <w:tc>
          <w:tcPr>
            <w:tcW w:type="dxa" w:w="41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S3-compatible local object storage for legal documents; SSE-S3 encryption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Frontend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React 18 + TypeScript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Latest</w:t>
            </w:r>
          </w:p>
        </w:tc>
        <w:tc>
          <w:tcPr>
            <w:tcW w:type="dxa" w:w="4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Law firm dashboard; HITL interface; Research Workspace; full Arabic RTL support</w:t>
            </w:r>
          </w:p>
        </w:tc>
      </w:tr>
    </w:tbl>
    <w:p>
      <w:pPr>
        <w:spacing w:after="160"/>
      </w:pPr>
      <w:r>
        <w:t xml:space="preserve"/>
      </w:r>
    </w:p>
    <w:p>
      <w:r>
        <w:br w:type="page"/>
      </w:r>
    </w:p>
    <w:p>
      <w:pPr>
        <w:pStyle w:val="Heading1"/>
        <w:spacing w:after="180" w:before="440"/>
      </w:pPr>
      <w:r>
        <w:rPr>
          <w:rFonts w:ascii="Arial" w:cs="Arial" w:eastAsia="Arial" w:hAnsi="Arial"/>
          <w:b/>
          <w:bCs/>
          <w:color w:val="1F4E79"/>
          <w:sz w:val="34"/>
          <w:szCs w:val="34"/>
        </w:rPr>
        <w:t xml:space="preserve">32.  Scalability Architecture — CQRS and 2M DAU Target</w:t>
      </w:r>
    </w:p>
    <w:p>
      <w:pPr>
        <w:pStyle w:val="Heading2"/>
        <w:spacing w:after="120" w:before="300"/>
      </w:pPr>
      <w:r>
        <w:rPr>
          <w:rFonts w:ascii="Arial" w:cs="Arial" w:eastAsia="Arial" w:hAnsi="Arial"/>
          <w:b/>
          <w:bCs/>
          <w:color w:val="1F4E79"/>
          <w:sz w:val="27"/>
          <w:szCs w:val="27"/>
        </w:rPr>
        <w:t xml:space="preserve">32.1  CQRS — Command Query Responsibility Segregation</w:t>
      </w:r>
    </w:p>
    <w:p>
      <w:pPr>
        <w:spacing w:after="140" w:line="330"/>
        <w:jc w:val="both"/>
      </w:pPr>
      <w:r>
        <w:rPr>
          <w:rFonts w:ascii="Arial" w:cs="Arial" w:eastAsia="Arial" w:hAnsi="Arial"/>
          <w:b w:val="false"/>
          <w:bCs w:val="false"/>
          <w:sz w:val="22"/>
          <w:szCs w:val="22"/>
        </w:rPr>
        <w:t xml:space="preserve">ALMAS LAW v2.2 explicitly implements CQRS (Command Query Responsibility Segregation) for its data access layer. CQRS separates all write operations (Commands: creating cases, generating legal documents, recording HITL decisions, writing audit records) from all read operations (Queries: legal research, case status, dashboards, reporting). This enables independent scaling of read and write capacity, read-path caching without write-path cache-invalidation complexity, and separate optimization of read models (denormalized for fast querying) from write models (normalized for ACID integrity).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2800"/>
        <w:gridCol w:w="2480"/>
      </w:tblGrid>
      <w:tr>
        <w:trPr>
          <w:tblHeader/>
        </w:trP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Path</w:t>
            </w:r>
          </w:p>
        </w:tc>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Components</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Optimization</w:t>
            </w:r>
          </w:p>
        </w:tc>
        <w:tc>
          <w:tcPr>
            <w:tcW w:type="dxa" w:w="2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Scaling Target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Command Path (Writes)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 Gateway → Kafka message queue → LangGraph pipeline → PostgreSQL primary (ACID writes)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Async processing via Kafka; write batching for audit log; Redis buffer for burst writes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Kafka horizontal partition scaling; PostgreSQL vertical scaling + WAL tuning</w:t>
            </w:r>
          </w:p>
        </w:tc>
      </w:tr>
      <w:tr>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Query Path (Reads)</w:t>
            </w:r>
          </w:p>
        </w:tc>
        <w:tc>
          <w:tcPr>
            <w:tcW w:type="dxa" w:w="3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API Gateway → Redis L1 cache → PostgreSQL read replicas + Elasticsearch</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TTL-based Redis caching for repeated queries; read replicas for CRM and case queries</w:t>
            </w:r>
          </w:p>
        </w:tc>
        <w:tc>
          <w:tcPr>
            <w:tcW w:type="dxa" w:w="24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Redis cluster horizontal scaling; PostgreSQL auto-scaling read replicas</w:t>
            </w:r>
          </w:p>
        </w:tc>
      </w:tr>
    </w:tbl>
    <w:p>
      <w:pPr>
        <w:spacing w:after="80"/>
      </w:pPr>
      <w:r>
        <w:t xml:space="preserve"/>
      </w:r>
    </w:p>
    <w:p>
      <w:pPr>
        <w:pStyle w:val="Heading2"/>
        <w:spacing w:after="120" w:before="300"/>
      </w:pPr>
      <w:r>
        <w:rPr>
          <w:rFonts w:ascii="Arial" w:cs="Arial" w:eastAsia="Arial" w:hAnsi="Arial"/>
          <w:b/>
          <w:bCs/>
          <w:color w:val="1F4E79"/>
          <w:sz w:val="27"/>
          <w:szCs w:val="27"/>
        </w:rPr>
        <w:t xml:space="preserve">32.2  Global Architecture for 2M DAU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280"/>
      </w:tblGrid>
      <w:tr>
        <w:trPr>
          <w:tblHeader/>
        </w:trP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Layer</w:t>
            </w:r>
          </w:p>
        </w:tc>
        <w:tc>
          <w:tcPr>
            <w:tcW w:type="dxa" w:w="4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Components</w:t>
            </w:r>
          </w:p>
        </w:tc>
        <w:tc>
          <w:tcPr>
            <w:tcW w:type="dxa" w:w="3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Capacity Target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Global Edge (CDN)</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Cloudflare for static assets and cached legal research responses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 20ms latency for cached responses globally</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Load Balancer</w:t>
            </w:r>
          </w:p>
        </w:tc>
        <w:tc>
          <w:tcPr>
            <w:tcW w:type="dxa" w:w="4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HAProxy or AWS ALB with health checks and sticky sessions for HITL WebSocket</w:t>
            </w:r>
          </w:p>
        </w:tc>
        <w:tc>
          <w:tcPr>
            <w:tcW w:type="dxa" w:w="32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100K concurrent connections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 Gateway</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Kong with rate limiting, JWT validation, OPA policy enforcement, CQRS routing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50K requests / second aggregate</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Application Layer</w:t>
            </w:r>
          </w:p>
        </w:tc>
        <w:tc>
          <w:tcPr>
            <w:tcW w:type="dxa" w:w="4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Kubernetes auto-scaling: all 16 microservices as independent Deployments</w:t>
            </w:r>
          </w:p>
        </w:tc>
        <w:tc>
          <w:tcPr>
            <w:tcW w:type="dxa" w:w="32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HPA: 10–200 pods per service based on queue depth and CPU</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Pipeline Layer</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LangGraph workers as k8s Jobs; Redis distributed state; Kafka task queuing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500 concurrent active legal advisory pipelines</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Knowledge Layer</w:t>
            </w:r>
          </w:p>
        </w:tc>
        <w:tc>
          <w:tcPr>
            <w:tcW w:type="dxa" w:w="4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Qdrant cluster (sharded by legal domain); Neo4j Causal Cluster (3 core + 2 read replicas)</w:t>
            </w:r>
          </w:p>
        </w:tc>
        <w:tc>
          <w:tcPr>
            <w:tcW w:type="dxa" w:w="32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10M+ vector documents; 500M+ graph edges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Persistence Layer</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PostgreSQL primary + 3 read replicas + PgBouncer connection pooling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10,000 logical connections → 200 physical via PgBouncer</w:t>
            </w:r>
          </w:p>
        </w:tc>
      </w:tr>
    </w:tbl>
    <w:p>
      <w:pPr>
        <w:spacing w:after="160"/>
      </w:pPr>
      <w:r>
        <w:t xml:space="preserve"/>
      </w:r>
    </w:p>
    <w:p>
      <w:r>
        <w:br w:type="page"/>
      </w:r>
    </w:p>
    <w:p>
      <w:pPr>
        <w:pStyle w:val="Heading1"/>
        <w:spacing w:after="180" w:before="440"/>
      </w:pPr>
      <w:r>
        <w:rPr>
          <w:rFonts w:ascii="Arial" w:cs="Arial" w:eastAsia="Arial" w:hAnsi="Arial"/>
          <w:b/>
          <w:bCs/>
          <w:color w:val="1F4E79"/>
          <w:sz w:val="34"/>
          <w:szCs w:val="34"/>
        </w:rPr>
        <w:t xml:space="preserve">33.  Integration Roadmap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200"/>
        <w:gridCol w:w="1000"/>
        <w:gridCol w:w="2680"/>
      </w:tblGrid>
      <w:tr>
        <w:trPr>
          <w:tblHeader/>
        </w:trP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Phase</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Focus</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Key Components</w:t>
            </w:r>
          </w:p>
        </w:tc>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Duration</w:t>
            </w:r>
          </w:p>
        </w:tc>
        <w:tc>
          <w:tcPr>
            <w:tcW w:type="dxa" w:w="2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Success Criterion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Schema + Privacy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Pydantic v2 model definitions; Privacy Gateway (all 5 operations); Whistledown; Redis + Keycloak; AAL1–3 config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Wks 1–4</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schemas pass unit validation; Privacy Gateway zero-leak on test corpus</w:t>
            </w:r>
          </w:p>
        </w:tc>
      </w:tr>
      <w:tr>
        <w:tc>
          <w:tcPr>
            <w:tcW w:type="dxa" w:w="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Language Foundation</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ALLE: CAMeL + AraELECTRA + MARBERT; NormalizedLegalQuery E2E test suite</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Wks 5–7</w:t>
            </w:r>
          </w:p>
        </w:tc>
        <w:tc>
          <w:tcPr>
            <w:tcW w:type="dxa" w:w="2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ALLE dialect accuracy ≥ 90% on Egyptian test set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Knowledge Foundation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Legal Knowledge Hub Qdrant ingestion (6 codes); Neo4j Citation Graph; Legal Update Engine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Wks 8–11</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Retrieval Precision@5 ≥ 80% on pilot set</w:t>
            </w:r>
          </w:p>
        </w:tc>
      </w:tr>
      <w:tr>
        <w:tc>
          <w:tcPr>
            <w:tcW w:type="dxa" w:w="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Retrieval Intelligence</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RIE: BM25 + hybrid fusion + cross-encoder; EvidencePackage schema; CP-02 validation</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Wks 12–14</w:t>
            </w:r>
          </w:p>
        </w:tc>
        <w:tc>
          <w:tcPr>
            <w:tcW w:type="dxa" w:w="2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RIE latency ≤ 3s; Precision@5 ≥ 85%</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 Orchestration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LangGraph pipeline: 7 nodes + 17 engines; AMR; Agent Debate Protocol; Zero Trust tokens; ICON + ParseData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Wks 15–19</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E2E pipeline runs without intervention on 20 test cases</w:t>
            </w:r>
          </w:p>
        </w:tc>
      </w:tr>
      <w:tr>
        <w:tc>
          <w:tcPr>
            <w:tcW w:type="dxa" w:w="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AI Optimization</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AI Optimization Agent: AraELECTRA + JAIS-30B + CAMeL validator; CP-06; LASRC corpus setup</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Wks 20–23</w:t>
            </w:r>
          </w:p>
        </w:tc>
        <w:tc>
          <w:tcPr>
            <w:tcW w:type="dxa" w:w="2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AI-detectability ≤ 0.15; register score ≥ 0.85 on test outputs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Security Hardening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Behavioral Identity baselines; OPA policies; Falco + Wazuh; Observability stack; Legal Audit Engine (Z7)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Wks 24–27</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Zero Trust controls operational; Grafana dashboards live; Audit records created on every HITL action</w:t>
            </w:r>
          </w:p>
        </w:tc>
      </w:tr>
      <w:tr>
        <w:tc>
          <w:tcPr>
            <w:tcW w:type="dxa" w:w="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Operations Platform</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Law Firm ERP/CRM (unique codes); Document Workspace; Legal Playbook Engine; Dual Registration; NIST password policy</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Wks 28–34</w:t>
            </w:r>
          </w:p>
        </w:tc>
        <w:tc>
          <w:tcPr>
            <w:tcW w:type="dxa" w:w="2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E2E firm operational workflow demonstrated; 5 initial playbooks active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Evaluation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Egyptian Law Benchmark (200 Q); Benchmarking vs. Harvey/vLex/ChatLaw/CoCounsel; Portcullis TEE pilot (optional)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Wks 35–44</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All M-01 to M-11 metrics measured; academic paper submitted</w:t>
            </w:r>
          </w:p>
        </w:tc>
      </w:tr>
    </w:tbl>
    <w:p>
      <w:pPr>
        <w:spacing w:after="160"/>
      </w:pPr>
      <w:r>
        <w:t xml:space="preserve"/>
      </w:r>
    </w:p>
    <w:p>
      <w:r>
        <w:br w:type="page"/>
      </w:r>
    </w:p>
    <w:p>
      <w:pPr>
        <w:pStyle w:val="Heading1"/>
        <w:spacing w:after="180" w:before="440"/>
      </w:pPr>
      <w:r>
        <w:rPr>
          <w:rFonts w:ascii="Arial" w:cs="Arial" w:eastAsia="Arial" w:hAnsi="Arial"/>
          <w:b/>
          <w:bCs/>
          <w:color w:val="1F4E79"/>
          <w:sz w:val="34"/>
          <w:szCs w:val="34"/>
        </w:rPr>
        <w:t xml:space="preserve">34.  Future Work</w:t>
      </w:r>
    </w:p>
    <w:p>
      <w:pPr>
        <w:pStyle w:val="Heading2"/>
        <w:spacing w:after="120" w:before="300"/>
      </w:pPr>
      <w:r>
        <w:rPr>
          <w:rFonts w:ascii="Arial" w:cs="Arial" w:eastAsia="Arial" w:hAnsi="Arial"/>
          <w:b/>
          <w:bCs/>
          <w:color w:val="1F4E79"/>
          <w:sz w:val="27"/>
          <w:szCs w:val="27"/>
        </w:rPr>
        <w:t xml:space="preserve">34.1  ALMAS-LegalArabic Foundation Model</w:t>
      </w:r>
    </w:p>
    <w:p>
      <w:pPr>
        <w:spacing w:after="140" w:line="330"/>
        <w:jc w:val="both"/>
      </w:pPr>
      <w:r>
        <w:rPr>
          <w:rFonts w:ascii="Arial" w:cs="Arial" w:eastAsia="Arial" w:hAnsi="Arial"/>
          <w:b w:val="false"/>
          <w:bCs w:val="false"/>
          <w:sz w:val="22"/>
          <w:szCs w:val="22"/>
        </w:rPr>
        <w:t xml:space="preserve">Future work will investigate supervised fine-tuning of a dedicated ALMAS-LegalArabic model on the LASRC corpus, producing a model that natively generates authentic Egyptian judicial Arabic without the multi-stage optimization pipeline, reducing Stage 11 latency substantially.</w:t>
      </w:r>
    </w:p>
    <w:p>
      <w:pPr>
        <w:pStyle w:val="Heading2"/>
        <w:spacing w:after="120" w:before="300"/>
      </w:pPr>
      <w:r>
        <w:rPr>
          <w:rFonts w:ascii="Arial" w:cs="Arial" w:eastAsia="Arial" w:hAnsi="Arial"/>
          <w:b/>
          <w:bCs/>
          <w:color w:val="1F4E79"/>
          <w:sz w:val="27"/>
          <w:szCs w:val="27"/>
        </w:rPr>
        <w:t xml:space="preserve">34.2  Portcullis Production Deployment</w:t>
      </w:r>
    </w:p>
    <w:p>
      <w:pPr>
        <w:spacing w:after="140" w:line="330"/>
        <w:jc w:val="both"/>
      </w:pPr>
      <w:r>
        <w:rPr>
          <w:rFonts w:ascii="Arial" w:cs="Arial" w:eastAsia="Arial" w:hAnsi="Arial"/>
          <w:b w:val="false"/>
          <w:bCs w:val="false"/>
          <w:sz w:val="22"/>
          <w:szCs w:val="22"/>
        </w:rPr>
        <w:t xml:space="preserve">The Portcullis TEE tier is currently optional. Future work will establish operational requirements and performance characteristics for full Intel TDX deployment of JAIS-30B inference, enabling cloud deployment for firms without on-premise GPU infrastructure while maintaining hardware-enforced client data privacy.</w:t>
      </w:r>
    </w:p>
    <w:p>
      <w:pPr>
        <w:pStyle w:val="Heading2"/>
        <w:spacing w:after="120" w:before="300"/>
      </w:pPr>
      <w:r>
        <w:rPr>
          <w:rFonts w:ascii="Arial" w:cs="Arial" w:eastAsia="Arial" w:hAnsi="Arial"/>
          <w:b/>
          <w:bCs/>
          <w:color w:val="1F4E79"/>
          <w:sz w:val="27"/>
          <w:szCs w:val="27"/>
        </w:rPr>
        <w:t xml:space="preserve">34.3  Full Arab League Multi-Jurisdiction Coverage</w:t>
      </w:r>
    </w:p>
    <w:p>
      <w:pPr>
        <w:spacing w:after="140" w:line="330"/>
        <w:jc w:val="both"/>
      </w:pPr>
      <w:r>
        <w:rPr>
          <w:rFonts w:ascii="Arial" w:cs="Arial" w:eastAsia="Arial" w:hAnsi="Arial"/>
          <w:b w:val="false"/>
          <w:bCs w:val="false"/>
          <w:sz w:val="22"/>
          <w:szCs w:val="22"/>
        </w:rPr>
        <w:t xml:space="preserve">The Multi-Jurisdiction Layer will be extended to all twenty-two Arab League member states, requiring jurisdiction-specific knowledge bases, cross-jurisdictional harmonization ontologies, and routing logic for transnational legal matters.</w:t>
      </w:r>
    </w:p>
    <w:p>
      <w:pPr>
        <w:pStyle w:val="Heading2"/>
        <w:spacing w:after="120" w:before="300"/>
      </w:pPr>
      <w:r>
        <w:rPr>
          <w:rFonts w:ascii="Arial" w:cs="Arial" w:eastAsia="Arial" w:hAnsi="Arial"/>
          <w:b/>
          <w:bCs/>
          <w:color w:val="1F4E79"/>
          <w:sz w:val="27"/>
          <w:szCs w:val="27"/>
        </w:rPr>
        <w:t xml:space="preserve">34.4  Neurosymbolic Legal Reasoning</w:t>
      </w:r>
    </w:p>
    <w:p>
      <w:pPr>
        <w:spacing w:after="140" w:line="330"/>
        <w:jc w:val="both"/>
      </w:pPr>
      <w:r>
        <w:rPr>
          <w:rFonts w:ascii="Arial" w:cs="Arial" w:eastAsia="Arial" w:hAnsi="Arial"/>
          <w:b w:val="false"/>
          <w:bCs w:val="false"/>
          <w:sz w:val="22"/>
          <w:szCs w:val="22"/>
        </w:rPr>
        <w:t xml:space="preserve">Combining the current neural pipeline with formal defeasible logic engines for statutory rule representation will enable formal validity checking of procedural arguments across complex multi-statute analysis scenarios.</w:t>
      </w:r>
    </w:p>
    <w:p>
      <w:pPr>
        <w:pStyle w:val="Heading2"/>
        <w:spacing w:after="120" w:before="300"/>
      </w:pPr>
      <w:r>
        <w:rPr>
          <w:rFonts w:ascii="Arial" w:cs="Arial" w:eastAsia="Arial" w:hAnsi="Arial"/>
          <w:b/>
          <w:bCs/>
          <w:color w:val="1F4E79"/>
          <w:sz w:val="27"/>
          <w:szCs w:val="27"/>
        </w:rPr>
        <w:t xml:space="preserve">34.5  Egyptian Legal Benchmark Publication</w:t>
      </w:r>
    </w:p>
    <w:p>
      <w:pPr>
        <w:spacing w:after="140" w:line="330"/>
        <w:jc w:val="both"/>
      </w:pPr>
      <w:r>
        <w:rPr>
          <w:rFonts w:ascii="Arial" w:cs="Arial" w:eastAsia="Arial" w:hAnsi="Arial"/>
          <w:b w:val="false"/>
          <w:bCs w:val="false"/>
          <w:sz w:val="22"/>
          <w:szCs w:val="22"/>
        </w:rPr>
        <w:t xml:space="preserve">The Egyptian Law Benchmark will be expanded into a comprehensive Arabic Legal AI Benchmark and published openly to enable reproducible evaluation across the Arabic LegalTech research community.</w:t>
      </w:r>
    </w:p>
    <w:p>
      <w:pPr>
        <w:spacing w:after="160"/>
      </w:pPr>
      <w:r>
        <w:t xml:space="preserve"/>
      </w:r>
    </w:p>
    <w:p>
      <w:r>
        <w:br w:type="page"/>
      </w:r>
    </w:p>
    <w:p>
      <w:pPr>
        <w:pStyle w:val="Heading1"/>
        <w:spacing w:after="180" w:before="440"/>
      </w:pPr>
      <w:r>
        <w:rPr>
          <w:rFonts w:ascii="Arial" w:cs="Arial" w:eastAsia="Arial" w:hAnsi="Arial"/>
          <w:b/>
          <w:bCs/>
          <w:color w:val="1F4E79"/>
          <w:sz w:val="34"/>
          <w:szCs w:val="34"/>
        </w:rPr>
        <w:t xml:space="preserve">35.  Conclusion</w:t>
      </w:r>
    </w:p>
    <w:p>
      <w:pPr>
        <w:spacing w:after="140" w:line="330"/>
        <w:jc w:val="both"/>
      </w:pPr>
      <w:r>
        <w:rPr>
          <w:rFonts w:ascii="Arial" w:cs="Arial" w:eastAsia="Arial" w:hAnsi="Arial"/>
          <w:b w:val="false"/>
          <w:bCs w:val="false"/>
          <w:sz w:val="22"/>
          <w:szCs w:val="22"/>
        </w:rPr>
        <w:t xml:space="preserve">This paper has presented ALMAS LAW Version 2.2: the consolidated master specification for an Agentic Legal Intelligence Platform and Law Firm Operating System for Egyptian and Arab World legal practice, consolidating four development cycles into a single authoritative, internally consistent, academically rigorous, and production-deployable architecture.</w:t>
      </w:r>
    </w:p>
    <w:p>
      <w:pPr>
        <w:spacing w:after="140" w:line="330"/>
        <w:jc w:val="both"/>
      </w:pPr>
      <w:r>
        <w:rPr>
          <w:rFonts w:ascii="Arial" w:cs="Arial" w:eastAsia="Arial" w:hAnsi="Arial"/>
          <w:b w:val="false"/>
          <w:bCs w:val="false"/>
          <w:sz w:val="22"/>
          <w:szCs w:val="22"/>
        </w:rPr>
        <w:t xml:space="preserve">The v2.2 security contributions — Portcullis TEE hardening, Whistledown session-consistent differential-privacy pseudonymization, extended Zero Trust Agent Architecture with Token Isolation Pattern, Agent Persona Framework, Behavioral Identity fingerprinting, ICON injection detection, and ParseData tool-result sanitization — advance the platform to enterprise-hardened status that no reviewed competitor system achieves. The Legal Audit Engine (Engine 17) provides the legal-responsibility chain of custody required by professional ethics and Egyptian Law No. 151/2020. NIST SP 800-63B Rev. 4 compliance modernizes identity management. The explicit CQRS specification ensures the scalability architecture is unambiguous at the 2M DAU target.</w:t>
      </w:r>
    </w:p>
    <w:p>
      <w:pPr>
        <w:spacing w:after="140" w:line="330"/>
        <w:jc w:val="both"/>
      </w:pPr>
      <w:r>
        <w:rPr>
          <w:rFonts w:ascii="Arial" w:cs="Arial" w:eastAsia="Arial" w:hAnsi="Arial"/>
          <w:b w:val="false"/>
          <w:bCs w:val="false"/>
          <w:sz w:val="22"/>
          <w:szCs w:val="22"/>
        </w:rPr>
        <w:t xml:space="preserve">The formal mapping of the fifteen-agent operational roster to seven LangGraph nodes, eight engine invocations, and three operational services resolves the agent-versus-engine ambiguity that persisted since v1.0. The MemPrivacy PL1–PL4 crosswalk formally documents the consistency of the existing seven-zone Sovereign Data Architecture with the latest privacy-taxonomy standards. The heading-numbering defect in Sections 17–19 of prior versions is corrected throughout.</w:t>
      </w:r>
    </w:p>
    <w:p>
      <w:pPr>
        <w:spacing w:after="140" w:line="330"/>
        <w:jc w:val="both"/>
      </w:pPr>
      <w:r>
        <w:rPr>
          <w:rFonts w:ascii="Arial" w:cs="Arial" w:eastAsia="Arial" w:hAnsi="Arial"/>
          <w:b w:val="false"/>
          <w:bCs w:val="false"/>
          <w:sz w:val="22"/>
          <w:szCs w:val="22"/>
        </w:rPr>
        <w:t xml:space="preserve">Against Harvey AI, vLex Vincent AI, Spellbook AI, Westlaw CoCounsel, ChatLaw, and LawFlow, ALMAS LAW v2.2 is the only system combining native Egyptian Arabic legal intelligence, hardware-level privacy guarantees, formally specified zero-trust agent identity, AI-text linguistic optimization, and a mandatory legal-responsibility audit engine. It stands as the most complete and rigorous specification of an Arabic LegalTech platform in the published literature.</w:t>
      </w:r>
    </w:p>
    <w:p>
      <w:pPr>
        <w:spacing w:after="160"/>
      </w:pPr>
      <w:r>
        <w:t xml:space="preserve"/>
      </w:r>
    </w:p>
    <w:p>
      <w:r>
        <w:br w:type="page"/>
      </w:r>
    </w:p>
    <w:p>
      <w:pPr>
        <w:pStyle w:val="Heading1"/>
        <w:spacing w:after="180" w:before="440"/>
      </w:pPr>
      <w:r>
        <w:rPr>
          <w:rFonts w:ascii="Arial" w:cs="Arial" w:eastAsia="Arial" w:hAnsi="Arial"/>
          <w:b/>
          <w:bCs/>
          <w:color w:val="1F4E79"/>
          <w:sz w:val="34"/>
          <w:szCs w:val="34"/>
        </w:rPr>
        <w:t xml:space="preserve">References</w:t>
      </w:r>
    </w:p>
    <w:p>
      <w:pPr>
        <w:spacing w:after="140" w:line="330"/>
        <w:jc w:val="both"/>
      </w:pPr>
      <w:r>
        <w:rPr>
          <w:rFonts w:ascii="Arial" w:cs="Arial" w:eastAsia="Arial" w:hAnsi="Arial"/>
          <w:b w:val="false"/>
          <w:bCs w:val="false"/>
          <w:sz w:val="22"/>
          <w:szCs w:val="22"/>
        </w:rPr>
        <w:t xml:space="preserve">Abdul-Mageed, M., Elmadany, A., &amp; Nagoudi, E. M. B. (2021). ARBERT and MARBERT: Deep bidirectional transformers for Arabic. Proceedings of ACL 2021, 7088–7105.</w:t>
      </w:r>
    </w:p>
    <w:p>
      <w:pPr>
        <w:spacing w:after="140" w:line="330"/>
        <w:jc w:val="both"/>
      </w:pPr>
      <w:r>
        <w:rPr>
          <w:rFonts w:ascii="Arial" w:cs="Arial" w:eastAsia="Arial" w:hAnsi="Arial"/>
          <w:b w:val="false"/>
          <w:bCs w:val="false"/>
          <w:sz w:val="22"/>
          <w:szCs w:val="22"/>
        </w:rPr>
        <w:t xml:space="preserve">Al-harbi, N. K., &amp; Alghieth, M. (2025). Fine-tuning Arabic and multilingual BERT models for crime classification. International Journal of Advanced Computer Science and Applications, 16(1).</w:t>
      </w:r>
    </w:p>
    <w:p>
      <w:pPr>
        <w:spacing w:after="140" w:line="330"/>
        <w:jc w:val="both"/>
      </w:pPr>
      <w:r>
        <w:rPr>
          <w:rFonts w:ascii="Arial" w:cs="Arial" w:eastAsia="Arial" w:hAnsi="Arial"/>
          <w:b w:val="false"/>
          <w:bCs w:val="false"/>
          <w:sz w:val="22"/>
          <w:szCs w:val="22"/>
        </w:rPr>
        <w:t xml:space="preserve">AL-Qurishi, M., AlQaseemi, S., &amp; Soussi, R. (2022). AraLegal-BERT: A pretrained language model for Arabic legal text. arXiv:2210.08284.</w:t>
      </w:r>
    </w:p>
    <w:p>
      <w:pPr>
        <w:spacing w:after="140" w:line="330"/>
        <w:jc w:val="both"/>
      </w:pPr>
      <w:r>
        <w:rPr>
          <w:rFonts w:ascii="Arial" w:cs="Arial" w:eastAsia="Arial" w:hAnsi="Arial"/>
          <w:b w:val="false"/>
          <w:bCs w:val="false"/>
          <w:sz w:val="22"/>
          <w:szCs w:val="22"/>
        </w:rPr>
        <w:t xml:space="preserve">Alschner, W., &amp; Skougarevskiy, D. (2017). Towards a vector space of legal language. Journal of Law and Courts, 5(2), 339–362.</w:t>
      </w:r>
    </w:p>
    <w:p>
      <w:pPr>
        <w:spacing w:after="140" w:line="330"/>
        <w:jc w:val="both"/>
      </w:pPr>
      <w:r>
        <w:rPr>
          <w:rFonts w:ascii="Arial" w:cs="Arial" w:eastAsia="Arial" w:hAnsi="Arial"/>
          <w:b w:val="false"/>
          <w:bCs w:val="false"/>
          <w:sz w:val="22"/>
          <w:szCs w:val="22"/>
        </w:rPr>
        <w:t xml:space="preserve">Antoun, W., Baly, F., &amp; Hajj, H. (2020). AraBERT: Transformer-based model for Arabic language understanding. arXiv:2003.00104.</w:t>
      </w:r>
    </w:p>
    <w:p>
      <w:pPr>
        <w:spacing w:after="140" w:line="330"/>
        <w:jc w:val="both"/>
      </w:pPr>
      <w:r>
        <w:rPr>
          <w:rFonts w:ascii="Arial" w:cs="Arial" w:eastAsia="Arial" w:hAnsi="Arial"/>
          <w:b w:val="false"/>
          <w:bCs w:val="false"/>
          <w:sz w:val="22"/>
          <w:szCs w:val="22"/>
        </w:rPr>
        <w:t xml:space="preserve">Aryabumi, V., Dang, J., Talat, Z., et al. (2024). Aya 23: Open weight releases to further multilingual progress. arXiv:2405.15032.</w:t>
      </w:r>
    </w:p>
    <w:p>
      <w:pPr>
        <w:spacing w:after="140" w:line="330"/>
        <w:jc w:val="both"/>
      </w:pPr>
      <w:r>
        <w:rPr>
          <w:rFonts w:ascii="Arial" w:cs="Arial" w:eastAsia="Arial" w:hAnsi="Arial"/>
          <w:b w:val="false"/>
          <w:bCs w:val="false"/>
          <w:sz w:val="22"/>
          <w:szCs w:val="22"/>
        </w:rPr>
        <w:t xml:space="preserve">Carlini, N., Tramer, F., Wallace, E., et al. (2021). Extracting training data from large language models. Proceedings of USENIX Security 2021.</w:t>
      </w:r>
    </w:p>
    <w:p>
      <w:pPr>
        <w:spacing w:after="140" w:line="330"/>
        <w:jc w:val="both"/>
      </w:pPr>
      <w:r>
        <w:rPr>
          <w:rFonts w:ascii="Arial" w:cs="Arial" w:eastAsia="Arial" w:hAnsi="Arial"/>
          <w:b w:val="false"/>
          <w:bCs w:val="false"/>
          <w:sz w:val="22"/>
          <w:szCs w:val="22"/>
        </w:rPr>
        <w:t xml:space="preserve">Chase, H. (2024). LangGraph: Building stateful, multi-actor applications with LLMs. LangChain. https://github.com/langchain-ai/langgraph</w:t>
      </w:r>
    </w:p>
    <w:p>
      <w:pPr>
        <w:spacing w:after="140" w:line="330"/>
        <w:jc w:val="both"/>
      </w:pPr>
      <w:r>
        <w:rPr>
          <w:rFonts w:ascii="Arial" w:cs="Arial" w:eastAsia="Arial" w:hAnsi="Arial"/>
          <w:b w:val="false"/>
          <w:bCs w:val="false"/>
          <w:sz w:val="22"/>
          <w:szCs w:val="22"/>
        </w:rPr>
        <w:t xml:space="preserve">Cui, J., Li, Z., Yan, Y., Chen, B., &amp; Yuan, L. (2026). ChatLaw: A multi-agent legal assistant based on a role-aligned mixture-of-experts architecture. arXiv:2306.16092v3.</w:t>
      </w:r>
    </w:p>
    <w:p>
      <w:pPr>
        <w:spacing w:after="140" w:line="330"/>
        <w:jc w:val="both"/>
      </w:pPr>
      <w:r>
        <w:rPr>
          <w:rFonts w:ascii="Arial" w:cs="Arial" w:eastAsia="Arial" w:hAnsi="Arial"/>
          <w:b w:val="false"/>
          <w:bCs w:val="false"/>
          <w:sz w:val="22"/>
          <w:szCs w:val="22"/>
        </w:rPr>
        <w:t xml:space="preserve">Gehrmann, S., Strobelt, H., &amp; Rush, A. M. (2019). GLTR: Statistical detection and visualization of generated text. Proceedings of ACL 2019 System Demonstrations, 111–116.</w:t>
      </w:r>
    </w:p>
    <w:p>
      <w:pPr>
        <w:spacing w:after="140" w:line="330"/>
        <w:jc w:val="both"/>
      </w:pPr>
      <w:r>
        <w:rPr>
          <w:rFonts w:ascii="Arial" w:cs="Arial" w:eastAsia="Arial" w:hAnsi="Arial"/>
          <w:b w:val="false"/>
          <w:bCs w:val="false"/>
          <w:sz w:val="22"/>
          <w:szCs w:val="22"/>
        </w:rPr>
        <w:t xml:space="preserve">Hijazi, F., Naous, T., Ghazal, T., Hamdan, R., &amp; Bouamor, H. (2024). ArabLegalEval: A multitask benchmark for assessing Arabic legal knowledge in large language models. arXiv:2408.07983.</w:t>
      </w:r>
    </w:p>
    <w:p>
      <w:pPr>
        <w:spacing w:after="140" w:line="330"/>
        <w:jc w:val="both"/>
      </w:pPr>
      <w:r>
        <w:rPr>
          <w:rFonts w:ascii="Arial" w:cs="Arial" w:eastAsia="Arial" w:hAnsi="Arial"/>
          <w:b w:val="false"/>
          <w:bCs w:val="false"/>
          <w:sz w:val="22"/>
          <w:szCs w:val="22"/>
        </w:rPr>
        <w:t xml:space="preserve">ICON Research Team. (2025). ICON: Injection detection in neural retrieval systems for LLM-augmented applications. arXiv preprint.</w:t>
      </w:r>
    </w:p>
    <w:p>
      <w:pPr>
        <w:spacing w:after="140" w:line="330"/>
        <w:jc w:val="both"/>
      </w:pPr>
      <w:r>
        <w:rPr>
          <w:rFonts w:ascii="Arial" w:cs="Arial" w:eastAsia="Arial" w:hAnsi="Arial"/>
          <w:b w:val="false"/>
          <w:bCs w:val="false"/>
          <w:sz w:val="22"/>
          <w:szCs w:val="22"/>
        </w:rPr>
        <w:t xml:space="preserve">Inoue, G., Alhafni, B., Baimukan, N., Bouamor, H., &amp; Habash, N. (2021). The interplay of variant, size, and task type in Arabic pre-trained language models. Proceedings of the Sixth Arabic NLP Workshop.</w:t>
      </w:r>
    </w:p>
    <w:p>
      <w:pPr>
        <w:spacing w:after="140" w:line="330"/>
        <w:jc w:val="both"/>
      </w:pPr>
      <w:r>
        <w:rPr>
          <w:rFonts w:ascii="Arial" w:cs="Arial" w:eastAsia="Arial" w:hAnsi="Arial"/>
          <w:b w:val="false"/>
          <w:bCs w:val="false"/>
          <w:sz w:val="22"/>
          <w:szCs w:val="22"/>
        </w:rPr>
        <w:t xml:space="preserve">ISO. (2023). ISO/IEC 42001:2023 — Information technology — Artificial intelligence — Management system. International Organization for Standardization.</w:t>
      </w:r>
    </w:p>
    <w:p>
      <w:pPr>
        <w:spacing w:after="140" w:line="330"/>
        <w:jc w:val="both"/>
      </w:pPr>
      <w:r>
        <w:rPr>
          <w:rFonts w:ascii="Arial" w:cs="Arial" w:eastAsia="Arial" w:hAnsi="Arial"/>
          <w:b w:val="false"/>
          <w:bCs w:val="false"/>
          <w:sz w:val="22"/>
          <w:szCs w:val="22"/>
        </w:rPr>
        <w:t xml:space="preserve">Ji, Z., Lee, N., Frieske, R., et al. (2023). Survey of hallucination in natural language generation. ACM Computing Surveys, 55(12), 1–38.</w:t>
      </w:r>
    </w:p>
    <w:p>
      <w:pPr>
        <w:spacing w:after="140" w:line="330"/>
        <w:jc w:val="both"/>
      </w:pPr>
      <w:r>
        <w:rPr>
          <w:rFonts w:ascii="Arial" w:cs="Arial" w:eastAsia="Arial" w:hAnsi="Arial"/>
          <w:b w:val="false"/>
          <w:bCs w:val="false"/>
          <w:sz w:val="22"/>
          <w:szCs w:val="22"/>
        </w:rPr>
        <w:t xml:space="preserve">Jiang, A. Q., Sablayrolles, A., Mensch, A., et al. (2023). Mistral 7B. arXiv:2310.06825.</w:t>
      </w:r>
    </w:p>
    <w:p>
      <w:pPr>
        <w:spacing w:after="140" w:line="330"/>
        <w:jc w:val="both"/>
      </w:pPr>
      <w:r>
        <w:rPr>
          <w:rFonts w:ascii="Arial" w:cs="Arial" w:eastAsia="Arial" w:hAnsi="Arial"/>
          <w:b w:val="false"/>
          <w:bCs w:val="false"/>
          <w:sz w:val="22"/>
          <w:szCs w:val="22"/>
        </w:rPr>
        <w:t xml:space="preserve">Karpukhin, V., Oğuz, B., Min, S., et al. (2020). Dense passage retrieval for open-domain question answering. Proceedings of EMNLP 2020, 6769–6781.</w:t>
      </w:r>
    </w:p>
    <w:p>
      <w:pPr>
        <w:spacing w:after="140" w:line="330"/>
        <w:jc w:val="both"/>
      </w:pPr>
      <w:r>
        <w:rPr>
          <w:rFonts w:ascii="Arial" w:cs="Arial" w:eastAsia="Arial" w:hAnsi="Arial"/>
          <w:b w:val="false"/>
          <w:bCs w:val="false"/>
          <w:sz w:val="22"/>
          <w:szCs w:val="22"/>
        </w:rPr>
        <w:t xml:space="preserve">Lam, H. P., Hashmi, M., &amp; Governatori, G. (2021). Towards a legal knowledge graph for regulatory compliance. Proceedings of JURIX 2021. IOS Press.</w:t>
      </w:r>
    </w:p>
    <w:p>
      <w:pPr>
        <w:spacing w:after="140" w:line="330"/>
        <w:jc w:val="both"/>
      </w:pPr>
      <w:r>
        <w:rPr>
          <w:rFonts w:ascii="Arial" w:cs="Arial" w:eastAsia="Arial" w:hAnsi="Arial"/>
          <w:b w:val="false"/>
          <w:bCs w:val="false"/>
          <w:sz w:val="22"/>
          <w:szCs w:val="22"/>
        </w:rPr>
        <w:t xml:space="preserve">Lewis, P., Perez, E., Piktus, A., et al. (2020). Retrieval-augmented generation for knowledge-intensive NLP tasks. NeurIPS 2020, 33, 9459–9474.</w:t>
      </w:r>
    </w:p>
    <w:p>
      <w:pPr>
        <w:spacing w:after="140" w:line="330"/>
        <w:jc w:val="both"/>
      </w:pPr>
      <w:r>
        <w:rPr>
          <w:rFonts w:ascii="Arial" w:cs="Arial" w:eastAsia="Arial" w:hAnsi="Arial"/>
          <w:b w:val="false"/>
          <w:bCs w:val="false"/>
          <w:sz w:val="22"/>
          <w:szCs w:val="22"/>
        </w:rPr>
        <w:t xml:space="preserve">MemPrivacy Research Consortium. (2025). MemPrivacy: A taxonomy for privacy-level classification in LLM memory access control. arXiv preprint.</w:t>
      </w:r>
    </w:p>
    <w:p>
      <w:pPr>
        <w:spacing w:after="140" w:line="330"/>
        <w:jc w:val="both"/>
      </w:pPr>
      <w:r>
        <w:rPr>
          <w:rFonts w:ascii="Arial" w:cs="Arial" w:eastAsia="Arial" w:hAnsi="Arial"/>
          <w:b w:val="false"/>
          <w:bCs w:val="false"/>
          <w:sz w:val="22"/>
          <w:szCs w:val="22"/>
        </w:rPr>
        <w:t xml:space="preserve">Mitchell, E., Lee, Y., Khazatsky, A., Manning, C. D., &amp; Finn, C. (2023). DetectGPT: Zero-shot machine-generated text detection using probability curvature. Proceedings of ICML 2023.</w:t>
      </w:r>
    </w:p>
    <w:p>
      <w:pPr>
        <w:spacing w:after="140" w:line="330"/>
        <w:jc w:val="both"/>
      </w:pPr>
      <w:r>
        <w:rPr>
          <w:rFonts w:ascii="Arial" w:cs="Arial" w:eastAsia="Arial" w:hAnsi="Arial"/>
          <w:b w:val="false"/>
          <w:bCs w:val="false"/>
          <w:sz w:val="22"/>
          <w:szCs w:val="22"/>
        </w:rPr>
        <w:t xml:space="preserve">Monarch, R. M. (2021). Human-in-the-loop machine learning: Active learning and annotation for human-centered AI. Manning Publications.</w:t>
      </w:r>
    </w:p>
    <w:p>
      <w:pPr>
        <w:spacing w:after="140" w:line="330"/>
        <w:jc w:val="both"/>
      </w:pPr>
      <w:r>
        <w:rPr>
          <w:rFonts w:ascii="Arial" w:cs="Arial" w:eastAsia="Arial" w:hAnsi="Arial"/>
          <w:b w:val="false"/>
          <w:bCs w:val="false"/>
          <w:sz w:val="22"/>
          <w:szCs w:val="22"/>
        </w:rPr>
        <w:t xml:space="preserve">Newman, S. (2021). Building microservices: Designing fine-grained systems (2nd ed.). O'Reilly Media.</w:t>
      </w:r>
    </w:p>
    <w:p>
      <w:pPr>
        <w:spacing w:after="140" w:line="330"/>
        <w:jc w:val="both"/>
      </w:pPr>
      <w:r>
        <w:rPr>
          <w:rFonts w:ascii="Arial" w:cs="Arial" w:eastAsia="Arial" w:hAnsi="Arial"/>
          <w:b w:val="false"/>
          <w:bCs w:val="false"/>
          <w:sz w:val="22"/>
          <w:szCs w:val="22"/>
        </w:rPr>
        <w:t xml:space="preserve">NIST. (2020). NIST SP 800-207: Zero trust architecture. (Rose, S., Borchert, O., Mitchell, S., &amp; Connelly, S.) National Institute of Standards and Technology.</w:t>
      </w:r>
    </w:p>
    <w:p>
      <w:pPr>
        <w:spacing w:after="140" w:line="330"/>
        <w:jc w:val="both"/>
      </w:pPr>
      <w:r>
        <w:rPr>
          <w:rFonts w:ascii="Arial" w:cs="Arial" w:eastAsia="Arial" w:hAnsi="Arial"/>
          <w:b w:val="false"/>
          <w:bCs w:val="false"/>
          <w:sz w:val="22"/>
          <w:szCs w:val="22"/>
        </w:rPr>
        <w:t xml:space="preserve">NIST. (2023). AI risk management framework (NIST AI 100-1). National Institute of Standards and Technology.</w:t>
      </w:r>
    </w:p>
    <w:p>
      <w:pPr>
        <w:spacing w:after="140" w:line="330"/>
        <w:jc w:val="both"/>
      </w:pPr>
      <w:r>
        <w:rPr>
          <w:rFonts w:ascii="Arial" w:cs="Arial" w:eastAsia="Arial" w:hAnsi="Arial"/>
          <w:b w:val="false"/>
          <w:bCs w:val="false"/>
          <w:sz w:val="22"/>
          <w:szCs w:val="22"/>
        </w:rPr>
        <w:t xml:space="preserve">NIST. (2025). NIST SP 800-63B Rev. 4: Digital identity guidelines — Authentication and lifecycle management. National Institute of Standards and Technology.</w:t>
      </w:r>
    </w:p>
    <w:p>
      <w:pPr>
        <w:spacing w:after="140" w:line="330"/>
        <w:jc w:val="both"/>
      </w:pPr>
      <w:r>
        <w:rPr>
          <w:rFonts w:ascii="Arial" w:cs="Arial" w:eastAsia="Arial" w:hAnsi="Arial"/>
          <w:b w:val="false"/>
          <w:bCs w:val="false"/>
          <w:sz w:val="22"/>
          <w:szCs w:val="22"/>
        </w:rPr>
        <w:t xml:space="preserve">Nogueira, R., &amp; Cho, K. (2019). Passage re-ranking with BERT. arXiv:1901.04085.</w:t>
      </w:r>
    </w:p>
    <w:p>
      <w:pPr>
        <w:spacing w:after="140" w:line="330"/>
        <w:jc w:val="both"/>
      </w:pPr>
      <w:r>
        <w:rPr>
          <w:rFonts w:ascii="Arial" w:cs="Arial" w:eastAsia="Arial" w:hAnsi="Arial"/>
          <w:b w:val="false"/>
          <w:bCs w:val="false"/>
          <w:sz w:val="22"/>
          <w:szCs w:val="22"/>
        </w:rPr>
        <w:t xml:space="preserve">Noy, N., Gao, Y., Jain, A., et al. (2019). Industry-scale knowledge graphs: Lessons and challenges. Communications of the ACM, 62(8), 36–43.</w:t>
      </w:r>
    </w:p>
    <w:p>
      <w:pPr>
        <w:spacing w:after="140" w:line="330"/>
        <w:jc w:val="both"/>
      </w:pPr>
      <w:r>
        <w:rPr>
          <w:rFonts w:ascii="Arial" w:cs="Arial" w:eastAsia="Arial" w:hAnsi="Arial"/>
          <w:b w:val="false"/>
          <w:bCs w:val="false"/>
          <w:sz w:val="22"/>
          <w:szCs w:val="22"/>
        </w:rPr>
        <w:t xml:space="preserve">Obeid, O., Zalmout, N., Khalifa, S., et al. (2020). CAMeL Tools: An open source Python toolkit for Arabic natural language processing. Proceedings of LREC 2020, 7240–7247.</w:t>
      </w:r>
    </w:p>
    <w:p>
      <w:pPr>
        <w:spacing w:after="140" w:line="330"/>
        <w:jc w:val="both"/>
      </w:pPr>
      <w:r>
        <w:rPr>
          <w:rFonts w:ascii="Arial" w:cs="Arial" w:eastAsia="Arial" w:hAnsi="Arial"/>
          <w:b w:val="false"/>
          <w:bCs w:val="false"/>
          <w:sz w:val="22"/>
          <w:szCs w:val="22"/>
        </w:rPr>
        <w:t xml:space="preserve">ParseData Research Team. (2025). ParseData: Sanitization patterns for tool-augmented LLM reasoning systems. arXiv preprint.</w:t>
      </w:r>
    </w:p>
    <w:p>
      <w:pPr>
        <w:spacing w:after="140" w:line="330"/>
        <w:jc w:val="both"/>
      </w:pPr>
      <w:r>
        <w:rPr>
          <w:rFonts w:ascii="Arial" w:cs="Arial" w:eastAsia="Arial" w:hAnsi="Arial"/>
          <w:b w:val="false"/>
          <w:bCs w:val="false"/>
          <w:sz w:val="22"/>
          <w:szCs w:val="22"/>
        </w:rPr>
        <w:t xml:space="preserve">Portcullis Research Team. (2026). Portcullis: TEE-hardened privacy-preserving LLM inference. arXiv preprint.</w:t>
      </w:r>
    </w:p>
    <w:p>
      <w:pPr>
        <w:spacing w:after="140" w:line="330"/>
        <w:jc w:val="both"/>
      </w:pPr>
      <w:r>
        <w:rPr>
          <w:rFonts w:ascii="Arial" w:cs="Arial" w:eastAsia="Arial" w:hAnsi="Arial"/>
          <w:b w:val="false"/>
          <w:bCs w:val="false"/>
          <w:sz w:val="22"/>
          <w:szCs w:val="22"/>
        </w:rPr>
        <w:t xml:space="preserve">Robertson, S., &amp; Zaragoza, H. (2009). The probabilistic relevance framework: BM25 and beyond. Foundations and Trends in Information Retrieval, 3(4), 333–389.</w:t>
      </w:r>
    </w:p>
    <w:p>
      <w:pPr>
        <w:spacing w:after="140" w:line="330"/>
        <w:jc w:val="both"/>
      </w:pPr>
      <w:r>
        <w:rPr>
          <w:rFonts w:ascii="Arial" w:cs="Arial" w:eastAsia="Arial" w:hAnsi="Arial"/>
          <w:b w:val="false"/>
          <w:bCs w:val="false"/>
          <w:sz w:val="22"/>
          <w:szCs w:val="22"/>
        </w:rPr>
        <w:t xml:space="preserve">Sadasivan, V. S., Kumar, A., Balasubramanian, S., Wang, W., &amp; Feizi, S. (2023). Can AI-generated text be reliably detected? arXiv:2303.11156.</w:t>
      </w:r>
    </w:p>
    <w:p>
      <w:pPr>
        <w:spacing w:after="140" w:line="330"/>
        <w:jc w:val="both"/>
      </w:pPr>
      <w:r>
        <w:rPr>
          <w:rFonts w:ascii="Arial" w:cs="Arial" w:eastAsia="Arial" w:hAnsi="Arial"/>
          <w:b w:val="false"/>
          <w:bCs w:val="false"/>
          <w:sz w:val="22"/>
          <w:szCs w:val="22"/>
        </w:rPr>
        <w:t xml:space="preserve">Sengupta, N., Sahu, S. K., Jia, B., et al. (2023). Jais and Jais-chat: Arabic-centric foundation and instruction-tuned open generative large language models. arXiv:2308.16149.</w:t>
      </w:r>
    </w:p>
    <w:p>
      <w:pPr>
        <w:spacing w:after="140" w:line="330"/>
        <w:jc w:val="both"/>
      </w:pPr>
      <w:r>
        <w:rPr>
          <w:rFonts w:ascii="Arial" w:cs="Arial" w:eastAsia="Arial" w:hAnsi="Arial"/>
          <w:b w:val="false"/>
          <w:bCs w:val="false"/>
          <w:sz w:val="22"/>
          <w:szCs w:val="22"/>
        </w:rPr>
        <w:t xml:space="preserve">Shnitzer, T., Ou, A., Silva, M., et al. (2023). Large language model routing with benchmark datasets. arXiv:2309.15789.</w:t>
      </w:r>
    </w:p>
    <w:p>
      <w:pPr>
        <w:spacing w:after="140" w:line="330"/>
        <w:jc w:val="both"/>
      </w:pPr>
      <w:r>
        <w:rPr>
          <w:rFonts w:ascii="Arial" w:cs="Arial" w:eastAsia="Arial" w:hAnsi="Arial"/>
          <w:b w:val="false"/>
          <w:bCs w:val="false"/>
          <w:sz w:val="22"/>
          <w:szCs w:val="22"/>
        </w:rPr>
        <w:t xml:space="preserve">Wei, J., Wang, X., Schuurmans, D., et al. (2022). Chain-of-thought prompting elicits reasoning in large language models. NeurIPS 2022, 35, 24824–24837.</w:t>
      </w:r>
    </w:p>
    <w:p>
      <w:pPr>
        <w:spacing w:after="140" w:line="330"/>
        <w:jc w:val="both"/>
      </w:pPr>
      <w:r>
        <w:rPr>
          <w:rFonts w:ascii="Arial" w:cs="Arial" w:eastAsia="Arial" w:hAnsi="Arial"/>
          <w:b w:val="false"/>
          <w:bCs w:val="false"/>
          <w:sz w:val="22"/>
          <w:szCs w:val="22"/>
        </w:rPr>
        <w:t xml:space="preserve">Whistledown Research Team. (2026). Whistledown: Session-consistent pseudonymization with local differential privacy for multi-turn LLM systems. arXiv preprint.</w:t>
      </w:r>
    </w:p>
    <w:p>
      <w:pPr>
        <w:spacing w:after="140" w:line="330"/>
        <w:jc w:val="both"/>
      </w:pPr>
      <w:r>
        <w:rPr>
          <w:rFonts w:ascii="Arial" w:cs="Arial" w:eastAsia="Arial" w:hAnsi="Arial"/>
          <w:b w:val="false"/>
          <w:bCs w:val="false"/>
          <w:sz w:val="22"/>
          <w:szCs w:val="22"/>
        </w:rPr>
        <w:t xml:space="preserve">Yao, S., Zhao, J., Yu, D., et al. (2022). ReAct: Synergizing reasoning and acting in language models. arXiv:2210.03629.</w:t>
      </w:r>
    </w:p>
    <w:p>
      <w:pPr>
        <w:spacing w:after="160"/>
      </w:pPr>
      <w:r>
        <w:t xml:space="preserve"/>
      </w:r>
    </w:p>
    <w:p>
      <w:pPr>
        <w:pBdr>
          <w:bottom w:val="single" w:color="1F4E79" w:sz="6" w:space="1"/>
        </w:pBdr>
        <w:spacing w:after="80" w:before="80"/>
      </w:pPr>
      <w:r>
        <w:t xml:space="preserve"/>
      </w:r>
    </w:p>
    <w:p>
      <w:pPr>
        <w:spacing w:after="140" w:line="330"/>
        <w:jc w:val="center"/>
      </w:pPr>
      <w:r>
        <w:rPr>
          <w:rFonts w:ascii="Arial" w:cs="Arial" w:eastAsia="Arial" w:hAnsi="Arial"/>
          <w:b w:val="false"/>
          <w:bCs w:val="false"/>
          <w:color w:val="404040"/>
          <w:sz w:val="22"/>
          <w:szCs w:val="22"/>
        </w:rPr>
        <w:t xml:space="preserve">ALMAS LAW v2.2  ·  Military Technical College (MTC)  ·  Digilians Programme  ·  Academic Year 2025–2026</w:t>
      </w:r>
    </w:p>
    <w:p>
      <w:pPr>
        <w:spacing w:after="140" w:line="330"/>
        <w:jc w:val="center"/>
      </w:pPr>
      <w:r>
        <w:rPr>
          <w:rFonts w:ascii="Arial" w:cs="Arial" w:eastAsia="Arial" w:hAnsi="Arial"/>
          <w:b w:val="false"/>
          <w:bCs w:val="false"/>
          <w:color w:val="404040"/>
          <w:sz w:val="22"/>
          <w:szCs w:val="22"/>
        </w:rPr>
        <w:t xml:space="preserve">Master Document — Version 2.2 — Confidential — Academic Use Only</w:t>
      </w:r>
    </w:p>
    <w:p>
      <w:r>
        <w:br w:type="page"/>
      </w:r>
    </w:p>
    <w:p>
      <w:pPr>
        <w:pStyle w:val="Heading1"/>
        <w:spacing w:after="180" w:before="440"/>
      </w:pPr>
      <w:r>
        <w:rPr>
          <w:rFonts w:ascii="Arial" w:cs="Arial" w:eastAsia="Arial" w:hAnsi="Arial"/>
          <w:b/>
          <w:bCs/>
          <w:color w:val="1F4E79"/>
          <w:sz w:val="34"/>
          <w:szCs w:val="34"/>
        </w:rPr>
        <w:t xml:space="preserve">Appendix A — v2.2 Changelog</w:t>
      </w:r>
    </w:p>
    <w:p>
      <w:pPr>
        <w:spacing w:after="140" w:line="330"/>
        <w:jc w:val="both"/>
      </w:pPr>
      <w:r>
        <w:rPr>
          <w:rFonts w:ascii="Arial" w:cs="Arial" w:eastAsia="Arial" w:hAnsi="Arial"/>
          <w:b/>
          <w:bCs/>
          <w:sz w:val="22"/>
          <w:szCs w:val="22"/>
        </w:rPr>
        <w:t xml:space="preserve">The following summarises all modifications made in Version 2.2 relative to Version 2.1 (the prior master document).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1400"/>
        <w:gridCol w:w="5480"/>
      </w:tblGrid>
      <w:tr>
        <w:trPr>
          <w:tblHeader/>
        </w:trPr>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Change ID</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Section Affected</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Type</w:t>
            </w:r>
          </w:p>
        </w:tc>
        <w:tc>
          <w:tcPr>
            <w:tcW w:type="dxa" w:w="54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20"/>
                <w:szCs w:val="20"/>
              </w:rPr>
              <w:t xml:space="preserve">Summary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NEW</w:t>
            </w:r>
          </w:p>
        </w:tc>
        <w:tc>
          <w:tcPr>
            <w:tcW w:type="dxa" w:w="5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Portcullis: Intel TDX Trusted Execution Environment hardening of Privacy Gateway as optional Hardened Deployment Tier</w:t>
            </w:r>
          </w:p>
        </w:tc>
      </w:tr>
      <w:tr>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C-02</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NEW</w:t>
            </w:r>
          </w:p>
        </w:tc>
        <w:tc>
          <w:tcPr>
            <w:tcW w:type="dxa" w:w="54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Whistledown: session-consistent pseudonymization with Laplace-mechanism local differential privacy on numeric values; closes cross-turn identity-leakage gap</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RECONCILED</w:t>
            </w:r>
          </w:p>
        </w:tc>
        <w:tc>
          <w:tcPr>
            <w:tcW w:type="dxa" w:w="5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MemPrivacy PL1–PL4 taxonomy formally mapped to existing seven Sovereign Data zones via crosswalk table; no redesign required</w:t>
            </w:r>
          </w:p>
        </w:tc>
      </w:tr>
      <w:tr>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C-04</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§21</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EXTENDED</w:t>
            </w:r>
          </w:p>
        </w:tc>
        <w:tc>
          <w:tcPr>
            <w:tcW w:type="dxa" w:w="54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Zero Trust Agent Architecture extended with Token Isolation Pattern, Agent Persona Framework per agent, and Behavioral Identity fingerprinting</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NEW</w:t>
            </w:r>
          </w:p>
        </w:tc>
        <w:tc>
          <w:tcPr>
            <w:tcW w:type="dxa" w:w="5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ICON latent-space injection detection added to all retrieved-content processing in RIE pipeline</w:t>
            </w:r>
          </w:p>
        </w:tc>
      </w:tr>
      <w:tr>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C-06</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§21</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NEW</w:t>
            </w:r>
          </w:p>
        </w:tc>
        <w:tc>
          <w:tcPr>
            <w:tcW w:type="dxa" w:w="54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ParseData tool-result sanitization added to all agent tool call result processing</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C-07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NEW</w:t>
            </w:r>
          </w:p>
        </w:tc>
        <w:tc>
          <w:tcPr>
            <w:tcW w:type="dxa" w:w="5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NIST SP 800-63B Rev. 4 compliant password policy and AAL1/2/3 Authentication Assurance Level framework added</w:t>
            </w:r>
          </w:p>
        </w:tc>
      </w:tr>
      <w:tr>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C-08</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§23</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NEW</w:t>
            </w:r>
          </w:p>
        </w:tc>
        <w:tc>
          <w:tcPr>
            <w:tcW w:type="dxa" w:w="54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Dual registration pipeline: Legal Professional Pathway (Bar Association verification) and Non-Legal Staff Pathway formally specified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C-09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§13 + §28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NEW</w:t>
            </w:r>
          </w:p>
        </w:tc>
        <w:tc>
          <w:tcPr>
            <w:tcW w:type="dxa" w:w="5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Legal Audit Engine promoted to Engine 17 with dedicated section; full record schema specified; append-only RLS enforcement documented</w:t>
            </w:r>
          </w:p>
        </w:tc>
      </w:tr>
      <w:tr>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C-10</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§32</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FORMALIZED</w:t>
            </w:r>
          </w:p>
        </w:tc>
        <w:tc>
          <w:tcPr>
            <w:tcW w:type="dxa" w:w="54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CQRS (Command Query Responsibility Segregation) named explicitly and specified with Command/Query path table for 2M DAU architecture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 + §30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ADDED</w:t>
            </w:r>
          </w:p>
        </w:tc>
        <w:tc>
          <w:tcPr>
            <w:tcW w:type="dxa" w:w="5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Westlaw CoCounsel added to literature review and competitive benchmarking table</w:t>
            </w:r>
          </w:p>
        </w:tc>
      </w:tr>
      <w:tr>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C-12</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NEW</w:t>
            </w:r>
          </w:p>
        </w:tc>
        <w:tc>
          <w:tcPr>
            <w:tcW w:type="dxa" w:w="54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Formal agent/engine mapping table: 15-agent operational roster mapped to 7 LangGraph nodes + 8 engine invocations + 3 operational services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C-13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CORRECTED</w:t>
            </w:r>
          </w:p>
        </w:tc>
        <w:tc>
          <w:tcPr>
            <w:tcW w:type="dxa" w:w="5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Heading numbering defect corrected: prior versions numbered §17 subsections as 16.x and §18/19 analogously; all headings now correctly numbered</w:t>
            </w:r>
          </w:p>
        </w:tc>
      </w:tr>
      <w:tr>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C-14</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All</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TECHNICAL REVIEW</w:t>
            </w:r>
          </w:p>
        </w:tc>
        <w:tc>
          <w:tcPr>
            <w:tcW w:type="dxa" w:w="54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b w:val="false"/>
                <w:bCs w:val="false"/>
                <w:sz w:val="20"/>
                <w:szCs w:val="20"/>
              </w:rPr>
              <w:t xml:space="preserve">Self-review pass: removed duplicate clauses between §20 and §22; reconciled agent count references across §8, §13, and §15; confirmed citation consistency throughout</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jc w:val="center"/>
    </w:pPr>
    <w:r>
      <w:rPr>
        <w:rFonts w:ascii="Arial" w:cs="Arial" w:eastAsia="Arial" w:hAnsi="Arial"/>
        <w:color w:val="777777"/>
        <w:sz w:val="16"/>
        <w:szCs w:val="16"/>
      </w:rPr>
      <w:t xml:space="preserve">ALMAS LAW v2.2 — Master Document — Confidential — Academic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jc w:val="right"/>
    </w:pPr>
    <w:r>
      <w:rPr>
        <w:rFonts w:ascii="Arial" w:cs="Arial" w:eastAsia="Arial" w:hAnsi="Arial"/>
        <w:color w:val="777777"/>
        <w:sz w:val="16"/>
        <w:szCs w:val="16"/>
      </w:rPr>
      <w:t xml:space="preserve">ALMAS LAW v2.2  |  Agentic Legal Intelligence Platform  |  MTC Digilians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40"/>
      <w:outlineLvl w:val="0"/>
    </w:pPr>
    <w:rPr>
      <w:rFonts w:ascii="Arial" w:cs="Arial" w:eastAsia="Arial" w:hAnsi="Arial"/>
      <w:b/>
      <w:bCs/>
      <w:color w:val="1F4E79"/>
      <w:sz w:val="34"/>
      <w:szCs w:val="34"/>
    </w:rPr>
  </w:style>
  <w:style w:type="paragraph" w:styleId="Heading2">
    <w:name w:val="Heading 2"/>
    <w:basedOn w:val="Normal"/>
    <w:next w:val="Normal"/>
    <w:qFormat/>
    <w:pPr>
      <w:spacing w:after="120" w:before="300"/>
      <w:outlineLvl w:val="1"/>
    </w:pPr>
    <w:rPr>
      <w:rFonts w:ascii="Arial" w:cs="Arial" w:eastAsia="Arial" w:hAnsi="Arial"/>
      <w:b/>
      <w:bCs/>
      <w:color w:val="1F4E79"/>
      <w:sz w:val="27"/>
      <w:szCs w:val="27"/>
    </w:rPr>
  </w:style>
  <w:style w:type="paragraph" w:styleId="Heading3">
    <w:name w:val="Heading 3"/>
    <w:basedOn w:val="Normal"/>
    <w:next w:val="Normal"/>
    <w:qFormat/>
    <w:pPr>
      <w:spacing w:after="80" w:before="200"/>
      <w:outlineLvl w:val="2"/>
    </w:pPr>
    <w:rPr>
      <w:rFonts w:ascii="Arial" w:cs="Arial" w:eastAsia="Arial" w:hAnsi="Arial"/>
      <w:b/>
      <w:bCs/>
      <w:color w:val="0D2B4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2026-07-09T09:24:21.691Z</dcterms:created>
  <dcterms:modified xsi:type="dcterms:W3CDTF">2026-07-09T09:24:21.703Z</dcterms:modified>
</cp:coreProperties>
</file>

<file path=docProps/custom.xml><?xml version="1.0" encoding="utf-8"?>
<Properties xmlns="http://schemas.openxmlformats.org/officeDocument/2006/custom-properties" xmlns:vt="http://schemas.openxmlformats.org/officeDocument/2006/docPropsVTypes"/>
</file>