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B74" w:rsidRPr="00CB0B74" w:rsidRDefault="00CB0B74" w:rsidP="00CB0B74">
      <w:pPr>
        <w:pStyle w:val="Heading2"/>
        <w:spacing w:before="0" w:beforeAutospacing="0" w:after="0" w:afterAutospacing="0"/>
        <w:jc w:val="center"/>
        <w:rPr>
          <w:color w:val="2F5496" w:themeColor="accent1" w:themeShade="BF"/>
          <w:rtl/>
        </w:rPr>
      </w:pPr>
      <w:r w:rsidRPr="00CB0B74">
        <w:rPr>
          <w:color w:val="2F5496" w:themeColor="accent1" w:themeShade="BF"/>
        </w:rPr>
        <w:t>ALSHAYEB LAW</w:t>
      </w:r>
    </w:p>
    <w:p w:rsidR="00CB0B74" w:rsidRPr="00CB0B74" w:rsidRDefault="00CB0B74" w:rsidP="00CB0B74">
      <w:pPr>
        <w:pStyle w:val="Heading2"/>
        <w:spacing w:before="0" w:beforeAutospacing="0" w:after="0" w:afterAutospacing="0"/>
        <w:jc w:val="center"/>
        <w:rPr>
          <w:color w:val="2F5496" w:themeColor="accent1" w:themeShade="BF"/>
        </w:rPr>
      </w:pPr>
      <w:r w:rsidRPr="00CB0B74">
        <w:rPr>
          <w:color w:val="2F5496" w:themeColor="accent1" w:themeShade="BF"/>
        </w:rPr>
        <w:t>An Egyptian Legal RAG System</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Abstract</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This report presents a formal evaluation and benchmarking protocol for ALSHAYEB LAW, an Egyptian Legal Retrieval-Augmented Generation system. The protocol prioritizes ethical use, bias control, transparency, and citation reliability before conventional performance metrics, because legal AI systems must be trustworthy, explainable, and resistant to unsupported or unfair outputs. It also includes retrieval, reranking, generation, citation recall, and error-analysis methodologies so that</w:t>
      </w:r>
      <w:bookmarkStart w:id="0" w:name="_GoBack"/>
      <w:bookmarkEnd w:id="0"/>
      <w:r w:rsidRPr="00CB0B74">
        <w:rPr>
          <w:rFonts w:ascii="Times New Roman" w:eastAsia="Times New Roman" w:hAnsi="Times New Roman" w:cs="Times New Roman"/>
          <w:sz w:val="24"/>
          <w:szCs w:val="24"/>
        </w:rPr>
        <w:t xml:space="preserve"> the system can be evaluated as a full pipeline rather than as a single chatbot.</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 Introduction</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ALSHAYEB LAW is designed to support legal research over Egyptian statutes, with future expansion to case law and doctrine. In a legal setting, the main risk is not only incorrect answers, but also biased retrieval, missing evidence, fabricated citations, and overconfident outputs that appear authoritative without being grounded in sources.</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Accordingly, this protocol adopts a trustworthiness-first evaluation philosophy. Ethical and bias considerations are placed first because a legal RAG system may reinforce source imbalance, over-rely on certain citation patterns, or produce unequal performance across query styles and user groups.</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2. Ethical and Bias Considerations</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2.1 Ethical principles</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The evaluation framework is guided by four principles: fairness, transparency, accountability, and harm minimization. Legal AI should not privilege certain phrasing styles, should not hide uncertainty, and should not generate unsupported legal propositions as if they were verified law.</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The system must also treat refusal as a valid and safe outcome when evidence is insufficient. In legal contexts, a conservative refusal is preferable to a confident but unsupported answer.</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2.2 Bias risks</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RAG systems can inherit bias from the retrieval corpus, the ranking function, the embedding model, and the generator. Even when the underlying corpus is neutral, the ranking stage may surface some legal authorities more frequently than others, while the generator may amplify whichever sources are easiest to summarize.</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For ALSHAYEB LAW, the main bias risks are over-representation of highly repeated statutes or doctrines, under-retrieval of less common legal topics, unequal performance across Arabic query styles, citation bias toward sources with simpler wording, and version bias if older texts are easier to retrieve than current ones.</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2.3 Ethical controls</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The benchmark should include fairness-oriented slices that test whether performance differs across query types, wording styles, and source classes. It should also track refusal behavior, because unjustified refusal may be as problematic as incorrect acceptance in a legal assistant.</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3. Benchmark Scope</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 xml:space="preserve">This benchmark covers statute-only retrieval, doctrine retrieval, case-law retrieval, exact article lookup, legal issue-to-rule mapping, multi-hop legal reasoning, Arabic wording variation, hard </w:t>
      </w:r>
      <w:r w:rsidRPr="00CB0B74">
        <w:rPr>
          <w:rFonts w:ascii="Times New Roman" w:eastAsia="Times New Roman" w:hAnsi="Times New Roman" w:cs="Times New Roman"/>
          <w:sz w:val="24"/>
          <w:szCs w:val="24"/>
        </w:rPr>
        <w:lastRenderedPageBreak/>
        <w:t>negatives, citation recall, answer faithfulness, latency and throughput, and error analysis. The current release prioritizes statutory law, because it is the most stable and auditable source class for an initial legal RAG benchmark.</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4. Benchmark Structure</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Table 1. Benchmark slices</w:t>
      </w:r>
    </w:p>
    <w:tbl>
      <w:tblPr>
        <w:tblStyle w:val="TableGrid"/>
        <w:tblW w:w="0" w:type="auto"/>
        <w:tblLook w:val="04A0" w:firstRow="1" w:lastRow="0" w:firstColumn="1" w:lastColumn="0" w:noHBand="0" w:noVBand="1"/>
      </w:tblPr>
      <w:tblGrid>
        <w:gridCol w:w="1725"/>
        <w:gridCol w:w="2239"/>
        <w:gridCol w:w="2808"/>
        <w:gridCol w:w="2578"/>
      </w:tblGrid>
      <w:tr w:rsidR="00CB0B74" w:rsidRPr="00CB0B74" w:rsidTr="00CB0B74">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Slice</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Purpose</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Example task</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Primary metrics</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Statute-only</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Exact retrieval of legal articles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Find the article governing a rule</w:t>
            </w:r>
          </w:p>
        </w:tc>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Recall@k</w:t>
            </w:r>
            <w:proofErr w:type="spellEnd"/>
            <w:r w:rsidRPr="00CB0B74">
              <w:rPr>
                <w:rFonts w:ascii="Times New Roman" w:eastAsia="Times New Roman" w:hAnsi="Times New Roman" w:cs="Times New Roman"/>
                <w:sz w:val="24"/>
                <w:szCs w:val="24"/>
              </w:rPr>
              <w:t xml:space="preserve">, MRR, </w:t>
            </w:r>
            <w:proofErr w:type="spellStart"/>
            <w:r w:rsidRPr="00CB0B74">
              <w:rPr>
                <w:rFonts w:ascii="Times New Roman" w:eastAsia="Times New Roman" w:hAnsi="Times New Roman" w:cs="Times New Roman"/>
                <w:sz w:val="24"/>
                <w:szCs w:val="24"/>
              </w:rPr>
              <w:t>Hit@k</w:t>
            </w:r>
            <w:proofErr w:type="spellEnd"/>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Doctrine</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Retrieve explanatory material</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Find doctrinal support</w:t>
            </w:r>
          </w:p>
        </w:tc>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Recall@k</w:t>
            </w:r>
            <w:proofErr w:type="spellEnd"/>
            <w:r w:rsidRPr="00CB0B74">
              <w:rPr>
                <w:rFonts w:ascii="Times New Roman" w:eastAsia="Times New Roman" w:hAnsi="Times New Roman" w:cs="Times New Roman"/>
                <w:sz w:val="24"/>
                <w:szCs w:val="24"/>
              </w:rPr>
              <w:t xml:space="preserve">, </w:t>
            </w:r>
            <w:proofErr w:type="spellStart"/>
            <w:r w:rsidRPr="00CB0B74">
              <w:rPr>
                <w:rFonts w:ascii="Times New Roman" w:eastAsia="Times New Roman" w:hAnsi="Times New Roman" w:cs="Times New Roman"/>
                <w:sz w:val="24"/>
                <w:szCs w:val="24"/>
              </w:rPr>
              <w:t>nDCG</w:t>
            </w:r>
            <w:proofErr w:type="spellEnd"/>
            <w:r w:rsidRPr="00CB0B74">
              <w:rPr>
                <w:rFonts w:ascii="Times New Roman" w:eastAsia="Times New Roman" w:hAnsi="Times New Roman" w:cs="Times New Roman"/>
                <w:sz w:val="24"/>
                <w:szCs w:val="24"/>
              </w:rPr>
              <w:t>, context precision</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Case law</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Retrieve rulings and holdings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Find an applicable judgment</w:t>
            </w:r>
          </w:p>
        </w:tc>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Recall@k</w:t>
            </w:r>
            <w:proofErr w:type="spellEnd"/>
            <w:r w:rsidRPr="00CB0B74">
              <w:rPr>
                <w:rFonts w:ascii="Times New Roman" w:eastAsia="Times New Roman" w:hAnsi="Times New Roman" w:cs="Times New Roman"/>
                <w:sz w:val="24"/>
                <w:szCs w:val="24"/>
              </w:rPr>
              <w:t>, citation accuracy</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Exact lookup</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Pinpoint a source quickly</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Identify the exact article number</w:t>
            </w:r>
          </w:p>
        </w:tc>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Hit@k</w:t>
            </w:r>
            <w:proofErr w:type="spellEnd"/>
            <w:r w:rsidRPr="00CB0B74">
              <w:rPr>
                <w:rFonts w:ascii="Times New Roman" w:eastAsia="Times New Roman" w:hAnsi="Times New Roman" w:cs="Times New Roman"/>
                <w:sz w:val="24"/>
                <w:szCs w:val="24"/>
              </w:rPr>
              <w:t>, MRR</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Rule-to-application</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Link issue to legal rule</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Find the governing legal provision</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 xml:space="preserve">Context recall, </w:t>
            </w:r>
            <w:proofErr w:type="spellStart"/>
            <w:r w:rsidRPr="00CB0B74">
              <w:rPr>
                <w:rFonts w:ascii="Times New Roman" w:eastAsia="Times New Roman" w:hAnsi="Times New Roman" w:cs="Times New Roman"/>
                <w:sz w:val="24"/>
                <w:szCs w:val="24"/>
              </w:rPr>
              <w:t>nDCG</w:t>
            </w:r>
            <w:proofErr w:type="spellEnd"/>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Multi-hop reasoning</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Combine multiple sources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Answer compound legal questions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Faithfulness, answer completeness</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Arabic variation</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Handle phrasing differences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Same query in formal and colloquial Arabic</w:t>
            </w:r>
          </w:p>
        </w:tc>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Recall@k</w:t>
            </w:r>
            <w:proofErr w:type="spellEnd"/>
            <w:r w:rsidRPr="00CB0B74">
              <w:rPr>
                <w:rFonts w:ascii="Times New Roman" w:eastAsia="Times New Roman" w:hAnsi="Times New Roman" w:cs="Times New Roman"/>
                <w:sz w:val="24"/>
                <w:szCs w:val="24"/>
              </w:rPr>
              <w:t>, robustness</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Hard negatives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Resist near-miss sources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Similar article, wrong rule</w:t>
            </w:r>
          </w:p>
        </w:tc>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Precision@k</w:t>
            </w:r>
            <w:proofErr w:type="spellEnd"/>
            <w:r w:rsidRPr="00CB0B74">
              <w:rPr>
                <w:rFonts w:ascii="Times New Roman" w:eastAsia="Times New Roman" w:hAnsi="Times New Roman" w:cs="Times New Roman"/>
                <w:sz w:val="24"/>
                <w:szCs w:val="24"/>
              </w:rPr>
              <w:t xml:space="preserve">, </w:t>
            </w:r>
            <w:proofErr w:type="spellStart"/>
            <w:r w:rsidRPr="00CB0B74">
              <w:rPr>
                <w:rFonts w:ascii="Times New Roman" w:eastAsia="Times New Roman" w:hAnsi="Times New Roman" w:cs="Times New Roman"/>
                <w:sz w:val="24"/>
                <w:szCs w:val="24"/>
              </w:rPr>
              <w:t>nDCG</w:t>
            </w:r>
            <w:proofErr w:type="spellEnd"/>
          </w:p>
        </w:tc>
      </w:tr>
    </w:tbl>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5. Gold Labels and Relevance</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Each benchmark item must have versioned gold labels. These labels define the correct sources, the relevant spans, and the expected answer structure. Relevance should be graded rather than binary, because many legal sources are partially relevant.</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Table 2. Gold label fields</w:t>
      </w:r>
    </w:p>
    <w:tbl>
      <w:tblPr>
        <w:tblStyle w:val="TableGrid"/>
        <w:tblW w:w="0" w:type="auto"/>
        <w:tblLook w:val="04A0" w:firstRow="1" w:lastRow="0" w:firstColumn="1" w:lastColumn="0" w:noHBand="0" w:noVBand="1"/>
      </w:tblPr>
      <w:tblGrid>
        <w:gridCol w:w="1976"/>
        <w:gridCol w:w="4628"/>
      </w:tblGrid>
      <w:tr w:rsidR="00CB0B74" w:rsidRPr="00CB0B74" w:rsidTr="00CB0B74">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Field</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Description</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query_id</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Unique benchmark ID</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query_text</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Test query</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query_type</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Retrieval, reasoning, explanation, comparison</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source_class</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Statute, doctrine, case law</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gold_source_ids</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Canonical relevant sources</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gold_span_ids</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Supporting evidence spans</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relevance_grade</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0–3 graded relevance</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reference_answer</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Expected answer outline</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required_citations</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Mandatory supporting sources</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hard_negative_ids</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Near-miss distractors</w:t>
            </w:r>
          </w:p>
        </w:tc>
      </w:tr>
    </w:tbl>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Table 3. Relevance grading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168"/>
      </w:tblGrid>
      <w:tr w:rsidR="00CB0B74" w:rsidRPr="00CB0B74" w:rsidTr="00CB0B74">
        <w:trPr>
          <w:tblHeader/>
          <w:tblCellSpacing w:w="15" w:type="dxa"/>
        </w:trPr>
        <w:tc>
          <w:tcPr>
            <w:tcW w:w="0" w:type="auto"/>
            <w:vAlign w:val="center"/>
            <w:hideMark/>
          </w:tcPr>
          <w:p w:rsidR="00CB0B74" w:rsidRPr="00CB0B74" w:rsidRDefault="00CB0B74" w:rsidP="00CB0B74">
            <w:pPr>
              <w:spacing w:after="0" w:line="240" w:lineRule="auto"/>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Grade</w:t>
            </w:r>
          </w:p>
        </w:tc>
        <w:tc>
          <w:tcPr>
            <w:tcW w:w="0" w:type="auto"/>
            <w:vAlign w:val="center"/>
            <w:hideMark/>
          </w:tcPr>
          <w:p w:rsidR="00CB0B74" w:rsidRPr="00CB0B74" w:rsidRDefault="00CB0B74" w:rsidP="00CB0B74">
            <w:pPr>
              <w:spacing w:after="0" w:line="240" w:lineRule="auto"/>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Meaning</w:t>
            </w:r>
          </w:p>
        </w:tc>
      </w:tr>
      <w:tr w:rsidR="00CB0B74" w:rsidRPr="00CB0B74" w:rsidTr="00CB0B74">
        <w:trPr>
          <w:tblCellSpacing w:w="15" w:type="dxa"/>
        </w:trPr>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3</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Directly answers the query</w:t>
            </w:r>
          </w:p>
        </w:tc>
      </w:tr>
      <w:tr w:rsidR="00CB0B74" w:rsidRPr="00CB0B74" w:rsidTr="00CB0B74">
        <w:trPr>
          <w:tblCellSpacing w:w="15" w:type="dxa"/>
        </w:trPr>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2</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Highly relevant support</w:t>
            </w:r>
          </w:p>
        </w:tc>
      </w:tr>
      <w:tr w:rsidR="00CB0B74" w:rsidRPr="00CB0B74" w:rsidTr="00CB0B74">
        <w:trPr>
          <w:tblCellSpacing w:w="15" w:type="dxa"/>
        </w:trPr>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lastRenderedPageBreak/>
              <w:t>1</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Marginally relevant background</w:t>
            </w:r>
          </w:p>
        </w:tc>
      </w:tr>
      <w:tr w:rsidR="00CB0B74" w:rsidRPr="00CB0B74" w:rsidTr="00CB0B74">
        <w:trPr>
          <w:tblCellSpacing w:w="15" w:type="dxa"/>
        </w:trPr>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0</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Not relevant</w:t>
            </w:r>
          </w:p>
        </w:tc>
      </w:tr>
    </w:tbl>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6. Retrieval Evaluation</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Retrieval quality must be measured independently of generation. This is important because a fluent answer may conceal retrieval failure, and legal systems cannot rely on surface quality alone.</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Metrics</w:t>
      </w:r>
    </w:p>
    <w:p w:rsidR="00CB0B74" w:rsidRPr="00CB0B74" w:rsidRDefault="00CB0B74" w:rsidP="00CB0B74">
      <w:pPr>
        <w:numPr>
          <w:ilvl w:val="0"/>
          <w:numId w:val="1"/>
        </w:numPr>
        <w:spacing w:after="0" w:line="240" w:lineRule="auto"/>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Recall@k</w:t>
      </w:r>
      <w:proofErr w:type="spellEnd"/>
      <w:r w:rsidRPr="00CB0B74">
        <w:rPr>
          <w:rFonts w:ascii="Times New Roman" w:eastAsia="Times New Roman" w:hAnsi="Times New Roman" w:cs="Times New Roman"/>
          <w:sz w:val="24"/>
          <w:szCs w:val="24"/>
        </w:rPr>
        <w:t>: whether the correct source appears in the top-k results.</w:t>
      </w:r>
    </w:p>
    <w:p w:rsidR="00CB0B74" w:rsidRPr="00CB0B74" w:rsidRDefault="00CB0B74" w:rsidP="00CB0B74">
      <w:pPr>
        <w:numPr>
          <w:ilvl w:val="0"/>
          <w:numId w:val="1"/>
        </w:numPr>
        <w:spacing w:after="0" w:line="240" w:lineRule="auto"/>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Precision@k</w:t>
      </w:r>
      <w:proofErr w:type="spellEnd"/>
      <w:r w:rsidRPr="00CB0B74">
        <w:rPr>
          <w:rFonts w:ascii="Times New Roman" w:eastAsia="Times New Roman" w:hAnsi="Times New Roman" w:cs="Times New Roman"/>
          <w:sz w:val="24"/>
          <w:szCs w:val="24"/>
        </w:rPr>
        <w:t>: proportion of top-k results that are relevant.</w:t>
      </w:r>
    </w:p>
    <w:p w:rsidR="00CB0B74" w:rsidRPr="00CB0B74" w:rsidRDefault="00CB0B74" w:rsidP="00CB0B74">
      <w:pPr>
        <w:numPr>
          <w:ilvl w:val="0"/>
          <w:numId w:val="1"/>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MRR: rank position of the first correct result.</w:t>
      </w:r>
    </w:p>
    <w:p w:rsidR="00CB0B74" w:rsidRPr="00CB0B74" w:rsidRDefault="00CB0B74" w:rsidP="00CB0B74">
      <w:pPr>
        <w:numPr>
          <w:ilvl w:val="0"/>
          <w:numId w:val="1"/>
        </w:numPr>
        <w:spacing w:after="0" w:line="240" w:lineRule="auto"/>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nDCG</w:t>
      </w:r>
      <w:proofErr w:type="spellEnd"/>
      <w:r w:rsidRPr="00CB0B74">
        <w:rPr>
          <w:rFonts w:ascii="Times New Roman" w:eastAsia="Times New Roman" w:hAnsi="Times New Roman" w:cs="Times New Roman"/>
          <w:sz w:val="24"/>
          <w:szCs w:val="24"/>
        </w:rPr>
        <w:t>: ranking quality with graded relevance.</w:t>
      </w:r>
    </w:p>
    <w:p w:rsidR="00CB0B74" w:rsidRPr="00CB0B74" w:rsidRDefault="00CB0B74" w:rsidP="00CB0B74">
      <w:pPr>
        <w:numPr>
          <w:ilvl w:val="0"/>
          <w:numId w:val="1"/>
        </w:numPr>
        <w:spacing w:after="0" w:line="240" w:lineRule="auto"/>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Hit@k</w:t>
      </w:r>
      <w:proofErr w:type="spellEnd"/>
      <w:r w:rsidRPr="00CB0B74">
        <w:rPr>
          <w:rFonts w:ascii="Times New Roman" w:eastAsia="Times New Roman" w:hAnsi="Times New Roman" w:cs="Times New Roman"/>
          <w:sz w:val="24"/>
          <w:szCs w:val="24"/>
        </w:rPr>
        <w:t>: whether at least one correct result appears in the top-k.</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Why retrieval metrics matter ethically</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Retrieval bias is often invisible unless it is measured directly. If certain legal topics or phrasing styles consistently fail to retrieve the right source, the system may appear useful while actually disadvantaging some users and queries.</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7. Citation Recall Chapter</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Citation recall should be treated as its own chapter because it measures whether the system retrieves and exposes the sources needed for later citation. In a legal system, a response is not adequate if the answer is semantically correct but the supporting authority is missing from the evidence bundle.</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Citation recall definition</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Citation recall is the proportion of required citations or source spans that appear in the retrieved context before answer generation.</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Citation recall metrics</w:t>
      </w:r>
    </w:p>
    <w:p w:rsidR="00CB0B74" w:rsidRPr="00CB0B74" w:rsidRDefault="00CB0B74" w:rsidP="00CB0B74">
      <w:pPr>
        <w:numPr>
          <w:ilvl w:val="0"/>
          <w:numId w:val="2"/>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 xml:space="preserve">Citation </w:t>
      </w:r>
      <w:proofErr w:type="spellStart"/>
      <w:r w:rsidRPr="00CB0B74">
        <w:rPr>
          <w:rFonts w:ascii="Times New Roman" w:eastAsia="Times New Roman" w:hAnsi="Times New Roman" w:cs="Times New Roman"/>
          <w:sz w:val="24"/>
          <w:szCs w:val="24"/>
        </w:rPr>
        <w:t>recall@k</w:t>
      </w:r>
      <w:proofErr w:type="spellEnd"/>
      <w:r w:rsidRPr="00CB0B74">
        <w:rPr>
          <w:rFonts w:ascii="Times New Roman" w:eastAsia="Times New Roman" w:hAnsi="Times New Roman" w:cs="Times New Roman"/>
          <w:sz w:val="24"/>
          <w:szCs w:val="24"/>
        </w:rPr>
        <w:t>: proportion of gold citations found in top-k retrieval.</w:t>
      </w:r>
    </w:p>
    <w:p w:rsidR="00CB0B74" w:rsidRPr="00CB0B74" w:rsidRDefault="00CB0B74" w:rsidP="00CB0B74">
      <w:pPr>
        <w:numPr>
          <w:ilvl w:val="0"/>
          <w:numId w:val="2"/>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Span recall: proportion of gold evidence spans recovered.</w:t>
      </w:r>
    </w:p>
    <w:p w:rsidR="00CB0B74" w:rsidRPr="00CB0B74" w:rsidRDefault="00CB0B74" w:rsidP="00CB0B74">
      <w:pPr>
        <w:numPr>
          <w:ilvl w:val="0"/>
          <w:numId w:val="2"/>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Source coverage: proportion of required source IDs present in context.</w:t>
      </w:r>
    </w:p>
    <w:p w:rsidR="00CB0B74" w:rsidRPr="00CB0B74" w:rsidRDefault="00CB0B74" w:rsidP="00CB0B74">
      <w:pPr>
        <w:numPr>
          <w:ilvl w:val="0"/>
          <w:numId w:val="2"/>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Versioned citation recall: proportion of citations retrieved with the correct version.</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Table 4. Citation recall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3064"/>
        <w:gridCol w:w="3975"/>
      </w:tblGrid>
      <w:tr w:rsidR="00CB0B74" w:rsidRPr="00CB0B74" w:rsidTr="00CB0B74">
        <w:trPr>
          <w:tblHeader/>
          <w:tblCellSpacing w:w="15" w:type="dxa"/>
        </w:trPr>
        <w:tc>
          <w:tcPr>
            <w:tcW w:w="0" w:type="auto"/>
            <w:vAlign w:val="center"/>
            <w:hideMark/>
          </w:tcPr>
          <w:p w:rsidR="00CB0B74" w:rsidRPr="00CB0B74" w:rsidRDefault="00CB0B74" w:rsidP="00CB0B74">
            <w:pPr>
              <w:spacing w:after="0" w:line="240" w:lineRule="auto"/>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Metric</w:t>
            </w:r>
          </w:p>
        </w:tc>
        <w:tc>
          <w:tcPr>
            <w:tcW w:w="0" w:type="auto"/>
            <w:vAlign w:val="center"/>
            <w:hideMark/>
          </w:tcPr>
          <w:p w:rsidR="00CB0B74" w:rsidRPr="00CB0B74" w:rsidRDefault="00CB0B74" w:rsidP="00CB0B74">
            <w:pPr>
              <w:spacing w:after="0" w:line="240" w:lineRule="auto"/>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What it measures</w:t>
            </w:r>
          </w:p>
        </w:tc>
        <w:tc>
          <w:tcPr>
            <w:tcW w:w="0" w:type="auto"/>
            <w:vAlign w:val="center"/>
            <w:hideMark/>
          </w:tcPr>
          <w:p w:rsidR="00CB0B74" w:rsidRPr="00CB0B74" w:rsidRDefault="00CB0B74" w:rsidP="00CB0B74">
            <w:pPr>
              <w:spacing w:after="0" w:line="240" w:lineRule="auto"/>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Why it matters</w:t>
            </w:r>
          </w:p>
        </w:tc>
      </w:tr>
      <w:tr w:rsidR="00CB0B74" w:rsidRPr="00CB0B74" w:rsidTr="00CB0B74">
        <w:trPr>
          <w:tblCellSpacing w:w="15" w:type="dxa"/>
        </w:trPr>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 xml:space="preserve">Citation </w:t>
            </w:r>
            <w:proofErr w:type="spellStart"/>
            <w:r w:rsidRPr="00CB0B74">
              <w:rPr>
                <w:rFonts w:ascii="Times New Roman" w:eastAsia="Times New Roman" w:hAnsi="Times New Roman" w:cs="Times New Roman"/>
                <w:sz w:val="24"/>
                <w:szCs w:val="24"/>
              </w:rPr>
              <w:t>recall@k</w:t>
            </w:r>
            <w:proofErr w:type="spellEnd"/>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Required citations found in top-k</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Ensures the model has the evidence needed</w:t>
            </w:r>
          </w:p>
        </w:tc>
      </w:tr>
      <w:tr w:rsidR="00CB0B74" w:rsidRPr="00CB0B74" w:rsidTr="00CB0B74">
        <w:trPr>
          <w:tblCellSpacing w:w="15" w:type="dxa"/>
        </w:trPr>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Span recall</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Correct spans recovered</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Supports claim-level grounding</w:t>
            </w:r>
          </w:p>
        </w:tc>
      </w:tr>
      <w:tr w:rsidR="00CB0B74" w:rsidRPr="00CB0B74" w:rsidTr="00CB0B74">
        <w:trPr>
          <w:tblCellSpacing w:w="15" w:type="dxa"/>
        </w:trPr>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Source coverage</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Required sources retrieved</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Prevents missing legal authorities</w:t>
            </w:r>
          </w:p>
        </w:tc>
      </w:tr>
      <w:tr w:rsidR="00CB0B74" w:rsidRPr="00CB0B74" w:rsidTr="00CB0B74">
        <w:trPr>
          <w:tblCellSpacing w:w="15" w:type="dxa"/>
        </w:trPr>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Versioned citation recall</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Correct legal version retrieved</w:t>
            </w:r>
          </w:p>
        </w:tc>
        <w:tc>
          <w:tcPr>
            <w:tcW w:w="0" w:type="auto"/>
            <w:vAlign w:val="center"/>
            <w:hideMark/>
          </w:tcPr>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Avoids outdated legal support</w:t>
            </w:r>
          </w:p>
        </w:tc>
      </w:tr>
    </w:tbl>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8. Reranking Evaluation</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 xml:space="preserve">Reranking should be assessed separately because it can improve top-k quality without changing recall. The </w:t>
      </w:r>
      <w:proofErr w:type="spellStart"/>
      <w:r w:rsidRPr="00CB0B74">
        <w:rPr>
          <w:rFonts w:ascii="Times New Roman" w:eastAsia="Times New Roman" w:hAnsi="Times New Roman" w:cs="Times New Roman"/>
          <w:sz w:val="24"/>
          <w:szCs w:val="24"/>
        </w:rPr>
        <w:t>reranker</w:t>
      </w:r>
      <w:proofErr w:type="spellEnd"/>
      <w:r w:rsidRPr="00CB0B74">
        <w:rPr>
          <w:rFonts w:ascii="Times New Roman" w:eastAsia="Times New Roman" w:hAnsi="Times New Roman" w:cs="Times New Roman"/>
          <w:sz w:val="24"/>
          <w:szCs w:val="24"/>
        </w:rPr>
        <w:t xml:space="preserve"> should raise the rank of exact statutory evidence and reduce near-miss </w:t>
      </w:r>
      <w:r w:rsidRPr="00CB0B74">
        <w:rPr>
          <w:rFonts w:ascii="Times New Roman" w:eastAsia="Times New Roman" w:hAnsi="Times New Roman" w:cs="Times New Roman"/>
          <w:sz w:val="24"/>
          <w:szCs w:val="24"/>
        </w:rPr>
        <w:lastRenderedPageBreak/>
        <w:t xml:space="preserve">results. Its success is measured by MRR, </w:t>
      </w:r>
      <w:proofErr w:type="spellStart"/>
      <w:r w:rsidRPr="00CB0B74">
        <w:rPr>
          <w:rFonts w:ascii="Times New Roman" w:eastAsia="Times New Roman" w:hAnsi="Times New Roman" w:cs="Times New Roman"/>
          <w:sz w:val="24"/>
          <w:szCs w:val="24"/>
        </w:rPr>
        <w:t>nDCG</w:t>
      </w:r>
      <w:proofErr w:type="spellEnd"/>
      <w:r w:rsidRPr="00CB0B74">
        <w:rPr>
          <w:rFonts w:ascii="Times New Roman" w:eastAsia="Times New Roman" w:hAnsi="Times New Roman" w:cs="Times New Roman"/>
          <w:sz w:val="24"/>
          <w:szCs w:val="24"/>
        </w:rPr>
        <w:t>, and top-1 accuracy, while also checking that retrieval diversity is not harmed.</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9. Generation Evaluation</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Generation should be measured only after a fixed evidence bundle is provided. The key metrics are faithfulness, answer completeness, legal correctness, and citation accuracy. A legal answer that is incomplete or unsupported is not acceptable even if it reads fluently.</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10. Error Analysis Methodologies</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Error analysis is necessary because aggregate scores do not explain why the system fails. The protocol should include both quantitative and qualitative error analysis.</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10.1 Error taxonomy</w:t>
      </w:r>
    </w:p>
    <w:tbl>
      <w:tblPr>
        <w:tblStyle w:val="TableGrid"/>
        <w:tblW w:w="0" w:type="auto"/>
        <w:tblLook w:val="04A0" w:firstRow="1" w:lastRow="0" w:firstColumn="1" w:lastColumn="0" w:noHBand="0" w:noVBand="1"/>
      </w:tblPr>
      <w:tblGrid>
        <w:gridCol w:w="2129"/>
        <w:gridCol w:w="4402"/>
      </w:tblGrid>
      <w:tr w:rsidR="00CB0B74" w:rsidRPr="00CB0B74" w:rsidTr="00CB0B74">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Error Type</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Description</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Retrieval miss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Correct source not retrieved</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Ranking error</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Correct source retrieved but ranked too low</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Chunking error</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Legal unit split incorrectly</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Normalization error</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Arabic normalization harmed retrieval</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Citation error</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Wrong or fabricated citation</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Faithfulness error</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Answer not supported by evidence</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Completeness error</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Missing rule or exception</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Version error</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Wrong legal version used</w:t>
            </w:r>
          </w:p>
        </w:tc>
      </w:tr>
    </w:tbl>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10.2 Error analysis methods</w:t>
      </w:r>
    </w:p>
    <w:p w:rsidR="00CB0B74" w:rsidRPr="00CB0B74" w:rsidRDefault="00CB0B74" w:rsidP="00CB0B74">
      <w:pPr>
        <w:numPr>
          <w:ilvl w:val="0"/>
          <w:numId w:val="3"/>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Manual inspection of sampled failures.</w:t>
      </w:r>
    </w:p>
    <w:p w:rsidR="00CB0B74" w:rsidRPr="00CB0B74" w:rsidRDefault="00CB0B74" w:rsidP="00CB0B74">
      <w:pPr>
        <w:numPr>
          <w:ilvl w:val="0"/>
          <w:numId w:val="3"/>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Open-ended error tagging.</w:t>
      </w:r>
    </w:p>
    <w:p w:rsidR="00CB0B74" w:rsidRPr="00CB0B74" w:rsidRDefault="00CB0B74" w:rsidP="00CB0B74">
      <w:pPr>
        <w:numPr>
          <w:ilvl w:val="0"/>
          <w:numId w:val="3"/>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Stage-by-stage tracing.</w:t>
      </w:r>
    </w:p>
    <w:p w:rsidR="00CB0B74" w:rsidRPr="00CB0B74" w:rsidRDefault="00CB0B74" w:rsidP="00CB0B74">
      <w:pPr>
        <w:numPr>
          <w:ilvl w:val="0"/>
          <w:numId w:val="3"/>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Hard-negative review.</w:t>
      </w:r>
    </w:p>
    <w:p w:rsidR="00CB0B74" w:rsidRPr="00CB0B74" w:rsidRDefault="00CB0B74" w:rsidP="00CB0B74">
      <w:pPr>
        <w:numPr>
          <w:ilvl w:val="0"/>
          <w:numId w:val="3"/>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Paraphrase comparison.</w:t>
      </w:r>
    </w:p>
    <w:p w:rsidR="00CB0B74" w:rsidRPr="00CB0B74" w:rsidRDefault="00CB0B74" w:rsidP="00CB0B74">
      <w:pPr>
        <w:numPr>
          <w:ilvl w:val="0"/>
          <w:numId w:val="3"/>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Version drift analysis.</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10.3 Error reporting format</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Every failed item should be logged with query ID, retrieved sources, generated answer, expected answer, failure category, root-cause hypothesis, and recommended fix.</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11. Latency and Throughput</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 xml:space="preserve">The benchmark should report end-to-end latency, retrieval latency, reranking latency, generation latency, validation latency, throughput, and memory footprint. </w:t>
      </w:r>
      <w:proofErr w:type="gramStart"/>
      <w:r w:rsidRPr="00CB0B74">
        <w:rPr>
          <w:rFonts w:ascii="Times New Roman" w:eastAsia="Times New Roman" w:hAnsi="Times New Roman" w:cs="Times New Roman"/>
          <w:sz w:val="24"/>
          <w:szCs w:val="24"/>
        </w:rPr>
        <w:t>This matters</w:t>
      </w:r>
      <w:proofErr w:type="gramEnd"/>
      <w:r w:rsidRPr="00CB0B74">
        <w:rPr>
          <w:rFonts w:ascii="Times New Roman" w:eastAsia="Times New Roman" w:hAnsi="Times New Roman" w:cs="Times New Roman"/>
          <w:sz w:val="24"/>
          <w:szCs w:val="24"/>
        </w:rPr>
        <w:t xml:space="preserve"> because legal systems must remain responsive enough for practical use, while still performing deterministic checks and validation.</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12. Statistical Testing</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All system comparisons should use paired significance testing. The report should provide mean scores, confidence intervals, and p-values. If two configurations differ only slightly, the difference should not be claimed as meaningful without statistical support.</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13. Scoring Rubric</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Table 5. Retrieval rubric</w:t>
      </w:r>
    </w:p>
    <w:tbl>
      <w:tblPr>
        <w:tblStyle w:val="TableGrid"/>
        <w:tblW w:w="0" w:type="auto"/>
        <w:tblLook w:val="04A0" w:firstRow="1" w:lastRow="0" w:firstColumn="1" w:lastColumn="0" w:noHBand="0" w:noVBand="1"/>
      </w:tblPr>
      <w:tblGrid>
        <w:gridCol w:w="790"/>
        <w:gridCol w:w="3808"/>
      </w:tblGrid>
      <w:tr w:rsidR="00CB0B74" w:rsidRPr="00CB0B74" w:rsidTr="00CB0B74">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Score</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Condition</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lastRenderedPageBreak/>
              <w:t>5</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Correct source ranked first and stable</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4</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Correct source in top 3</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3</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Correct source in top 5</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2</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Correct source only in top 10</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1</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Weak or unreliable retrieval</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0</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No relevant source retrieved</w:t>
            </w:r>
          </w:p>
        </w:tc>
      </w:tr>
    </w:tbl>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Table 6. Generation rubric</w:t>
      </w:r>
    </w:p>
    <w:tbl>
      <w:tblPr>
        <w:tblStyle w:val="TableGrid"/>
        <w:tblW w:w="0" w:type="auto"/>
        <w:tblLook w:val="04A0" w:firstRow="1" w:lastRow="0" w:firstColumn="1" w:lastColumn="0" w:noHBand="0" w:noVBand="1"/>
      </w:tblPr>
      <w:tblGrid>
        <w:gridCol w:w="790"/>
        <w:gridCol w:w="4735"/>
      </w:tblGrid>
      <w:tr w:rsidR="00CB0B74" w:rsidRPr="00CB0B74" w:rsidTr="00CB0B74">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Score</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Condition</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5</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Fully faithful, complete, correct, cited properly</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4</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Mostly correct with minor omission</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3</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Partially correct but incomplete</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2</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Noticeable unsupported content</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1</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Major legal error</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0</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Hallucinated or unsupported answer</w:t>
            </w:r>
          </w:p>
        </w:tc>
      </w:tr>
    </w:tbl>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Table 7. Citation validation rubric</w:t>
      </w:r>
    </w:p>
    <w:tbl>
      <w:tblPr>
        <w:tblStyle w:val="TableGrid"/>
        <w:tblW w:w="0" w:type="auto"/>
        <w:tblLook w:val="04A0" w:firstRow="1" w:lastRow="0" w:firstColumn="1" w:lastColumn="0" w:noHBand="0" w:noVBand="1"/>
      </w:tblPr>
      <w:tblGrid>
        <w:gridCol w:w="790"/>
        <w:gridCol w:w="4989"/>
      </w:tblGrid>
      <w:tr w:rsidR="00CB0B74" w:rsidRPr="00CB0B74" w:rsidTr="00CB0B74">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Score</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Condition</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5</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All claims supported and citations correct</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4</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Minor formatting issue only</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3</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One partial-support issue</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2</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Multiple weak citations or one unsupported claim</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1</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Major citation mismatch</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0</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Fabricated citations</w:t>
            </w:r>
          </w:p>
        </w:tc>
      </w:tr>
    </w:tbl>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14. Summary Table</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Table 8. Executive summary of the framework</w:t>
      </w:r>
    </w:p>
    <w:tbl>
      <w:tblPr>
        <w:tblStyle w:val="TableGrid"/>
        <w:tblW w:w="0" w:type="auto"/>
        <w:tblLook w:val="04A0" w:firstRow="1" w:lastRow="0" w:firstColumn="1" w:lastColumn="0" w:noHBand="0" w:noVBand="1"/>
      </w:tblPr>
      <w:tblGrid>
        <w:gridCol w:w="1652"/>
        <w:gridCol w:w="2441"/>
        <w:gridCol w:w="2934"/>
        <w:gridCol w:w="2323"/>
      </w:tblGrid>
      <w:tr w:rsidR="00CB0B74" w:rsidRPr="00CB0B74" w:rsidTr="00CB0B74">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Area</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What is measured</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Key tools/metrics</w:t>
            </w:r>
          </w:p>
        </w:tc>
        <w:tc>
          <w:tcPr>
            <w:tcW w:w="0" w:type="auto"/>
            <w:hideMark/>
          </w:tcPr>
          <w:p w:rsidR="00CB0B74" w:rsidRPr="00CB0B74" w:rsidRDefault="00CB0B74" w:rsidP="00CB0B74">
            <w:pPr>
              <w:jc w:val="center"/>
              <w:rPr>
                <w:rFonts w:ascii="Times New Roman" w:eastAsia="Times New Roman" w:hAnsi="Times New Roman" w:cs="Times New Roman"/>
                <w:b/>
                <w:bCs/>
                <w:sz w:val="24"/>
                <w:szCs w:val="24"/>
              </w:rPr>
            </w:pPr>
            <w:r w:rsidRPr="00CB0B74">
              <w:rPr>
                <w:rFonts w:ascii="Times New Roman" w:eastAsia="Times New Roman" w:hAnsi="Times New Roman" w:cs="Times New Roman"/>
                <w:b/>
                <w:bCs/>
                <w:sz w:val="24"/>
                <w:szCs w:val="24"/>
              </w:rPr>
              <w:t>Deployment threshold</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Ethics and bias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Fairness, transparency, refusal behavior</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Fairness slices, source balance, robustness checks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No systematic disparity across slices</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Retrieval</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Source discovery</w:t>
            </w:r>
          </w:p>
        </w:tc>
        <w:tc>
          <w:tcPr>
            <w:tcW w:w="0" w:type="auto"/>
            <w:hideMark/>
          </w:tcPr>
          <w:p w:rsidR="00CB0B74" w:rsidRPr="00CB0B74" w:rsidRDefault="00CB0B74" w:rsidP="00CB0B74">
            <w:pPr>
              <w:rPr>
                <w:rFonts w:ascii="Times New Roman" w:eastAsia="Times New Roman" w:hAnsi="Times New Roman" w:cs="Times New Roman"/>
                <w:sz w:val="24"/>
                <w:szCs w:val="24"/>
              </w:rPr>
            </w:pPr>
            <w:proofErr w:type="spellStart"/>
            <w:r w:rsidRPr="00CB0B74">
              <w:rPr>
                <w:rFonts w:ascii="Times New Roman" w:eastAsia="Times New Roman" w:hAnsi="Times New Roman" w:cs="Times New Roman"/>
                <w:sz w:val="24"/>
                <w:szCs w:val="24"/>
              </w:rPr>
              <w:t>Recall@k</w:t>
            </w:r>
            <w:proofErr w:type="spellEnd"/>
            <w:r w:rsidRPr="00CB0B74">
              <w:rPr>
                <w:rFonts w:ascii="Times New Roman" w:eastAsia="Times New Roman" w:hAnsi="Times New Roman" w:cs="Times New Roman"/>
                <w:sz w:val="24"/>
                <w:szCs w:val="24"/>
              </w:rPr>
              <w:t xml:space="preserve">, </w:t>
            </w:r>
            <w:proofErr w:type="spellStart"/>
            <w:r w:rsidRPr="00CB0B74">
              <w:rPr>
                <w:rFonts w:ascii="Times New Roman" w:eastAsia="Times New Roman" w:hAnsi="Times New Roman" w:cs="Times New Roman"/>
                <w:sz w:val="24"/>
                <w:szCs w:val="24"/>
              </w:rPr>
              <w:t>Precision@k</w:t>
            </w:r>
            <w:proofErr w:type="spellEnd"/>
            <w:r w:rsidRPr="00CB0B74">
              <w:rPr>
                <w:rFonts w:ascii="Times New Roman" w:eastAsia="Times New Roman" w:hAnsi="Times New Roman" w:cs="Times New Roman"/>
                <w:sz w:val="24"/>
                <w:szCs w:val="24"/>
              </w:rPr>
              <w:t xml:space="preserve">, MRR, </w:t>
            </w:r>
            <w:proofErr w:type="spellStart"/>
            <w:r w:rsidRPr="00CB0B74">
              <w:rPr>
                <w:rFonts w:ascii="Times New Roman" w:eastAsia="Times New Roman" w:hAnsi="Times New Roman" w:cs="Times New Roman"/>
                <w:sz w:val="24"/>
                <w:szCs w:val="24"/>
              </w:rPr>
              <w:t>nDCG</w:t>
            </w:r>
            <w:proofErr w:type="spellEnd"/>
            <w:r w:rsidRPr="00CB0B74">
              <w:rPr>
                <w:rFonts w:ascii="Times New Roman" w:eastAsia="Times New Roman" w:hAnsi="Times New Roman" w:cs="Times New Roman"/>
                <w:sz w:val="24"/>
                <w:szCs w:val="24"/>
              </w:rPr>
              <w:t xml:space="preserve">, </w:t>
            </w:r>
            <w:proofErr w:type="spellStart"/>
            <w:r w:rsidRPr="00CB0B74">
              <w:rPr>
                <w:rFonts w:ascii="Times New Roman" w:eastAsia="Times New Roman" w:hAnsi="Times New Roman" w:cs="Times New Roman"/>
                <w:sz w:val="24"/>
                <w:szCs w:val="24"/>
              </w:rPr>
              <w:t>Hit@k</w:t>
            </w:r>
            <w:proofErr w:type="spellEnd"/>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Strong statute retrieval</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Citation recall</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Evidence availability for citation</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 xml:space="preserve">Citation </w:t>
            </w:r>
            <w:proofErr w:type="spellStart"/>
            <w:r w:rsidRPr="00CB0B74">
              <w:rPr>
                <w:rFonts w:ascii="Times New Roman" w:eastAsia="Times New Roman" w:hAnsi="Times New Roman" w:cs="Times New Roman"/>
                <w:sz w:val="24"/>
                <w:szCs w:val="24"/>
              </w:rPr>
              <w:t>recall@k</w:t>
            </w:r>
            <w:proofErr w:type="spellEnd"/>
            <w:r w:rsidRPr="00CB0B74">
              <w:rPr>
                <w:rFonts w:ascii="Times New Roman" w:eastAsia="Times New Roman" w:hAnsi="Times New Roman" w:cs="Times New Roman"/>
                <w:sz w:val="24"/>
                <w:szCs w:val="24"/>
              </w:rPr>
              <w:t>, span recall, source coverage</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High evidence coverage</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Reranking</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Rank improvement</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 xml:space="preserve">MRR, </w:t>
            </w:r>
            <w:proofErr w:type="spellStart"/>
            <w:r w:rsidRPr="00CB0B74">
              <w:rPr>
                <w:rFonts w:ascii="Times New Roman" w:eastAsia="Times New Roman" w:hAnsi="Times New Roman" w:cs="Times New Roman"/>
                <w:sz w:val="24"/>
                <w:szCs w:val="24"/>
              </w:rPr>
              <w:t>nDCG</w:t>
            </w:r>
            <w:proofErr w:type="spellEnd"/>
            <w:r w:rsidRPr="00CB0B74">
              <w:rPr>
                <w:rFonts w:ascii="Times New Roman" w:eastAsia="Times New Roman" w:hAnsi="Times New Roman" w:cs="Times New Roman"/>
                <w:sz w:val="24"/>
                <w:szCs w:val="24"/>
              </w:rPr>
              <w:t>, top-1 accuracy</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Clear improvement over baseline</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Generation</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Faithfulness and completeness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Faithfulness, answer completeness, legal correctness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Low unsupported-claim rate</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Citation validation</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Source correctness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Citation accuracy, version correctness</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Near-zero hallucinated citations</w:t>
            </w:r>
          </w:p>
        </w:tc>
      </w:tr>
      <w:tr w:rsidR="00CB0B74" w:rsidRPr="00CB0B74" w:rsidTr="00CB0B74">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Performance</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Practical usability</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Latency, throughput, memory footprint</w:t>
            </w:r>
          </w:p>
        </w:tc>
        <w:tc>
          <w:tcPr>
            <w:tcW w:w="0" w:type="auto"/>
            <w:hideMark/>
          </w:tcPr>
          <w:p w:rsidR="00CB0B74" w:rsidRPr="00CB0B74" w:rsidRDefault="00CB0B74" w:rsidP="00CB0B74">
            <w:pPr>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Meets target latency</w:t>
            </w:r>
          </w:p>
        </w:tc>
      </w:tr>
    </w:tbl>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15. Deployment Readiness Criteria</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lastRenderedPageBreak/>
        <w:t>The system should be considered ready only if statute retrieval is reliable, citation recall is strong, citation accuracy is high, unsupported-claim rate is low, fairness checks do not show major disparities, latency is acceptable, and benchmark runs are reproducible. Refusal when evidence is insufficient should be treated as a correct safe outcome.</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16. Conclusion</w:t>
      </w:r>
    </w:p>
    <w:p w:rsidR="00CB0B74" w:rsidRPr="00CB0B74" w:rsidRDefault="00CB0B74" w:rsidP="00CB0B74">
      <w:p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This report provides a polished academic evaluation protocol for ALSHAYEB LAW, with ethical and bias considerations placed first, followed by retrieval, citation recall, error analysis, and benchmarking methodology. The design is suitable for formal project submission because it is structured, reproducible, auditable, and aligned with current RAG evaluation practice, including the distinction between correctness and faithfulness in citation behavior.</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Appendix A. Reporting Checklist</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Project title.</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Abstract.</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Introduction.</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Methodology.</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Benchmark design.</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Metrics.</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Rubric.</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Error analysis.</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Statistical testing.</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Deployment readiness criteria.</w:t>
      </w:r>
    </w:p>
    <w:p w:rsidR="00CB0B74" w:rsidRPr="00CB0B74" w:rsidRDefault="00CB0B74" w:rsidP="00CB0B74">
      <w:pPr>
        <w:numPr>
          <w:ilvl w:val="0"/>
          <w:numId w:val="4"/>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Appendix with supporting tables and labels.</w:t>
      </w:r>
    </w:p>
    <w:p w:rsidR="00CB0B74" w:rsidRPr="00CB0B74" w:rsidRDefault="00CB0B74" w:rsidP="00CB0B74">
      <w:pPr>
        <w:spacing w:after="0" w:line="240" w:lineRule="auto"/>
        <w:outlineLvl w:val="1"/>
        <w:rPr>
          <w:rFonts w:ascii="Times New Roman" w:eastAsia="Times New Roman" w:hAnsi="Times New Roman" w:cs="Times New Roman"/>
          <w:b/>
          <w:bCs/>
          <w:sz w:val="36"/>
          <w:szCs w:val="36"/>
        </w:rPr>
      </w:pPr>
      <w:r w:rsidRPr="00CB0B74">
        <w:rPr>
          <w:rFonts w:ascii="Times New Roman" w:eastAsia="Times New Roman" w:hAnsi="Times New Roman" w:cs="Times New Roman"/>
          <w:b/>
          <w:bCs/>
          <w:sz w:val="36"/>
          <w:szCs w:val="36"/>
        </w:rPr>
        <w:t>Appendix B. Suggested Submission Artifacts</w:t>
      </w:r>
    </w:p>
    <w:p w:rsidR="00CB0B74" w:rsidRPr="00CB0B74" w:rsidRDefault="00CB0B74" w:rsidP="00CB0B74">
      <w:pPr>
        <w:numPr>
          <w:ilvl w:val="0"/>
          <w:numId w:val="5"/>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Benchmark dataset file.</w:t>
      </w:r>
    </w:p>
    <w:p w:rsidR="00CB0B74" w:rsidRPr="00CB0B74" w:rsidRDefault="00CB0B74" w:rsidP="00CB0B74">
      <w:pPr>
        <w:numPr>
          <w:ilvl w:val="0"/>
          <w:numId w:val="5"/>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Gold-label annotation sheet.</w:t>
      </w:r>
    </w:p>
    <w:p w:rsidR="00CB0B74" w:rsidRPr="00CB0B74" w:rsidRDefault="00CB0B74" w:rsidP="00CB0B74">
      <w:pPr>
        <w:numPr>
          <w:ilvl w:val="0"/>
          <w:numId w:val="5"/>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Evaluation script.</w:t>
      </w:r>
    </w:p>
    <w:p w:rsidR="00CB0B74" w:rsidRPr="00CB0B74" w:rsidRDefault="00CB0B74" w:rsidP="00CB0B74">
      <w:pPr>
        <w:numPr>
          <w:ilvl w:val="0"/>
          <w:numId w:val="5"/>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Metric summary table.</w:t>
      </w:r>
    </w:p>
    <w:p w:rsidR="00CB0B74" w:rsidRPr="00CB0B74" w:rsidRDefault="00CB0B74" w:rsidP="00CB0B74">
      <w:pPr>
        <w:numPr>
          <w:ilvl w:val="0"/>
          <w:numId w:val="5"/>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Error analysis table.</w:t>
      </w:r>
    </w:p>
    <w:p w:rsidR="00CB0B74" w:rsidRPr="00CB0B74" w:rsidRDefault="00CB0B74" w:rsidP="00CB0B74">
      <w:pPr>
        <w:numPr>
          <w:ilvl w:val="0"/>
          <w:numId w:val="5"/>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Statistical test output.</w:t>
      </w:r>
    </w:p>
    <w:p w:rsidR="00CB0B74" w:rsidRPr="00CB0B74" w:rsidRDefault="00CB0B74" w:rsidP="00CB0B74">
      <w:pPr>
        <w:numPr>
          <w:ilvl w:val="0"/>
          <w:numId w:val="5"/>
        </w:numPr>
        <w:spacing w:after="0" w:line="240" w:lineRule="auto"/>
        <w:rPr>
          <w:rFonts w:ascii="Times New Roman" w:eastAsia="Times New Roman" w:hAnsi="Times New Roman" w:cs="Times New Roman"/>
          <w:sz w:val="24"/>
          <w:szCs w:val="24"/>
        </w:rPr>
      </w:pPr>
      <w:r w:rsidRPr="00CB0B74">
        <w:rPr>
          <w:rFonts w:ascii="Times New Roman" w:eastAsia="Times New Roman" w:hAnsi="Times New Roman" w:cs="Times New Roman"/>
          <w:sz w:val="24"/>
          <w:szCs w:val="24"/>
        </w:rPr>
        <w:t>Version log of corpus and models.</w:t>
      </w:r>
    </w:p>
    <w:p w:rsidR="003F2D68" w:rsidRDefault="003F2D68" w:rsidP="00CB0B74">
      <w:pPr>
        <w:spacing w:after="0" w:line="240" w:lineRule="auto"/>
      </w:pPr>
    </w:p>
    <w:sectPr w:rsidR="003F2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F1058E"/>
    <w:multiLevelType w:val="multilevel"/>
    <w:tmpl w:val="A85C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451C0"/>
    <w:multiLevelType w:val="multilevel"/>
    <w:tmpl w:val="1626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570BF"/>
    <w:multiLevelType w:val="multilevel"/>
    <w:tmpl w:val="56EE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3406E"/>
    <w:multiLevelType w:val="multilevel"/>
    <w:tmpl w:val="FFE6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90CB6"/>
    <w:multiLevelType w:val="multilevel"/>
    <w:tmpl w:val="B30E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B74"/>
    <w:rsid w:val="003F2D68"/>
    <w:rsid w:val="00CB0B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65E1A"/>
  <w15:chartTrackingRefBased/>
  <w15:docId w15:val="{9162898C-3E83-4C51-9AEB-47A1D219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B0B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0B74"/>
    <w:rPr>
      <w:rFonts w:ascii="Times New Roman" w:eastAsia="Times New Roman" w:hAnsi="Times New Roman" w:cs="Times New Roman"/>
      <w:b/>
      <w:bCs/>
      <w:sz w:val="36"/>
      <w:szCs w:val="36"/>
    </w:rPr>
  </w:style>
  <w:style w:type="paragraph" w:customStyle="1" w:styleId="my-2">
    <w:name w:val="my-2"/>
    <w:basedOn w:val="Normal"/>
    <w:rsid w:val="00CB0B7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B0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813067">
      <w:bodyDiv w:val="1"/>
      <w:marLeft w:val="0"/>
      <w:marRight w:val="0"/>
      <w:marTop w:val="0"/>
      <w:marBottom w:val="0"/>
      <w:divBdr>
        <w:top w:val="none" w:sz="0" w:space="0" w:color="auto"/>
        <w:left w:val="none" w:sz="0" w:space="0" w:color="auto"/>
        <w:bottom w:val="none" w:sz="0" w:space="0" w:color="auto"/>
        <w:right w:val="none" w:sz="0" w:space="0" w:color="auto"/>
      </w:divBdr>
      <w:divsChild>
        <w:div w:id="322784801">
          <w:marLeft w:val="0"/>
          <w:marRight w:val="0"/>
          <w:marTop w:val="0"/>
          <w:marBottom w:val="0"/>
          <w:divBdr>
            <w:top w:val="none" w:sz="0" w:space="0" w:color="auto"/>
            <w:left w:val="none" w:sz="0" w:space="0" w:color="auto"/>
            <w:bottom w:val="none" w:sz="0" w:space="0" w:color="auto"/>
            <w:right w:val="none" w:sz="0" w:space="0" w:color="auto"/>
          </w:divBdr>
          <w:divsChild>
            <w:div w:id="1896355485">
              <w:marLeft w:val="0"/>
              <w:marRight w:val="0"/>
              <w:marTop w:val="0"/>
              <w:marBottom w:val="0"/>
              <w:divBdr>
                <w:top w:val="none" w:sz="0" w:space="0" w:color="auto"/>
                <w:left w:val="none" w:sz="0" w:space="0" w:color="auto"/>
                <w:bottom w:val="none" w:sz="0" w:space="0" w:color="auto"/>
                <w:right w:val="none" w:sz="0" w:space="0" w:color="auto"/>
              </w:divBdr>
            </w:div>
          </w:divsChild>
        </w:div>
        <w:div w:id="1084643422">
          <w:marLeft w:val="0"/>
          <w:marRight w:val="0"/>
          <w:marTop w:val="0"/>
          <w:marBottom w:val="0"/>
          <w:divBdr>
            <w:top w:val="none" w:sz="0" w:space="0" w:color="auto"/>
            <w:left w:val="none" w:sz="0" w:space="0" w:color="auto"/>
            <w:bottom w:val="none" w:sz="0" w:space="0" w:color="auto"/>
            <w:right w:val="none" w:sz="0" w:space="0" w:color="auto"/>
          </w:divBdr>
          <w:divsChild>
            <w:div w:id="1856504280">
              <w:marLeft w:val="0"/>
              <w:marRight w:val="0"/>
              <w:marTop w:val="0"/>
              <w:marBottom w:val="0"/>
              <w:divBdr>
                <w:top w:val="none" w:sz="0" w:space="0" w:color="auto"/>
                <w:left w:val="none" w:sz="0" w:space="0" w:color="auto"/>
                <w:bottom w:val="none" w:sz="0" w:space="0" w:color="auto"/>
                <w:right w:val="none" w:sz="0" w:space="0" w:color="auto"/>
              </w:divBdr>
            </w:div>
          </w:divsChild>
        </w:div>
        <w:div w:id="1429349370">
          <w:marLeft w:val="0"/>
          <w:marRight w:val="0"/>
          <w:marTop w:val="0"/>
          <w:marBottom w:val="0"/>
          <w:divBdr>
            <w:top w:val="none" w:sz="0" w:space="0" w:color="auto"/>
            <w:left w:val="none" w:sz="0" w:space="0" w:color="auto"/>
            <w:bottom w:val="none" w:sz="0" w:space="0" w:color="auto"/>
            <w:right w:val="none" w:sz="0" w:space="0" w:color="auto"/>
          </w:divBdr>
          <w:divsChild>
            <w:div w:id="228922278">
              <w:marLeft w:val="0"/>
              <w:marRight w:val="0"/>
              <w:marTop w:val="0"/>
              <w:marBottom w:val="0"/>
              <w:divBdr>
                <w:top w:val="none" w:sz="0" w:space="0" w:color="auto"/>
                <w:left w:val="none" w:sz="0" w:space="0" w:color="auto"/>
                <w:bottom w:val="none" w:sz="0" w:space="0" w:color="auto"/>
                <w:right w:val="none" w:sz="0" w:space="0" w:color="auto"/>
              </w:divBdr>
            </w:div>
          </w:divsChild>
        </w:div>
        <w:div w:id="739180640">
          <w:marLeft w:val="0"/>
          <w:marRight w:val="0"/>
          <w:marTop w:val="0"/>
          <w:marBottom w:val="0"/>
          <w:divBdr>
            <w:top w:val="none" w:sz="0" w:space="0" w:color="auto"/>
            <w:left w:val="none" w:sz="0" w:space="0" w:color="auto"/>
            <w:bottom w:val="none" w:sz="0" w:space="0" w:color="auto"/>
            <w:right w:val="none" w:sz="0" w:space="0" w:color="auto"/>
          </w:divBdr>
          <w:divsChild>
            <w:div w:id="1546866658">
              <w:marLeft w:val="0"/>
              <w:marRight w:val="0"/>
              <w:marTop w:val="0"/>
              <w:marBottom w:val="0"/>
              <w:divBdr>
                <w:top w:val="none" w:sz="0" w:space="0" w:color="auto"/>
                <w:left w:val="none" w:sz="0" w:space="0" w:color="auto"/>
                <w:bottom w:val="none" w:sz="0" w:space="0" w:color="auto"/>
                <w:right w:val="none" w:sz="0" w:space="0" w:color="auto"/>
              </w:divBdr>
            </w:div>
          </w:divsChild>
        </w:div>
        <w:div w:id="1970360955">
          <w:marLeft w:val="0"/>
          <w:marRight w:val="0"/>
          <w:marTop w:val="0"/>
          <w:marBottom w:val="0"/>
          <w:divBdr>
            <w:top w:val="none" w:sz="0" w:space="0" w:color="auto"/>
            <w:left w:val="none" w:sz="0" w:space="0" w:color="auto"/>
            <w:bottom w:val="none" w:sz="0" w:space="0" w:color="auto"/>
            <w:right w:val="none" w:sz="0" w:space="0" w:color="auto"/>
          </w:divBdr>
          <w:divsChild>
            <w:div w:id="1275207231">
              <w:marLeft w:val="0"/>
              <w:marRight w:val="0"/>
              <w:marTop w:val="0"/>
              <w:marBottom w:val="0"/>
              <w:divBdr>
                <w:top w:val="none" w:sz="0" w:space="0" w:color="auto"/>
                <w:left w:val="none" w:sz="0" w:space="0" w:color="auto"/>
                <w:bottom w:val="none" w:sz="0" w:space="0" w:color="auto"/>
                <w:right w:val="none" w:sz="0" w:space="0" w:color="auto"/>
              </w:divBdr>
            </w:div>
          </w:divsChild>
        </w:div>
        <w:div w:id="1070349855">
          <w:marLeft w:val="0"/>
          <w:marRight w:val="0"/>
          <w:marTop w:val="0"/>
          <w:marBottom w:val="0"/>
          <w:divBdr>
            <w:top w:val="none" w:sz="0" w:space="0" w:color="auto"/>
            <w:left w:val="none" w:sz="0" w:space="0" w:color="auto"/>
            <w:bottom w:val="none" w:sz="0" w:space="0" w:color="auto"/>
            <w:right w:val="none" w:sz="0" w:space="0" w:color="auto"/>
          </w:divBdr>
          <w:divsChild>
            <w:div w:id="1656837438">
              <w:marLeft w:val="0"/>
              <w:marRight w:val="0"/>
              <w:marTop w:val="0"/>
              <w:marBottom w:val="0"/>
              <w:divBdr>
                <w:top w:val="none" w:sz="0" w:space="0" w:color="auto"/>
                <w:left w:val="none" w:sz="0" w:space="0" w:color="auto"/>
                <w:bottom w:val="none" w:sz="0" w:space="0" w:color="auto"/>
                <w:right w:val="none" w:sz="0" w:space="0" w:color="auto"/>
              </w:divBdr>
            </w:div>
          </w:divsChild>
        </w:div>
        <w:div w:id="1689944007">
          <w:marLeft w:val="0"/>
          <w:marRight w:val="0"/>
          <w:marTop w:val="0"/>
          <w:marBottom w:val="0"/>
          <w:divBdr>
            <w:top w:val="none" w:sz="0" w:space="0" w:color="auto"/>
            <w:left w:val="none" w:sz="0" w:space="0" w:color="auto"/>
            <w:bottom w:val="none" w:sz="0" w:space="0" w:color="auto"/>
            <w:right w:val="none" w:sz="0" w:space="0" w:color="auto"/>
          </w:divBdr>
          <w:divsChild>
            <w:div w:id="2143963390">
              <w:marLeft w:val="0"/>
              <w:marRight w:val="0"/>
              <w:marTop w:val="0"/>
              <w:marBottom w:val="0"/>
              <w:divBdr>
                <w:top w:val="none" w:sz="0" w:space="0" w:color="auto"/>
                <w:left w:val="none" w:sz="0" w:space="0" w:color="auto"/>
                <w:bottom w:val="none" w:sz="0" w:space="0" w:color="auto"/>
                <w:right w:val="none" w:sz="0" w:space="0" w:color="auto"/>
              </w:divBdr>
            </w:div>
          </w:divsChild>
        </w:div>
        <w:div w:id="235437128">
          <w:marLeft w:val="0"/>
          <w:marRight w:val="0"/>
          <w:marTop w:val="0"/>
          <w:marBottom w:val="0"/>
          <w:divBdr>
            <w:top w:val="none" w:sz="0" w:space="0" w:color="auto"/>
            <w:left w:val="none" w:sz="0" w:space="0" w:color="auto"/>
            <w:bottom w:val="none" w:sz="0" w:space="0" w:color="auto"/>
            <w:right w:val="none" w:sz="0" w:space="0" w:color="auto"/>
          </w:divBdr>
          <w:divsChild>
            <w:div w:id="500850672">
              <w:marLeft w:val="0"/>
              <w:marRight w:val="0"/>
              <w:marTop w:val="0"/>
              <w:marBottom w:val="0"/>
              <w:divBdr>
                <w:top w:val="none" w:sz="0" w:space="0" w:color="auto"/>
                <w:left w:val="none" w:sz="0" w:space="0" w:color="auto"/>
                <w:bottom w:val="none" w:sz="0" w:space="0" w:color="auto"/>
                <w:right w:val="none" w:sz="0" w:space="0" w:color="auto"/>
              </w:divBdr>
            </w:div>
          </w:divsChild>
        </w:div>
        <w:div w:id="571962699">
          <w:marLeft w:val="0"/>
          <w:marRight w:val="0"/>
          <w:marTop w:val="0"/>
          <w:marBottom w:val="0"/>
          <w:divBdr>
            <w:top w:val="none" w:sz="0" w:space="0" w:color="auto"/>
            <w:left w:val="none" w:sz="0" w:space="0" w:color="auto"/>
            <w:bottom w:val="none" w:sz="0" w:space="0" w:color="auto"/>
            <w:right w:val="none" w:sz="0" w:space="0" w:color="auto"/>
          </w:divBdr>
          <w:divsChild>
            <w:div w:id="60977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1825</Words>
  <Characters>10408</Characters>
  <Application>Microsoft Office Word</Application>
  <DocSecurity>0</DocSecurity>
  <Lines>86</Lines>
  <Paragraphs>24</Paragraphs>
  <ScaleCrop>false</ScaleCrop>
  <Company>MCIT EGYPT</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2026-07-25T11:46:00Z</dcterms:created>
  <dcterms:modified xsi:type="dcterms:W3CDTF">2026-07-25T11:49:00Z</dcterms:modified>
</cp:coreProperties>
</file>