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Post-Quantum Hybrid Encryption Architecture for Secure Messaging: The ToledoMessage Approach</w:t>
      </w:r>
    </w:p>
    <w:p>
      <w:pPr>
        <w:pStyle w:val="Heading1"/>
      </w:pPr>
      <w:r>
        <w:t>Abstract</w:t>
      </w:r>
    </w:p>
    <w:p>
      <w:r>
        <w:rPr>
          <w:b/>
        </w:rPr>
        <w:t>This paper presents the cryptographic architecture of ToledoMessage, a secure messaging application that implements post-quantum hybrid encryption to protect user communications against both classical and quantum computing threats. The system combines the Signal Protocols double ratchet mechanism with post-quantum cryptographic primitives (ML-KEM-768 and ML-DSA-65) while maintaining backward compatibility with classical algorithms (X25519 and Ed25519). This paper details the key exchange protocols, message encryption mechanisms, and signature schemes that provide forward secrecy, future secrecy, and quantum resistance.</w:t>
      </w:r>
    </w:p>
    <w:p>
      <w:r>
        <w:t>Keywords: Post-quantum cryptography, Hybrid encryption, Double ratchet, Signal Protocol, ML-KEM, ML-DSA, Secure messaging</w:t>
      </w:r>
    </w:p>
    <w:p>
      <w:pPr>
        <w:pStyle w:val="Heading1"/>
      </w:pPr>
      <w:r>
        <w:t>1. Introduction</w:t>
      </w:r>
    </w:p>
    <w:p>
      <w:r>
        <w:t>The advent of quantum computers poses a significant threat to current cryptographic systems. While large-scale quantum computers capable of breaking RSA and elliptic curve cryptography do not yet exist, the harvest now, decrypt later attack strategy means that sensitive communications encrypted today could be compromised in the future. This reality necessitates the development of cryptographic systems that are secure against both classical and quantum adversaries.</w:t>
      </w:r>
    </w:p>
    <w:p>
      <w:r>
        <w:t>ToledoMessage addresses this challenge by implementing a hybrid cryptographic architecture that combines:</w:t>
      </w:r>
    </w:p>
    <w:p>
      <w:pPr>
        <w:pStyle w:val="ListBullet"/>
      </w:pPr>
      <w:r>
        <w:t>Classical cryptographic algorithms with proven security properties</w:t>
      </w:r>
    </w:p>
    <w:p>
      <w:pPr>
        <w:pStyle w:val="ListBullet"/>
      </w:pPr>
      <w:r>
        <w:t>Post-quantum algorithms standardized by NIST</w:t>
      </w:r>
    </w:p>
    <w:p>
      <w:pPr>
        <w:pStyle w:val="ListBullet"/>
      </w:pPr>
      <w:r>
        <w:t>The double ratchet mechanism from the Signal Protocol</w:t>
      </w:r>
    </w:p>
    <w:p>
      <w:r>
        <w:t>This paper analyzes the cryptographic design choices and demonstrates how they provide comprehensive security properties.</w:t>
      </w:r>
    </w:p>
    <w:p>
      <w:pPr>
        <w:pStyle w:val="Heading1"/>
      </w:pPr>
      <w:r>
        <w:t>2. Cryptographic Primitives</w:t>
      </w:r>
    </w:p>
    <w:p>
      <w:pPr>
        <w:pStyle w:val="Heading2"/>
      </w:pPr>
      <w:r>
        <w:t>2.1 Classical Primitives</w:t>
      </w:r>
    </w:p>
    <w:p>
      <w:r>
        <w:t>The system employs the following classical cryptographic algorithms:</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Purpose</w:t>
            </w:r>
          </w:p>
        </w:tc>
        <w:tc>
          <w:tcPr>
            <w:tcW w:type="dxa" w:w="2880"/>
          </w:tcPr>
          <w:p>
            <w:r>
              <w:t>Key Size</w:t>
            </w:r>
          </w:p>
        </w:tc>
      </w:tr>
      <w:tr>
        <w:tc>
          <w:tcPr>
            <w:tcW w:type="dxa" w:w="2880"/>
          </w:tcPr>
          <w:p>
            <w:r>
              <w:t>X25519</w:t>
            </w:r>
          </w:p>
        </w:tc>
        <w:tc>
          <w:tcPr>
            <w:tcW w:type="dxa" w:w="2880"/>
          </w:tcPr>
          <w:p>
            <w:r>
              <w:t>Elliptic curve key exchange</w:t>
            </w:r>
          </w:p>
        </w:tc>
        <w:tc>
          <w:tcPr>
            <w:tcW w:type="dxa" w:w="2880"/>
          </w:tcPr>
          <w:p>
            <w:r>
              <w:t>256 bits</w:t>
            </w:r>
          </w:p>
        </w:tc>
      </w:tr>
      <w:tr>
        <w:tc>
          <w:tcPr>
            <w:tcW w:type="dxa" w:w="2880"/>
          </w:tcPr>
          <w:p>
            <w:r>
              <w:t>Ed25519</w:t>
            </w:r>
          </w:p>
        </w:tc>
        <w:tc>
          <w:tcPr>
            <w:tcW w:type="dxa" w:w="2880"/>
          </w:tcPr>
          <w:p>
            <w:r>
              <w:t>Digital signatures</w:t>
            </w:r>
          </w:p>
        </w:tc>
        <w:tc>
          <w:tcPr>
            <w:tcW w:type="dxa" w:w="2880"/>
          </w:tcPr>
          <w:p>
            <w:r>
              <w:t>256 bits</w:t>
            </w:r>
          </w:p>
        </w:tc>
      </w:tr>
      <w:tr>
        <w:tc>
          <w:tcPr>
            <w:tcW w:type="dxa" w:w="2880"/>
          </w:tcPr>
          <w:p>
            <w:r>
              <w:t>AES-256-GCM</w:t>
            </w:r>
          </w:p>
        </w:tc>
        <w:tc>
          <w:tcPr>
            <w:tcW w:type="dxa" w:w="2880"/>
          </w:tcPr>
          <w:p>
            <w:r>
              <w:t>Symmetric encryption</w:t>
            </w:r>
          </w:p>
        </w:tc>
        <w:tc>
          <w:tcPr>
            <w:tcW w:type="dxa" w:w="2880"/>
          </w:tcPr>
          <w:p>
            <w:r>
              <w:t>256 bits</w:t>
            </w:r>
          </w:p>
        </w:tc>
      </w:tr>
      <w:tr>
        <w:tc>
          <w:tcPr>
            <w:tcW w:type="dxa" w:w="2880"/>
          </w:tcPr>
          <w:p>
            <w:r>
              <w:t>HKDF</w:t>
            </w:r>
          </w:p>
        </w:tc>
        <w:tc>
          <w:tcPr>
            <w:tcW w:type="dxa" w:w="2880"/>
          </w:tcPr>
          <w:p>
            <w:r>
              <w:t>Key derivation</w:t>
            </w:r>
          </w:p>
        </w:tc>
        <w:tc>
          <w:tcPr>
            <w:tcW w:type="dxa" w:w="2880"/>
          </w:tcPr>
          <w:p>
            <w:r>
              <w:t>256 bits output</w:t>
            </w:r>
          </w:p>
        </w:tc>
      </w:tr>
    </w:tbl>
    <w:p>
      <w:r>
        <w:t>X25519 is an elliptic curve Diffie-Hellman key exchange algorithm based on Curve25519. It provides 128 bits of security and has been extensively analyzed by the cryptographic community.</w:t>
      </w:r>
    </w:p>
    <w:p>
      <w:r>
        <w:t>Ed25519 is an EdDSA signature scheme using Curve25519. It offers fast signature generation and verification with deterministic security properties.</w:t>
      </w:r>
    </w:p>
    <w:p>
      <w:r>
        <w:t>AES-256-GCM provides authenticated encryption with associated data (AEAD), ensuring both confidentiality and integrity.</w:t>
      </w:r>
    </w:p>
    <w:p>
      <w:pPr>
        <w:pStyle w:val="Heading2"/>
      </w:pPr>
      <w:r>
        <w:t>2.2 Post-Quantum Primitives</w:t>
      </w:r>
    </w:p>
    <w:p>
      <w:r>
        <w:t>The system incorporates NIST-standardized post-quantum algorithms:</w:t>
      </w:r>
    </w:p>
    <w:tbl>
      <w:tblPr>
        <w:tblStyle w:val="TableGrid"/>
        <w:tblW w:type="auto" w:w="0"/>
        <w:tblLook w:firstColumn="1" w:firstRow="1" w:lastColumn="0" w:lastRow="0" w:noHBand="0" w:noVBand="1" w:val="04A0"/>
      </w:tblPr>
      <w:tblGrid>
        <w:gridCol w:w="2880"/>
        <w:gridCol w:w="2880"/>
        <w:gridCol w:w="2880"/>
      </w:tblGrid>
      <w:tr>
        <w:tc>
          <w:tcPr>
            <w:tcW w:type="dxa" w:w="2880"/>
          </w:tcPr>
          <w:p>
            <w:r>
              <w:t>Algorithm</w:t>
            </w:r>
          </w:p>
        </w:tc>
        <w:tc>
          <w:tcPr>
            <w:tcW w:type="dxa" w:w="2880"/>
          </w:tcPr>
          <w:p>
            <w:r>
              <w:t>Purpose</w:t>
            </w:r>
          </w:p>
        </w:tc>
        <w:tc>
          <w:tcPr>
            <w:tcW w:type="dxa" w:w="2880"/>
          </w:tcPr>
          <w:p>
            <w:r>
              <w:t>Security Level</w:t>
            </w:r>
          </w:p>
        </w:tc>
      </w:tr>
      <w:tr>
        <w:tc>
          <w:tcPr>
            <w:tcW w:type="dxa" w:w="2880"/>
          </w:tcPr>
          <w:p>
            <w:r>
              <w:t>ML-KEM-768</w:t>
            </w:r>
          </w:p>
        </w:tc>
        <w:tc>
          <w:tcPr>
            <w:tcW w:type="dxa" w:w="2880"/>
          </w:tcPr>
          <w:p>
            <w:r>
              <w:t>Key encapsulation</w:t>
            </w:r>
          </w:p>
        </w:tc>
        <w:tc>
          <w:tcPr>
            <w:tcW w:type="dxa" w:w="2880"/>
          </w:tcPr>
          <w:p>
            <w:r>
              <w:t>NIST Level 3 (192 bits)</w:t>
            </w:r>
          </w:p>
        </w:tc>
      </w:tr>
      <w:tr>
        <w:tc>
          <w:tcPr>
            <w:tcW w:type="dxa" w:w="2880"/>
          </w:tcPr>
          <w:p>
            <w:r>
              <w:t>ML-DSA-65</w:t>
            </w:r>
          </w:p>
        </w:tc>
        <w:tc>
          <w:tcPr>
            <w:tcW w:type="dxa" w:w="2880"/>
          </w:tcPr>
          <w:p>
            <w:r>
              <w:t>Digital signatures</w:t>
            </w:r>
          </w:p>
        </w:tc>
        <w:tc>
          <w:tcPr>
            <w:tcW w:type="dxa" w:w="2880"/>
          </w:tcPr>
          <w:p>
            <w:r>
              <w:t>NIST Level 3 (192 bits)</w:t>
            </w:r>
          </w:p>
        </w:tc>
      </w:tr>
    </w:tbl>
    <w:p>
      <w:r>
        <w:t>ML-KEM (Module-Lattice-Based Key-Encapsulation Mechanism) is based on the hardness of solving lattice problems (Module-LWE). It provides security against quantum attacks while maintaining reasonable performance.</w:t>
      </w:r>
    </w:p>
    <w:p>
      <w:r>
        <w:t>ML-DSA (Module-Lattice-Based Digital Signature Algorithm) similarly provides quantum-resistant signatures with efficient implementation.</w:t>
      </w:r>
    </w:p>
    <w:p>
      <w:pPr>
        <w:pStyle w:val="Heading1"/>
      </w:pPr>
      <w:r>
        <w:t>3. Hybrid Key Exchange Architecture</w:t>
      </w:r>
    </w:p>
    <w:p>
      <w:pPr>
        <w:pStyle w:val="Heading2"/>
      </w:pPr>
      <w:r>
        <w:t>3.1 Design Philosophy</w:t>
      </w:r>
    </w:p>
    <w:p>
      <w:r>
        <w:t>ToledoMessage employs a hybrid approach that combines classical and post-quantum key exchange. This strategy provides:</w:t>
      </w:r>
    </w:p>
    <w:p>
      <w:pPr>
        <w:pStyle w:val="ListBullet"/>
      </w:pPr>
      <w:r>
        <w:t>Immediate security: Classical algorithms remain secure against classical attackers</w:t>
      </w:r>
    </w:p>
    <w:p>
      <w:pPr>
        <w:pStyle w:val="ListBullet"/>
      </w:pPr>
      <w:r>
        <w:t>Future-proofing: Post-quantum algorithms protect against quantum adversaries</w:t>
      </w:r>
    </w:p>
    <w:p>
      <w:pPr>
        <w:pStyle w:val="ListBullet"/>
      </w:pPr>
      <w:r>
        <w:t>Defense in depth: Even if one algorithm is compromised, the system remains secure</w:t>
      </w:r>
    </w:p>
    <w:p>
      <w:pPr>
        <w:pStyle w:val="Heading2"/>
      </w:pPr>
      <w:r>
        <w:t>3.2 Hybrid Key Exchange (KEM)</w:t>
      </w:r>
    </w:p>
    <w:p>
      <w:r>
        <w:t>The hybrid key exchange combines X25519 and ML-KEM-768 using a key derivation function:</w:t>
      </w:r>
    </w:p>
    <w:p>
      <w:r>
        <w:t>IKM = DH_classical || KEM_pq</w:t>
      </w:r>
    </w:p>
    <w:p>
      <w:r>
        <w:t>SK = HKDF(IKM, info=ToledoMessage-HybridKEM-v1, length=32)</w:t>
      </w:r>
    </w:p>
    <w:p>
      <w:r>
        <w:t>This ensures that the resulting shared secret requires breaking both the classical and post-quantum components.</w:t>
      </w:r>
    </w:p>
    <w:p>
      <w:pPr>
        <w:pStyle w:val="Heading2"/>
      </w:pPr>
      <w:r>
        <w:t>3.3 Hybrid Digital Signatures</w:t>
      </w:r>
    </w:p>
    <w:p>
      <w:r>
        <w:t>For digital signatures, ToledoMessage combines Ed25519 and ML-DSA-65:</w:t>
      </w:r>
    </w:p>
    <w:p>
      <w:r>
        <w:t>sigma = sigma_classical || sigma_pq</w:t>
      </w:r>
    </w:p>
    <w:p>
      <w:r>
        <w:t>The signature verification requires both classical and post-quantum signatures to be valid, providing hybrid authentication.</w:t>
      </w:r>
    </w:p>
    <w:p>
      <w:pPr>
        <w:pStyle w:val="Heading1"/>
      </w:pPr>
      <w:r>
        <w:t>4. X3DH Key Agreement Protocol</w:t>
      </w:r>
    </w:p>
    <w:p>
      <w:pPr>
        <w:pStyle w:val="Heading2"/>
      </w:pPr>
      <w:r>
        <w:t>4.1 Protocol Overview</w:t>
      </w:r>
    </w:p>
    <w:p>
      <w:r>
        <w:t>ToledoMessage implements the Extended Triple Diffie-Hellman (X3DH) protocol with post-quantum extensions. This protocol enables asynchronous key exchange, allowing users to initiate encrypted conversations even when the recipient is offline.</w:t>
      </w:r>
    </w:p>
    <w:p>
      <w:pPr>
        <w:pStyle w:val="Heading2"/>
      </w:pPr>
      <w:r>
        <w:t>4.2 Pre-Key Bundle Structure</w:t>
      </w:r>
    </w:p>
    <w:p>
      <w:r>
        <w:t>Each device publishes a pre-key bundle containing:</w:t>
      </w:r>
    </w:p>
    <w:p>
      <w:r>
        <w:t>1. Identity Keys: Classical Ed25519 public key, Post-quantum ML-DSA-65 public key</w:t>
      </w:r>
    </w:p>
    <w:p>
      <w:r>
        <w:t>2. Signed Pre-Key (SPK): X25519 public key, Hybrid signature from identity keys</w:t>
      </w:r>
    </w:p>
    <w:p>
      <w:r>
        <w:t>3. Kyber Pre-Key (KPK): ML-KEM-768 public key, Hybrid signature from identity keys</w:t>
      </w:r>
    </w:p>
    <w:p>
      <w:r>
        <w:t>4. One-Time Pre-Keys (Optional): X25519 public keys for additional forward secrecy</w:t>
      </w:r>
    </w:p>
    <w:p>
      <w:pPr>
        <w:pStyle w:val="Heading2"/>
      </w:pPr>
      <w:r>
        <w:t>4.3 Initiator Side (Alice)</w:t>
      </w:r>
    </w:p>
    <w:p>
      <w:r>
        <w:t>When Alice wants to message Bob:</w:t>
      </w:r>
    </w:p>
    <w:p>
      <w:r>
        <w:t>1. Verify SPK signature</w:t>
      </w:r>
    </w:p>
    <w:p>
      <w:r>
        <w:t>2. Verify Kyber signature</w:t>
      </w:r>
    </w:p>
    <w:p>
      <w:r>
        <w:t>3. Generate ephemeral key: EK_A (X25519)</w:t>
      </w:r>
    </w:p>
    <w:p>
      <w:r>
        <w:t>4. Compute DH1: DH(EK_A, SPK_B)</w:t>
      </w:r>
    </w:p>
    <w:p>
      <w:r>
        <w:t>5. Compute DH2: DH(EK_A, OPK_B) [if available]</w:t>
      </w:r>
    </w:p>
    <w:p>
      <w:r>
        <w:t>6. KEM encapsulate: (C_pq, K_pq) = Encapsulate(KPK_B)</w:t>
      </w:r>
    </w:p>
    <w:p>
      <w:r>
        <w:t>7. Combine: IKM = DH1 || DH2 || K_pq</w:t>
      </w:r>
    </w:p>
    <w:p>
      <w:r>
        <w:t>8. Derive: (rootKey, chainKey) = HKDF(IKM)</w:t>
      </w:r>
    </w:p>
    <w:p>
      <w:pPr>
        <w:pStyle w:val="Heading2"/>
      </w:pPr>
      <w:r>
        <w:t>4.4 Responder Side (Bob)</w:t>
      </w:r>
    </w:p>
    <w:p>
      <w:r>
        <w:t>Bob responds using his private keys:</w:t>
      </w:r>
    </w:p>
    <w:p>
      <w:r>
        <w:t>1. Compute DH1: DH(SPK_B, EK_A)</w:t>
      </w:r>
    </w:p>
    <w:p>
      <w:r>
        <w:t>2. Compute DH2: DH(OPK_B, EK_A) [if used]</w:t>
      </w:r>
    </w:p>
    <w:p>
      <w:r>
        <w:t>3. KEM decapsulate: K_pq = Decapsulate(KPK_B, C_pq)</w:t>
      </w:r>
    </w:p>
    <w:p>
      <w:r>
        <w:t>4. Combine: IKM = DH1 || DH2 || K_pq</w:t>
      </w:r>
    </w:p>
    <w:p>
      <w:r>
        <w:t>5. Derive: (rootKey, chainKey) = HKDF(IKM)</w:t>
      </w:r>
    </w:p>
    <w:p>
      <w:r>
        <w:t>Both parties derive identical root and chain keys, establishing a secure session.</w:t>
      </w:r>
    </w:p>
    <w:p>
      <w:pPr>
        <w:pStyle w:val="Heading1"/>
      </w:pPr>
      <w:r>
        <w:t>5. Double Ratchet Protocol</w:t>
      </w:r>
    </w:p>
    <w:p>
      <w:pPr>
        <w:pStyle w:val="Heading2"/>
      </w:pPr>
      <w:r>
        <w:t>5.1 Overview</w:t>
      </w:r>
    </w:p>
    <w:p>
      <w:r>
        <w:t>After X3DH establishes initial shared secrets, ToledoMessage employs the Double Ratchet algorithm to provide continuous key evolution. This ensures:</w:t>
      </w:r>
    </w:p>
    <w:p>
      <w:pPr>
        <w:pStyle w:val="ListBullet"/>
      </w:pPr>
      <w:r>
        <w:t>Forward Secrecy: Compromised session keys do not reveal past messages</w:t>
      </w:r>
    </w:p>
    <w:p>
      <w:pPr>
        <w:pStyle w:val="ListBullet"/>
      </w:pPr>
      <w:r>
        <w:t>Future Secrecy: After key compromise, future messages remain secure</w:t>
      </w:r>
    </w:p>
    <w:p>
      <w:pPr>
        <w:pStyle w:val="Heading2"/>
      </w:pPr>
      <w:r>
        <w:t>5.2 Asymmetric Ratchet</w:t>
      </w:r>
    </w:p>
    <w:p>
      <w:r>
        <w:t>Each message includes a new DH public key. When received, the protocol performs a DH ratchet step:</w:t>
      </w:r>
    </w:p>
    <w:p>
      <w:r>
        <w:t>1. Compute new shared secret</w:t>
      </w:r>
    </w:p>
    <w:p>
      <w:r>
        <w:t>2. Derive new root key and receive chain key</w:t>
      </w:r>
    </w:p>
    <w:p>
      <w:r>
        <w:t>3. Generate new local ratchet key pair</w:t>
      </w:r>
    </w:p>
    <w:p>
      <w:r>
        <w:t>4. Derive new root key and send chain key</w:t>
      </w:r>
    </w:p>
    <w:p>
      <w:pPr>
        <w:pStyle w:val="Heading2"/>
      </w:pPr>
      <w:r>
        <w:t>5.3 Symmetric Ratchet</w:t>
      </w:r>
    </w:p>
    <w:p>
      <w:r>
        <w:t>For each message, a unique message key is derived from the chain key:</w:t>
      </w:r>
    </w:p>
    <w:p>
      <w:r>
        <w:t>(messageKey_i, chainKey_{i+1}) = KDF(chainKey_i)</w:t>
      </w:r>
    </w:p>
    <w:p>
      <w:r>
        <w:t>The message key is used for AES-256-GCM encryption and then discarded, providing forward secrecy.</w:t>
      </w:r>
    </w:p>
    <w:p>
      <w:pPr>
        <w:pStyle w:val="Heading2"/>
      </w:pPr>
      <w:r>
        <w:t>5.4 Out-of-Order Message Handling</w:t>
      </w:r>
    </w:p>
    <w:p>
      <w:r>
        <w:t>The implementation maintains a skipped keys buffer to handle out-of-order message delivery.</w:t>
      </w:r>
    </w:p>
    <w:p>
      <w:r>
        <w:t>Messages arriving out of order have their keys stored. When a gap is closed, skipped keys can be used for decryption. Maximum 100 skipped keys to prevent memory exhaustion.</w:t>
      </w:r>
    </w:p>
    <w:p>
      <w:pPr>
        <w:pStyle w:val="Heading2"/>
      </w:pPr>
      <w:r>
        <w:t>5.5 Constant-Time Operations</w:t>
      </w:r>
    </w:p>
    <w:p>
      <w:r>
        <w:t>Critical comparisons use constant-time algorithms to prevent timing side-channel attacks.</w:t>
      </w:r>
    </w:p>
    <w:p>
      <w:pPr>
        <w:pStyle w:val="Heading1"/>
      </w:pPr>
      <w:r>
        <w:t>6. Message Encryption</w:t>
      </w:r>
    </w:p>
    <w:p>
      <w:pPr>
        <w:pStyle w:val="Heading2"/>
      </w:pPr>
      <w:r>
        <w:t>6.1 Encryption Process</w:t>
      </w:r>
    </w:p>
    <w:p>
      <w:r>
        <w:t>Each encrypted message contains:</w:t>
      </w:r>
    </w:p>
    <w:p>
      <w:r>
        <w:t>1. Message Header: Senders current ratchet public key, Previous chain length, Message index in current chain</w:t>
      </w:r>
    </w:p>
    <w:p>
      <w:r>
        <w:t>2. Ciphertext: AES-256-GCM encrypted plaintext, 12-byte nonce derived from message index, Authentication tag</w:t>
      </w:r>
    </w:p>
    <w:p>
      <w:pPr>
        <w:pStyle w:val="Heading2"/>
      </w:pPr>
      <w:r>
        <w:t>6.2 Nonce Derivation</w:t>
      </w:r>
    </w:p>
    <w:p>
      <w:r>
        <w:t>The nonce is constructed from the message index to ensure uniqueness.</w:t>
      </w:r>
    </w:p>
    <w:p>
      <w:pPr>
        <w:pStyle w:val="Heading1"/>
      </w:pPr>
      <w:r>
        <w:t>7. Signature Versioning</w:t>
      </w:r>
    </w:p>
    <w:p>
      <w:pPr>
        <w:pStyle w:val="Heading2"/>
      </w:pPr>
      <w:r>
        <w:t>7.1 Version 0 (Legacy)</w:t>
      </w:r>
    </w:p>
    <w:p>
      <w:r>
        <w:t>Original wire format: [4-byte Ed25519 sig length][Ed25519 sig][ML-DSA sig]</w:t>
      </w:r>
    </w:p>
    <w:p>
      <w:pPr>
        <w:pStyle w:val="Heading2"/>
      </w:pPr>
      <w:r>
        <w:t>7.2 Version 1 (Current)</w:t>
      </w:r>
    </w:p>
    <w:p>
      <w:r>
        <w:t>Current format with version byte: [0x01][4-byte Ed25519 sig length][Ed25519 sig][ML-DSA sig]</w:t>
      </w:r>
    </w:p>
    <w:p>
      <w:r>
        <w:t>The system auto-detects both versions during verification, ensuring backward compatibility while supporting algorithm updates.</w:t>
      </w:r>
    </w:p>
    <w:p>
      <w:pPr>
        <w:pStyle w:val="Heading1"/>
      </w:pPr>
      <w:r>
        <w:t>8. Security Analysis</w:t>
      </w:r>
    </w:p>
    <w:p>
      <w:pPr>
        <w:pStyle w:val="Heading2"/>
      </w:pPr>
      <w:r>
        <w:t>8.1 Security Properties</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Mechanism</w:t>
            </w:r>
          </w:p>
        </w:tc>
      </w:tr>
      <w:tr>
        <w:tc>
          <w:tcPr>
            <w:tcW w:type="dxa" w:w="4320"/>
          </w:tcPr>
          <w:p>
            <w:r>
              <w:t>Confidentiality</w:t>
            </w:r>
          </w:p>
        </w:tc>
        <w:tc>
          <w:tcPr>
            <w:tcW w:type="dxa" w:w="4320"/>
          </w:tcPr>
          <w:p>
            <w:r>
              <w:t>AES-256-GCM encryption</w:t>
            </w:r>
          </w:p>
        </w:tc>
      </w:tr>
      <w:tr>
        <w:tc>
          <w:tcPr>
            <w:tcW w:type="dxa" w:w="4320"/>
          </w:tcPr>
          <w:p>
            <w:r>
              <w:t>Integrity</w:t>
            </w:r>
          </w:p>
        </w:tc>
        <w:tc>
          <w:tcPr>
            <w:tcW w:type="dxa" w:w="4320"/>
          </w:tcPr>
          <w:p>
            <w:r>
              <w:t>GCM authentication tag</w:t>
            </w:r>
          </w:p>
        </w:tc>
      </w:tr>
      <w:tr>
        <w:tc>
          <w:tcPr>
            <w:tcW w:type="dxa" w:w="4320"/>
          </w:tcPr>
          <w:p>
            <w:r>
              <w:t>Forward Secrecy</w:t>
            </w:r>
          </w:p>
        </w:tc>
        <w:tc>
          <w:tcPr>
            <w:tcW w:type="dxa" w:w="4320"/>
          </w:tcPr>
          <w:p>
            <w:r>
              <w:t>Symmetric ratchet (per-message keys)</w:t>
            </w:r>
          </w:p>
        </w:tc>
      </w:tr>
      <w:tr>
        <w:tc>
          <w:tcPr>
            <w:tcW w:type="dxa" w:w="4320"/>
          </w:tcPr>
          <w:p>
            <w:r>
              <w:t>Future Secrecy</w:t>
            </w:r>
          </w:p>
        </w:tc>
        <w:tc>
          <w:tcPr>
            <w:tcW w:type="dxa" w:w="4320"/>
          </w:tcPr>
          <w:p>
            <w:r>
              <w:t>DH ratchet on each message</w:t>
            </w:r>
          </w:p>
        </w:tc>
      </w:tr>
      <w:tr>
        <w:tc>
          <w:tcPr>
            <w:tcW w:type="dxa" w:w="4320"/>
          </w:tcPr>
          <w:p>
            <w:r>
              <w:t>Quantum Resistance</w:t>
            </w:r>
          </w:p>
        </w:tc>
        <w:tc>
          <w:tcPr>
            <w:tcW w:type="dxa" w:w="4320"/>
          </w:tcPr>
          <w:p>
            <w:r>
              <w:t>ML-KEM-768 + ML-DSA-65</w:t>
            </w:r>
          </w:p>
        </w:tc>
      </w:tr>
      <w:tr>
        <w:tc>
          <w:tcPr>
            <w:tcW w:type="dxa" w:w="4320"/>
          </w:tcPr>
          <w:p>
            <w:r>
              <w:t>Asynchronous Security</w:t>
            </w:r>
          </w:p>
        </w:tc>
        <w:tc>
          <w:tcPr>
            <w:tcW w:type="dxa" w:w="4320"/>
          </w:tcPr>
          <w:p>
            <w:r>
              <w:t>Pre-key bundles</w:t>
            </w:r>
          </w:p>
        </w:tc>
      </w:tr>
      <w:tr>
        <w:tc>
          <w:tcPr>
            <w:tcW w:type="dxa" w:w="4320"/>
          </w:tcPr>
          <w:p>
            <w:r>
              <w:t>Authentication</w:t>
            </w:r>
          </w:p>
        </w:tc>
        <w:tc>
          <w:tcPr>
            <w:tcW w:type="dxa" w:w="4320"/>
          </w:tcPr>
          <w:p>
            <w:r>
              <w:t>Hybrid Ed25519 + ML-DSA signatures</w:t>
            </w:r>
          </w:p>
        </w:tc>
      </w:tr>
    </w:tbl>
    <w:p>
      <w:pPr>
        <w:pStyle w:val="Heading2"/>
      </w:pPr>
      <w:r>
        <w:t>8.2 Threat Model</w:t>
      </w:r>
    </w:p>
    <w:p>
      <w:r>
        <w:t>The system assumes:</w:t>
      </w:r>
    </w:p>
    <w:p>
      <w:pPr>
        <w:pStyle w:val="ListBullet"/>
      </w:pPr>
      <w:r>
        <w:t>Classical adversaries with polynomial-time computation</w:t>
      </w:r>
    </w:p>
    <w:p>
      <w:pPr>
        <w:pStyle w:val="ListBullet"/>
      </w:pPr>
      <w:r>
        <w:t>Quantum adversaries with sufficient qubits (harvest-now attacks)</w:t>
      </w:r>
    </w:p>
    <w:p>
      <w:pPr>
        <w:pStyle w:val="ListBullet"/>
      </w:pPr>
      <w:r>
        <w:t>Server compromise (metadata exposure but not decryption)</w:t>
      </w:r>
    </w:p>
    <w:p>
      <w:pPr>
        <w:pStyle w:val="ListBullet"/>
      </w:pPr>
      <w:r>
        <w:t>No trusted third parties or key escrow</w:t>
      </w:r>
    </w:p>
    <w:p>
      <w:pPr>
        <w:pStyle w:val="Heading2"/>
      </w:pPr>
      <w:r>
        <w:t>8.3 Security Levels</w:t>
      </w:r>
    </w:p>
    <w:p>
      <w:r>
        <w:t>The hybrid construction provides NIST Level 3 security (192 bits):</w:t>
      </w:r>
    </w:p>
    <w:p>
      <w:pPr>
        <w:pStyle w:val="ListBullet"/>
      </w:pPr>
      <w:r>
        <w:t>Classical: X25519 (128-bit security) + Ed25519 (128-bit security)</w:t>
      </w:r>
    </w:p>
    <w:p>
      <w:pPr>
        <w:pStyle w:val="ListBullet"/>
      </w:pPr>
      <w:r>
        <w:t>Post-quantum: ML-KEM-768 (192-bit security) + ML-DSA-65 (192-bit security)</w:t>
      </w:r>
    </w:p>
    <w:p>
      <w:pPr>
        <w:pStyle w:val="ListBullet"/>
      </w:pPr>
      <w:r>
        <w:t>Hybrid: Minimum of both (defense in depth)</w:t>
      </w:r>
    </w:p>
    <w:p>
      <w:pPr>
        <w:pStyle w:val="Heading1"/>
      </w:pPr>
      <w:r>
        <w:t>9. Performance Considerations</w:t>
      </w:r>
    </w:p>
    <w:p>
      <w:pPr>
        <w:pStyle w:val="Heading2"/>
      </w:pPr>
      <w:r>
        <w:t>9.1 Key Sizes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Size</w:t>
            </w:r>
          </w:p>
        </w:tc>
      </w:tr>
      <w:tr>
        <w:tc>
          <w:tcPr>
            <w:tcW w:type="dxa" w:w="4320"/>
          </w:tcPr>
          <w:p>
            <w:r>
              <w:t>Identity Key (Classical)</w:t>
            </w:r>
          </w:p>
        </w:tc>
        <w:tc>
          <w:tcPr>
            <w:tcW w:type="dxa" w:w="4320"/>
          </w:tcPr>
          <w:p>
            <w:r>
              <w:t>32 bytes</w:t>
            </w:r>
          </w:p>
        </w:tc>
      </w:tr>
      <w:tr>
        <w:tc>
          <w:tcPr>
            <w:tcW w:type="dxa" w:w="4320"/>
          </w:tcPr>
          <w:p>
            <w:r>
              <w:t>Identity Key (PQ)</w:t>
            </w:r>
          </w:p>
        </w:tc>
        <w:tc>
          <w:tcPr>
            <w:tcW w:type="dxa" w:w="4320"/>
          </w:tcPr>
          <w:p>
            <w:r>
              <w:t>~1952 bytes</w:t>
            </w:r>
          </w:p>
        </w:tc>
      </w:tr>
      <w:tr>
        <w:tc>
          <w:tcPr>
            <w:tcW w:type="dxa" w:w="4320"/>
          </w:tcPr>
          <w:p>
            <w:r>
              <w:t>Signed Pre-Key (Classical)</w:t>
            </w:r>
          </w:p>
        </w:tc>
        <w:tc>
          <w:tcPr>
            <w:tcW w:type="dxa" w:w="4320"/>
          </w:tcPr>
          <w:p>
            <w:r>
              <w:t>32 bytes</w:t>
            </w:r>
          </w:p>
        </w:tc>
      </w:tr>
      <w:tr>
        <w:tc>
          <w:tcPr>
            <w:tcW w:type="dxa" w:w="4320"/>
          </w:tcPr>
          <w:p>
            <w:r>
              <w:t>Kyber Pre-Key (PQ)</w:t>
            </w:r>
          </w:p>
        </w:tc>
        <w:tc>
          <w:tcPr>
            <w:tcW w:type="dxa" w:w="4320"/>
          </w:tcPr>
          <w:p>
            <w:r>
              <w:t>1184 bytes</w:t>
            </w:r>
          </w:p>
        </w:tc>
      </w:tr>
      <w:tr>
        <w:tc>
          <w:tcPr>
            <w:tcW w:type="dxa" w:w="4320"/>
          </w:tcPr>
          <w:p>
            <w:r>
              <w:t>One-Time Pre-Key</w:t>
            </w:r>
          </w:p>
        </w:tc>
        <w:tc>
          <w:tcPr>
            <w:tcW w:type="dxa" w:w="4320"/>
          </w:tcPr>
          <w:p>
            <w:r>
              <w:t>32 bytes</w:t>
            </w:r>
          </w:p>
        </w:tc>
      </w:tr>
      <w:tr>
        <w:tc>
          <w:tcPr>
            <w:tcW w:type="dxa" w:w="4320"/>
          </w:tcPr>
          <w:p>
            <w:r>
              <w:t>Hybrid Signature</w:t>
            </w:r>
          </w:p>
        </w:tc>
        <w:tc>
          <w:tcPr>
            <w:tcW w:type="dxa" w:w="4320"/>
          </w:tcPr>
          <w:p>
            <w:r>
              <w:t>~240 bytes</w:t>
            </w:r>
          </w:p>
        </w:tc>
      </w:tr>
    </w:tbl>
    <w:p>
      <w:pPr>
        <w:pStyle w:val="Heading2"/>
      </w:pPr>
      <w:r>
        <w:t>9.2 Computational Overhead</w:t>
      </w:r>
    </w:p>
    <w:p>
      <w:r>
        <w:t>The hybrid approach adds approximately 2-3x computational overhead compared to classical-only encryption. However, this overhead is acceptable for:</w:t>
      </w:r>
    </w:p>
    <w:p>
      <w:pPr>
        <w:pStyle w:val="ListBullet"/>
      </w:pPr>
      <w:r>
        <w:t>Initial key exchange (one-time cost)</w:t>
      </w:r>
    </w:p>
    <w:p>
      <w:pPr>
        <w:pStyle w:val="ListBullet"/>
      </w:pPr>
      <w:r>
        <w:t>Signature verification (occasional, on pre-key bundle receipt)</w:t>
      </w:r>
    </w:p>
    <w:p>
      <w:r>
        <w:t>The ongoing message encryption/decryption uses symmetric cryptography (AES-GCM), which has minimal overhead.</w:t>
      </w:r>
    </w:p>
    <w:p>
      <w:pPr>
        <w:pStyle w:val="Heading1"/>
      </w:pPr>
      <w:r>
        <w:t>10. Conclusion</w:t>
      </w:r>
    </w:p>
    <w:p>
      <w:r>
        <w:t>ToledoMessage demonstrates a practical implementation of post-quantum hybrid cryptography for secure messaging. The key innovations include:</w:t>
      </w:r>
    </w:p>
    <w:p>
      <w:pPr>
        <w:pStyle w:val="ListBullet"/>
      </w:pPr>
      <w:r>
        <w:t>Hybrid Key Exchange: Combining X25519 and ML-KEM-768 provides defense-in-depth against both classical and quantum attacks.</w:t>
      </w:r>
    </w:p>
    <w:p>
      <w:pPr>
        <w:pStyle w:val="ListBullet"/>
      </w:pPr>
      <w:r>
        <w:t>Hybrid Signatures: Ed25519 + ML-DSA-65 ensures authentication remains quantum-resistant.</w:t>
      </w:r>
    </w:p>
    <w:p>
      <w:pPr>
        <w:pStyle w:val="ListBullet"/>
      </w:pPr>
      <w:r>
        <w:t>Double Ratchet: Provides continuous key evolution with forward and future secrecy.</w:t>
      </w:r>
    </w:p>
    <w:p>
      <w:pPr>
        <w:pStyle w:val="ListBullet"/>
      </w:pPr>
      <w:r>
        <w:t>Backward Compatibility: Version byte in signatures allows algorithm updates without breaking existing implementations.</w:t>
      </w:r>
    </w:p>
    <w:p>
      <w:pPr>
        <w:pStyle w:val="ListBullet"/>
      </w:pPr>
      <w:r>
        <w:t>Practical Performance: The hybrid overhead is manageable for real-world messaging applications.</w:t>
      </w:r>
    </w:p>
    <w:p>
      <w:r>
        <w:t>As quantum computing continues to advance, systems like ToledoMessage provide a migration path to post-quantum security while maintaining compatibility with existing infrastructure. The hybrid approach represents best practices for cryptographic systems requiring long-term security.</w:t>
      </w:r>
    </w:p>
    <w:p>
      <w:pPr>
        <w:pStyle w:val="Heading1"/>
      </w:pPr>
      <w:r>
        <w:t>References</w:t>
      </w:r>
    </w:p>
    <w:p>
      <w:r>
        <w:t>[1] Signal Protocol Documentation. https://signal.org/docs/</w:t>
      </w:r>
    </w:p>
    <w:p>
      <w:r>
        <w:t>[2] Alwen, J., et al. Double Ratchet. https://signal.org/docs/specifications/doubleratchet/</w:t>
      </w:r>
    </w:p>
    <w:p>
      <w:r>
        <w:t>[3] Perlman, R. The Extended Triple Diffie-Hellman Protocol.</w:t>
      </w:r>
    </w:p>
    <w:p>
      <w:r>
        <w:t>[4] NIST. Post-Quantum Cryptography: Selected Algorithms 2024.</w:t>
      </w:r>
    </w:p>
    <w:p>
      <w:r>
        <w:t>[5] Hamburg, M. Ed25519: High-speed high-security signatures.</w:t>
      </w:r>
    </w:p>
    <w:p>
      <w:r>
        <w:t>[6] Bos, J.W., et al. CRYSTALS-Kyber: A CCA-Secure Module-Lattice-Based KEM.</w:t>
      </w:r>
    </w:p>
    <w:p>
      <w:r>
        <w:t>[7] Ducas, L., et al. CRYSTALS-Dilithium: A Lattice-Based Digital Signature Scheme.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