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rFonts w:ascii="Calibri" w:hAnsi="Calibri"/>
          <w:b/>
          <w:color w:val="1A1A2E"/>
          <w:sz w:val="44"/>
        </w:rPr>
        <w:t>ToledoMessage: A Post-Quantum Hybrid</w:t>
        <w:br/>
        <w:t>End-to-End Encrypted Messaging Platform</w:t>
      </w:r>
    </w:p>
    <w:p>
      <w:pPr>
        <w:spacing w:after="400"/>
        <w:jc w:val="center"/>
      </w:pPr>
      <w:r>
        <w:rPr>
          <w:rFonts w:ascii="Calibri" w:hAnsi="Calibri"/>
          <w:color w:val="757575"/>
          <w:sz w:val="24"/>
        </w:rPr>
        <w:t>Combining Classical and Post-Quantum Cryptography</w:t>
        <w:br/>
        <w:t>for Secure Browser-Based Communication</w:t>
      </w:r>
    </w:p>
    <w:p>
      <w:pPr>
        <w:spacing w:before="0" w:after="0"/>
        <w:pBdr>
          <w:bottom w:val="single" w:sz="12" w:color="1976D2" w:space="1"/>
        </w:pBdr>
      </w:pPr>
    </w:p>
    <w:p>
      <w:pPr>
        <w:spacing w:before="280" w:after="80"/>
        <w:jc w:val="center"/>
      </w:pPr>
      <w:r>
        <w:rPr>
          <w:rFonts w:ascii="Calibri" w:hAnsi="Calibri"/>
          <w:b/>
          <w:color w:val="424242"/>
          <w:sz w:val="24"/>
        </w:rPr>
        <w:t>Mohamed Khamis</w:t>
      </w:r>
    </w:p>
    <w:p>
      <w:pPr>
        <w:spacing w:after="80"/>
        <w:jc w:val="center"/>
      </w:pPr>
      <w:r>
        <w:rPr>
          <w:rFonts w:ascii="Calibri" w:hAnsi="Calibri"/>
          <w:color w:val="757575"/>
          <w:sz w:val="20"/>
        </w:rPr>
        <w:t>University of Toledo, Department of Computer Science</w:t>
        <w:br/>
        <w:t>Toledo, Ohio, United States</w:t>
      </w:r>
    </w:p>
    <w:p>
      <w:pPr>
        <w:spacing w:after="400"/>
        <w:jc w:val="center"/>
      </w:pPr>
      <w:r>
        <w:rPr>
          <w:rFonts w:ascii="Calibri" w:hAnsi="Calibri"/>
          <w:color w:val="757575"/>
          <w:sz w:val="20"/>
        </w:rPr>
        <w:t>February 2026</w:t>
      </w:r>
    </w:p>
    <w:p>
      <w:pPr>
        <w:spacing w:before="200" w:after="120"/>
        <w:jc w:val="center"/>
      </w:pPr>
      <w:r>
        <w:rPr>
          <w:rFonts w:ascii="Calibri" w:hAnsi="Calibri"/>
          <w:b/>
          <w:sz w:val="22"/>
        </w:rPr>
        <w:t>ABSTRACT</w:t>
      </w:r>
    </w:p>
    <w:p>
      <w:pPr>
        <w:spacing w:after="160"/>
        <w:ind w:left="850" w:right="850"/>
        <w:jc w:val="both"/>
      </w:pPr>
      <w:r>
        <w:rPr>
          <w:rFonts w:ascii="Calibri" w:hAnsi="Calibri"/>
          <w:color w:val="333333"/>
          <w:sz w:val="20"/>
        </w:rPr>
        <w:t>This paper presents ToledoMessage, a novel secure messaging platform that implements a hybrid post-quantum end-to-end encryption (E2EE) system within a browser-based WebAssembly environment. The system combines the X3DH (Extended Triple Diffie-Hellman) key agreement protocol with the NIST-standardized ML-KEM-768 (formerly CRYSTALS-Kyber) key encapsulation mechanism, creating a hybrid classical/post-quantum key exchange that provides security against both current and future quantum computing threats. Message-level encryption employs the Double Ratchet protocol with AES-256-GCM authenticated encryption, providing forward secrecy and break-in recovery. Digital signatures use a hybrid Ed25519 + ML-DSA-65 (formerly Dilithium) scheme for authentication. The platform is implemented using Blazor WebAssembly for the client, ASP.NET Core with SignalR for real-time server communication, and BouncyCastle for cryptographic operations. The server operates under a zero-knowledge model, never accessing plaintext messages or private keys. We present the system architecture, cryptographic protocol details, security analysis, and a comparison with existing messaging platforms including Signal, WhatsApp, and Telegram.</w:t>
      </w:r>
    </w:p>
    <w:p>
      <w:pPr>
        <w:spacing w:after="240"/>
        <w:ind w:left="850"/>
      </w:pPr>
      <w:r>
        <w:rPr>
          <w:rFonts w:ascii="Calibri" w:hAnsi="Calibri"/>
          <w:b/>
          <w:sz w:val="20"/>
        </w:rPr>
        <w:t xml:space="preserve">Keywords: </w:t>
      </w:r>
      <w:r>
        <w:rPr>
          <w:rFonts w:ascii="Calibri" w:hAnsi="Calibri"/>
          <w:sz w:val="20"/>
        </w:rPr>
        <w:t>Post-Quantum Cryptography, End-to-End Encryption, Signal Protocol, X3DH, Double Ratchet, ML-KEM-768, Blazor WebAssembly, Hybrid Cryptography, Secure Messaging</w:t>
      </w:r>
    </w:p>
    <w:p>
      <w:r>
        <w:br w:type="page"/>
      </w:r>
    </w:p>
    <w:p>
      <w:pPr>
        <w:pStyle w:val="Heading1"/>
      </w:pPr>
      <w:r>
        <w:t>1. Introduction</w:t>
      </w:r>
    </w:p>
    <w:p>
      <w:r>
        <w:t>The proliferation of quantum computing poses an existential threat to the cryptographic foundations of modern secure communication. Current messaging applications such as Signal, WhatsApp, and iMessage rely on classical Diffie-Hellman key exchange and ECDSA signatures, which are vulnerable to Shor's algorithm on a sufficiently powerful quantum computer [1]. The National Institute of Standards and Technology (NIST) has recently standardized post-quantum cryptographic algorithms, including ML-KEM (Module-Lattice-Based Key Encapsulation Mechanism) and ML-DSA (Module-Lattice-Based Digital Signature Algorithm), marking a critical inflection point in the transition to quantum-resistant cryptography [2].</w:t>
      </w:r>
    </w:p>
    <w:p>
      <w:r>
        <w:t>ToledoMessage addresses this challenge by implementing a hybrid cryptographic model that combines proven classical algorithms with NIST-standardized post-quantum primitives. The system's key contribution is the integration of ML-KEM-768 into the Signal Protocol's X3DH key agreement, creating a key exchange that requires an attacker to break both the classical X25519 Diffie-Hellman and the lattice-based ML-KEM to compromise a session. This hybrid approach provides defense-in-depth: if either primitive is found to be vulnerable, the other continues to protect communication security.</w:t>
      </w:r>
    </w:p>
    <w:p>
      <w:r>
        <w:t>A second contribution is the deployment of this hybrid cryptographic stack within a browser environment using Blazor WebAssembly (WASM). All cryptographic operations—key generation, session management, encryption, and decryption—execute entirely in the client's browser sandbox, with the server operating under a strict zero-knowledge model. The server stores and routes only encrypted ciphertext, never accessing plaintext messages or private keys.</w:t>
      </w:r>
    </w:p>
    <w:p>
      <w:pPr>
        <w:pStyle w:val="Heading1"/>
      </w:pPr>
      <w:r>
        <w:t>2. System Architecture</w:t>
      </w:r>
    </w:p>
    <w:p>
      <w:pPr>
        <w:pStyle w:val="Heading2"/>
      </w:pPr>
      <w:r>
        <w:t>2.1 High-Level Overview</w:t>
      </w:r>
    </w:p>
    <w:p>
      <w:r>
        <w:t>ToledoMessage follows a three-tier architecture consisting of: (1) a Blazor WebAssembly client running in the browser, (2) an ASP.NET Core server providing REST APIs and real-time SignalR communication, and (3) a SQL Server 2022 database for persistent storage. Figure 1 illustrates the overall system architecture.</w:t>
      </w:r>
    </w:p>
    <w:p>
      <w:pPr>
        <w:jc w:val="center"/>
      </w:pPr>
      <w:r>
        <w:drawing>
          <wp:inline xmlns:a="http://schemas.openxmlformats.org/drawingml/2006/main" xmlns:pic="http://schemas.openxmlformats.org/drawingml/2006/picture">
            <wp:extent cx="5760000" cy="359651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000" cy="3596515"/>
                    </a:xfrm>
                    <a:prstGeom prst="rect"/>
                  </pic:spPr>
                </pic:pic>
              </a:graphicData>
            </a:graphic>
          </wp:inline>
        </w:drawing>
      </w:r>
    </w:p>
    <w:p>
      <w:pPr>
        <w:spacing w:before="80" w:after="280"/>
        <w:jc w:val="center"/>
      </w:pPr>
      <w:r>
        <w:rPr>
          <w:rFonts w:ascii="Calibri" w:hAnsi="Calibri"/>
          <w:i/>
          <w:color w:val="757575"/>
          <w:sz w:val="18"/>
        </w:rPr>
        <w:t>Figure 1: ToledoMessage system architecture.</w:t>
      </w:r>
    </w:p>
    <w:p>
      <w:pPr>
        <w:pStyle w:val="Heading2"/>
      </w:pPr>
      <w:r>
        <w:t>2.2 Technology Stack</w:t>
      </w:r>
    </w:p>
    <w:tbl>
      <w:tblPr>
        <w:tblW w:type="auto" w:w="0"/>
        <w:jc w:val="center"/>
        <w:tblLook w:firstColumn="1" w:firstRow="1" w:lastColumn="0" w:lastRow="0" w:noHBand="0" w:noVBand="1" w:val="04A0"/>
      </w:tblPr>
      <w:tblGrid>
        <w:gridCol w:w="3024"/>
        <w:gridCol w:w="3024"/>
        <w:gridCol w:w="3024"/>
      </w:tblGrid>
      <w:tr>
        <w:tc>
          <w:tcPr>
            <w:tcW w:type="dxa" w:w="3024"/>
            <w:shd w:fill="1976D2"/>
          </w:tcPr>
          <w:p>
            <w:pPr>
              <w:spacing w:before="40" w:after="40"/>
              <w:jc w:val="center"/>
            </w:pPr>
            <w:r/>
            <w:r>
              <w:rPr>
                <w:rFonts w:ascii="Calibri" w:hAnsi="Calibri"/>
                <w:b/>
                <w:color w:val="FFFFFF"/>
                <w:sz w:val="19"/>
              </w:rPr>
              <w:t>Component</w:t>
            </w:r>
          </w:p>
        </w:tc>
        <w:tc>
          <w:tcPr>
            <w:tcW w:type="dxa" w:w="3024"/>
            <w:shd w:fill="1976D2"/>
          </w:tcPr>
          <w:p>
            <w:pPr>
              <w:spacing w:before="40" w:after="40"/>
              <w:jc w:val="center"/>
            </w:pPr>
            <w:r/>
            <w:r>
              <w:rPr>
                <w:rFonts w:ascii="Calibri" w:hAnsi="Calibri"/>
                <w:b/>
                <w:color w:val="FFFFFF"/>
                <w:sz w:val="19"/>
              </w:rPr>
              <w:t>Technology</w:t>
            </w:r>
          </w:p>
        </w:tc>
        <w:tc>
          <w:tcPr>
            <w:tcW w:type="dxa" w:w="3024"/>
            <w:shd w:fill="1976D2"/>
          </w:tcPr>
          <w:p>
            <w:pPr>
              <w:spacing w:before="40" w:after="40"/>
              <w:jc w:val="center"/>
            </w:pPr>
            <w:r/>
            <w:r>
              <w:rPr>
                <w:rFonts w:ascii="Calibri" w:hAnsi="Calibri"/>
                <w:b/>
                <w:color w:val="FFFFFF"/>
                <w:sz w:val="19"/>
              </w:rPr>
              <w:t>Purpose</w:t>
            </w:r>
          </w:p>
        </w:tc>
      </w:tr>
      <w:tr>
        <w:tc>
          <w:tcPr>
            <w:tcW w:type="dxa" w:w="3024"/>
            <w:shd w:fill="FFFFFF"/>
          </w:tcPr>
          <w:p>
            <w:pPr>
              <w:spacing w:before="40" w:after="40"/>
              <w:jc w:val="left"/>
            </w:pPr>
            <w:r/>
            <w:r>
              <w:rPr>
                <w:rFonts w:ascii="Calibri" w:hAnsi="Calibri"/>
                <w:b w:val="0"/>
                <w:color w:val="333333"/>
                <w:sz w:val="18"/>
              </w:rPr>
              <w:t>Client Runtime</w:t>
            </w:r>
          </w:p>
        </w:tc>
        <w:tc>
          <w:tcPr>
            <w:tcW w:type="dxa" w:w="3024"/>
            <w:shd w:fill="FFFFFF"/>
          </w:tcPr>
          <w:p>
            <w:pPr>
              <w:spacing w:before="40" w:after="40"/>
              <w:jc w:val="left"/>
            </w:pPr>
            <w:r/>
            <w:r>
              <w:rPr>
                <w:rFonts w:ascii="Calibri" w:hAnsi="Calibri"/>
                <w:b w:val="0"/>
                <w:color w:val="333333"/>
                <w:sz w:val="18"/>
              </w:rPr>
              <w:t>Blazor WebAssembly (.NET 10)</w:t>
            </w:r>
          </w:p>
        </w:tc>
        <w:tc>
          <w:tcPr>
            <w:tcW w:type="dxa" w:w="3024"/>
            <w:shd w:fill="FFFFFF"/>
          </w:tcPr>
          <w:p>
            <w:pPr>
              <w:spacing w:before="40" w:after="40"/>
              <w:jc w:val="left"/>
            </w:pPr>
            <w:r/>
            <w:r>
              <w:rPr>
                <w:rFonts w:ascii="Calibri" w:hAnsi="Calibri"/>
                <w:b w:val="0"/>
                <w:color w:val="333333"/>
                <w:sz w:val="18"/>
              </w:rPr>
              <w:t>Browser-based UI + crypto execution</w:t>
            </w:r>
          </w:p>
        </w:tc>
      </w:tr>
      <w:tr>
        <w:tc>
          <w:tcPr>
            <w:tcW w:type="dxa" w:w="3024"/>
            <w:shd w:fill="F5F7FA"/>
          </w:tcPr>
          <w:p>
            <w:pPr>
              <w:spacing w:before="40" w:after="40"/>
              <w:jc w:val="left"/>
            </w:pPr>
            <w:r/>
            <w:r>
              <w:rPr>
                <w:rFonts w:ascii="Calibri" w:hAnsi="Calibri"/>
                <w:b w:val="0"/>
                <w:color w:val="333333"/>
                <w:sz w:val="18"/>
              </w:rPr>
              <w:t>Crypto Library</w:t>
            </w:r>
          </w:p>
        </w:tc>
        <w:tc>
          <w:tcPr>
            <w:tcW w:type="dxa" w:w="3024"/>
            <w:shd w:fill="F5F7FA"/>
          </w:tcPr>
          <w:p>
            <w:pPr>
              <w:spacing w:before="40" w:after="40"/>
              <w:jc w:val="left"/>
            </w:pPr>
            <w:r/>
            <w:r>
              <w:rPr>
                <w:rFonts w:ascii="Calibri" w:hAnsi="Calibri"/>
                <w:b w:val="0"/>
                <w:color w:val="333333"/>
                <w:sz w:val="18"/>
              </w:rPr>
              <w:t>BouncyCastle 2.6.2</w:t>
            </w:r>
          </w:p>
        </w:tc>
        <w:tc>
          <w:tcPr>
            <w:tcW w:type="dxa" w:w="3024"/>
            <w:shd w:fill="F5F7FA"/>
          </w:tcPr>
          <w:p>
            <w:pPr>
              <w:spacing w:before="40" w:after="40"/>
              <w:jc w:val="left"/>
            </w:pPr>
            <w:r/>
            <w:r>
              <w:rPr>
                <w:rFonts w:ascii="Calibri" w:hAnsi="Calibri"/>
                <w:b w:val="0"/>
                <w:color w:val="333333"/>
                <w:sz w:val="18"/>
              </w:rPr>
              <w:t>X25519, ML-KEM-768, Ed25519, ML-DSA-65, AES-GCM</w:t>
            </w:r>
          </w:p>
        </w:tc>
      </w:tr>
      <w:tr>
        <w:tc>
          <w:tcPr>
            <w:tcW w:type="dxa" w:w="3024"/>
            <w:shd w:fill="FFFFFF"/>
          </w:tcPr>
          <w:p>
            <w:pPr>
              <w:spacing w:before="40" w:after="40"/>
              <w:jc w:val="left"/>
            </w:pPr>
            <w:r/>
            <w:r>
              <w:rPr>
                <w:rFonts w:ascii="Calibri" w:hAnsi="Calibri"/>
                <w:b w:val="0"/>
                <w:color w:val="333333"/>
                <w:sz w:val="18"/>
              </w:rPr>
              <w:t>Server Framework</w:t>
            </w:r>
          </w:p>
        </w:tc>
        <w:tc>
          <w:tcPr>
            <w:tcW w:type="dxa" w:w="3024"/>
            <w:shd w:fill="FFFFFF"/>
          </w:tcPr>
          <w:p>
            <w:pPr>
              <w:spacing w:before="40" w:after="40"/>
              <w:jc w:val="left"/>
            </w:pPr>
            <w:r/>
            <w:r>
              <w:rPr>
                <w:rFonts w:ascii="Calibri" w:hAnsi="Calibri"/>
                <w:b w:val="0"/>
                <w:color w:val="333333"/>
                <w:sz w:val="18"/>
              </w:rPr>
              <w:t>ASP.NET Core 10</w:t>
            </w:r>
          </w:p>
        </w:tc>
        <w:tc>
          <w:tcPr>
            <w:tcW w:type="dxa" w:w="3024"/>
            <w:shd w:fill="FFFFFF"/>
          </w:tcPr>
          <w:p>
            <w:pPr>
              <w:spacing w:before="40" w:after="40"/>
              <w:jc w:val="left"/>
            </w:pPr>
            <w:r/>
            <w:r>
              <w:rPr>
                <w:rFonts w:ascii="Calibri" w:hAnsi="Calibri"/>
                <w:b w:val="0"/>
                <w:color w:val="333333"/>
                <w:sz w:val="18"/>
              </w:rPr>
              <w:t>REST API endpoints + middleware</w:t>
            </w:r>
          </w:p>
        </w:tc>
      </w:tr>
      <w:tr>
        <w:tc>
          <w:tcPr>
            <w:tcW w:type="dxa" w:w="3024"/>
            <w:shd w:fill="F5F7FA"/>
          </w:tcPr>
          <w:p>
            <w:pPr>
              <w:spacing w:before="40" w:after="40"/>
              <w:jc w:val="left"/>
            </w:pPr>
            <w:r/>
            <w:r>
              <w:rPr>
                <w:rFonts w:ascii="Calibri" w:hAnsi="Calibri"/>
                <w:b w:val="0"/>
                <w:color w:val="333333"/>
                <w:sz w:val="18"/>
              </w:rPr>
              <w:t>Real-Time</w:t>
            </w:r>
          </w:p>
        </w:tc>
        <w:tc>
          <w:tcPr>
            <w:tcW w:type="dxa" w:w="3024"/>
            <w:shd w:fill="F5F7FA"/>
          </w:tcPr>
          <w:p>
            <w:pPr>
              <w:spacing w:before="40" w:after="40"/>
              <w:jc w:val="left"/>
            </w:pPr>
            <w:r/>
            <w:r>
              <w:rPr>
                <w:rFonts w:ascii="Calibri" w:hAnsi="Calibri"/>
                <w:b w:val="0"/>
                <w:color w:val="333333"/>
                <w:sz w:val="18"/>
              </w:rPr>
              <w:t>SignalR</w:t>
            </w:r>
          </w:p>
        </w:tc>
        <w:tc>
          <w:tcPr>
            <w:tcW w:type="dxa" w:w="3024"/>
            <w:shd w:fill="F5F7FA"/>
          </w:tcPr>
          <w:p>
            <w:pPr>
              <w:spacing w:before="40" w:after="40"/>
              <w:jc w:val="left"/>
            </w:pPr>
            <w:r/>
            <w:r>
              <w:rPr>
                <w:rFonts w:ascii="Calibri" w:hAnsi="Calibri"/>
                <w:b w:val="0"/>
                <w:color w:val="333333"/>
                <w:sz w:val="18"/>
              </w:rPr>
              <w:t>WebSocket-based message delivery + events</w:t>
            </w:r>
          </w:p>
        </w:tc>
      </w:tr>
      <w:tr>
        <w:tc>
          <w:tcPr>
            <w:tcW w:type="dxa" w:w="3024"/>
            <w:shd w:fill="FFFFFF"/>
          </w:tcPr>
          <w:p>
            <w:pPr>
              <w:spacing w:before="40" w:after="40"/>
              <w:jc w:val="left"/>
            </w:pPr>
            <w:r/>
            <w:r>
              <w:rPr>
                <w:rFonts w:ascii="Calibri" w:hAnsi="Calibri"/>
                <w:b w:val="0"/>
                <w:color w:val="333333"/>
                <w:sz w:val="18"/>
              </w:rPr>
              <w:t>Authentication</w:t>
            </w:r>
          </w:p>
        </w:tc>
        <w:tc>
          <w:tcPr>
            <w:tcW w:type="dxa" w:w="3024"/>
            <w:shd w:fill="FFFFFF"/>
          </w:tcPr>
          <w:p>
            <w:pPr>
              <w:spacing w:before="40" w:after="40"/>
              <w:jc w:val="left"/>
            </w:pPr>
            <w:r/>
            <w:r>
              <w:rPr>
                <w:rFonts w:ascii="Calibri" w:hAnsi="Calibri"/>
                <w:b w:val="0"/>
                <w:color w:val="333333"/>
                <w:sz w:val="18"/>
              </w:rPr>
              <w:t>ASP.NET Core Identity + JWT</w:t>
            </w:r>
          </w:p>
        </w:tc>
        <w:tc>
          <w:tcPr>
            <w:tcW w:type="dxa" w:w="3024"/>
            <w:shd w:fill="FFFFFF"/>
          </w:tcPr>
          <w:p>
            <w:pPr>
              <w:spacing w:before="40" w:after="40"/>
              <w:jc w:val="left"/>
            </w:pPr>
            <w:r/>
            <w:r>
              <w:rPr>
                <w:rFonts w:ascii="Calibri" w:hAnsi="Calibri"/>
                <w:b w:val="0"/>
                <w:color w:val="333333"/>
                <w:sz w:val="18"/>
              </w:rPr>
              <w:t>User registration, login, token issuance</w:t>
            </w:r>
          </w:p>
        </w:tc>
      </w:tr>
      <w:tr>
        <w:tc>
          <w:tcPr>
            <w:tcW w:type="dxa" w:w="3024"/>
            <w:shd w:fill="F5F7FA"/>
          </w:tcPr>
          <w:p>
            <w:pPr>
              <w:spacing w:before="40" w:after="40"/>
              <w:jc w:val="left"/>
            </w:pPr>
            <w:r/>
            <w:r>
              <w:rPr>
                <w:rFonts w:ascii="Calibri" w:hAnsi="Calibri"/>
                <w:b w:val="0"/>
                <w:color w:val="333333"/>
                <w:sz w:val="18"/>
              </w:rPr>
              <w:t>ORM</w:t>
            </w:r>
          </w:p>
        </w:tc>
        <w:tc>
          <w:tcPr>
            <w:tcW w:type="dxa" w:w="3024"/>
            <w:shd w:fill="F5F7FA"/>
          </w:tcPr>
          <w:p>
            <w:pPr>
              <w:spacing w:before="40" w:after="40"/>
              <w:jc w:val="left"/>
            </w:pPr>
            <w:r/>
            <w:r>
              <w:rPr>
                <w:rFonts w:ascii="Calibri" w:hAnsi="Calibri"/>
                <w:b w:val="0"/>
                <w:color w:val="333333"/>
                <w:sz w:val="18"/>
              </w:rPr>
              <w:t>Entity Framework Core 10</w:t>
            </w:r>
          </w:p>
        </w:tc>
        <w:tc>
          <w:tcPr>
            <w:tcW w:type="dxa" w:w="3024"/>
            <w:shd w:fill="F5F7FA"/>
          </w:tcPr>
          <w:p>
            <w:pPr>
              <w:spacing w:before="40" w:after="40"/>
              <w:jc w:val="left"/>
            </w:pPr>
            <w:r/>
            <w:r>
              <w:rPr>
                <w:rFonts w:ascii="Calibri" w:hAnsi="Calibri"/>
                <w:b w:val="0"/>
                <w:color w:val="333333"/>
                <w:sz w:val="18"/>
              </w:rPr>
              <w:t>Code First migrations, SQL Server provider</w:t>
            </w:r>
          </w:p>
        </w:tc>
      </w:tr>
      <w:tr>
        <w:tc>
          <w:tcPr>
            <w:tcW w:type="dxa" w:w="3024"/>
            <w:shd w:fill="FFFFFF"/>
          </w:tcPr>
          <w:p>
            <w:pPr>
              <w:spacing w:before="40" w:after="40"/>
              <w:jc w:val="left"/>
            </w:pPr>
            <w:r/>
            <w:r>
              <w:rPr>
                <w:rFonts w:ascii="Calibri" w:hAnsi="Calibri"/>
                <w:b w:val="0"/>
                <w:color w:val="333333"/>
                <w:sz w:val="18"/>
              </w:rPr>
              <w:t>Database</w:t>
            </w:r>
          </w:p>
        </w:tc>
        <w:tc>
          <w:tcPr>
            <w:tcW w:type="dxa" w:w="3024"/>
            <w:shd w:fill="FFFFFF"/>
          </w:tcPr>
          <w:p>
            <w:pPr>
              <w:spacing w:before="40" w:after="40"/>
              <w:jc w:val="left"/>
            </w:pPr>
            <w:r/>
            <w:r>
              <w:rPr>
                <w:rFonts w:ascii="Calibri" w:hAnsi="Calibri"/>
                <w:b w:val="0"/>
                <w:color w:val="333333"/>
                <w:sz w:val="18"/>
              </w:rPr>
              <w:t>SQL Server 2022</w:t>
            </w:r>
          </w:p>
        </w:tc>
        <w:tc>
          <w:tcPr>
            <w:tcW w:type="dxa" w:w="3024"/>
            <w:shd w:fill="FFFFFF"/>
          </w:tcPr>
          <w:p>
            <w:pPr>
              <w:spacing w:before="40" w:after="40"/>
              <w:jc w:val="left"/>
            </w:pPr>
            <w:r/>
            <w:r>
              <w:rPr>
                <w:rFonts w:ascii="Calibri" w:hAnsi="Calibri"/>
                <w:b w:val="0"/>
                <w:color w:val="333333"/>
                <w:sz w:val="18"/>
              </w:rPr>
              <w:t>Persistent storage (encrypted data only)</w:t>
            </w:r>
          </w:p>
        </w:tc>
      </w:tr>
      <w:tr>
        <w:tc>
          <w:tcPr>
            <w:tcW w:type="dxa" w:w="3024"/>
            <w:shd w:fill="F5F7FA"/>
          </w:tcPr>
          <w:p>
            <w:pPr>
              <w:spacing w:before="40" w:after="40"/>
              <w:jc w:val="left"/>
            </w:pPr>
            <w:r/>
            <w:r>
              <w:rPr>
                <w:rFonts w:ascii="Calibri" w:hAnsi="Calibri"/>
                <w:b w:val="0"/>
                <w:color w:val="333333"/>
                <w:sz w:val="18"/>
              </w:rPr>
              <w:t>Client Storage</w:t>
            </w:r>
          </w:p>
        </w:tc>
        <w:tc>
          <w:tcPr>
            <w:tcW w:type="dxa" w:w="3024"/>
            <w:shd w:fill="F5F7FA"/>
          </w:tcPr>
          <w:p>
            <w:pPr>
              <w:spacing w:before="40" w:after="40"/>
              <w:jc w:val="left"/>
            </w:pPr>
            <w:r/>
            <w:r>
              <w:rPr>
                <w:rFonts w:ascii="Calibri" w:hAnsi="Calibri"/>
                <w:b w:val="0"/>
                <w:color w:val="333333"/>
                <w:sz w:val="18"/>
              </w:rPr>
              <w:t>Browser IndexedDB</w:t>
            </w:r>
          </w:p>
        </w:tc>
        <w:tc>
          <w:tcPr>
            <w:tcW w:type="dxa" w:w="3024"/>
            <w:shd w:fill="F5F7FA"/>
          </w:tcPr>
          <w:p>
            <w:pPr>
              <w:spacing w:before="40" w:after="40"/>
              <w:jc w:val="left"/>
            </w:pPr>
            <w:r/>
            <w:r>
              <w:rPr>
                <w:rFonts w:ascii="Calibri" w:hAnsi="Calibri"/>
                <w:b w:val="0"/>
                <w:color w:val="333333"/>
                <w:sz w:val="18"/>
              </w:rPr>
              <w:t>Private keys, session state, tokens</w:t>
            </w:r>
          </w:p>
        </w:tc>
      </w:tr>
    </w:tbl>
    <w:p>
      <w:pPr>
        <w:spacing w:before="80" w:after="280"/>
        <w:jc w:val="center"/>
      </w:pPr>
      <w:r>
        <w:rPr>
          <w:rFonts w:ascii="Calibri" w:hAnsi="Calibri"/>
          <w:i/>
          <w:color w:val="757575"/>
          <w:sz w:val="18"/>
        </w:rPr>
        <w:t>Table 1: Technology stack components and their roles.</w:t>
      </w:r>
    </w:p>
    <w:p>
      <w:pPr>
        <w:pStyle w:val="Heading1"/>
      </w:pPr>
      <w:r>
        <w:t>3. Cryptographic Model</w:t>
      </w:r>
    </w:p>
    <w:p>
      <w:pPr>
        <w:pStyle w:val="Heading2"/>
      </w:pPr>
      <w:r>
        <w:t>3.1 Hybrid X3DH Key Agreement</w:t>
      </w:r>
    </w:p>
    <w:p>
      <w:r>
        <w:t>The Extended Triple Diffie-Hellman (X3DH) protocol, originally designed by Marlinspike and Perrin for the Signal Protocol [3], establishes a shared secret between two parties who may not be simultaneously online. ToledoMessage extends X3DH by incorporating ML-KEM-768 key encapsulation alongside the standard X25519 Diffie-Hellman exchanges.</w:t>
      </w:r>
    </w:p>
    <w:p>
      <w:r>
        <w:t>Each device registers the following pre-key bundle with the server:</w:t>
      </w:r>
    </w:p>
    <w:p>
      <w:pPr>
        <w:pStyle w:val="ListBullet"/>
        <w:spacing w:after="60"/>
      </w:pPr>
      <w:r>
        <w:rPr>
          <w:rFonts w:ascii="Calibri" w:hAnsi="Calibri"/>
          <w:b/>
          <w:color w:val="333333"/>
          <w:sz w:val="20"/>
        </w:rPr>
        <w:t xml:space="preserve">Identity Key: </w:t>
      </w:r>
      <w:r>
        <w:rPr>
          <w:rFonts w:ascii="Calibri" w:hAnsi="Calibri"/>
          <w:b w:val="0"/>
          <w:color w:val="333333"/>
          <w:sz w:val="20"/>
        </w:rPr>
        <w:t>Long-term Ed25519 public key (32 bytes) + ML-DSA-65 public key (1,952 bytes)</w:t>
      </w:r>
    </w:p>
    <w:p>
      <w:pPr>
        <w:pStyle w:val="ListBullet"/>
        <w:spacing w:after="60"/>
      </w:pPr>
      <w:r>
        <w:rPr>
          <w:rFonts w:ascii="Calibri" w:hAnsi="Calibri"/>
          <w:b/>
          <w:color w:val="333333"/>
          <w:sz w:val="20"/>
        </w:rPr>
        <w:t xml:space="preserve">Signed Pre-Key: </w:t>
      </w:r>
      <w:r>
        <w:rPr>
          <w:rFonts w:ascii="Calibri" w:hAnsi="Calibri"/>
          <w:b w:val="0"/>
          <w:color w:val="333333"/>
          <w:sz w:val="20"/>
        </w:rPr>
        <w:t>Medium-term X25519 public key (32 bytes), signed with hybrid signature</w:t>
      </w:r>
    </w:p>
    <w:p>
      <w:pPr>
        <w:pStyle w:val="ListBullet"/>
        <w:spacing w:after="60"/>
      </w:pPr>
      <w:r>
        <w:rPr>
          <w:rFonts w:ascii="Calibri" w:hAnsi="Calibri"/>
          <w:b/>
          <w:color w:val="333333"/>
          <w:sz w:val="20"/>
        </w:rPr>
        <w:t xml:space="preserve">Kyber Pre-Key: </w:t>
      </w:r>
      <w:r>
        <w:rPr>
          <w:rFonts w:ascii="Calibri" w:hAnsi="Calibri"/>
          <w:b w:val="0"/>
          <w:color w:val="333333"/>
          <w:sz w:val="20"/>
        </w:rPr>
        <w:t>ML-KEM-768 encapsulation key (1,184 bytes), signed with hybrid signature</w:t>
      </w:r>
    </w:p>
    <w:p>
      <w:pPr>
        <w:pStyle w:val="ListBullet"/>
        <w:spacing w:after="60"/>
      </w:pPr>
      <w:r>
        <w:rPr>
          <w:rFonts w:ascii="Calibri" w:hAnsi="Calibri"/>
          <w:b/>
          <w:color w:val="333333"/>
          <w:sz w:val="20"/>
        </w:rPr>
        <w:t xml:space="preserve">One-Time Pre-Keys: </w:t>
      </w:r>
      <w:r>
        <w:rPr>
          <w:rFonts w:ascii="Calibri" w:hAnsi="Calibri"/>
          <w:b w:val="0"/>
          <w:color w:val="333333"/>
          <w:sz w:val="20"/>
        </w:rPr>
        <w:t>Batch of 10 ephemeral X25519 public keys (32 bytes each)</w:t>
      </w:r>
    </w:p>
    <w:p>
      <w:pPr>
        <w:spacing w:before="200" w:after="80"/>
      </w:pPr>
      <w:r>
        <w:rPr>
          <w:rFonts w:ascii="Calibri" w:hAnsi="Calibri"/>
          <w:b/>
          <w:color w:val="1565C0"/>
          <w:sz w:val="22"/>
        </w:rPr>
        <w:t>Algorithm 1: Hybrid X3DH Initiator (Alice)</w:t>
      </w:r>
    </w:p>
    <w:tbl>
      <w:tblPr>
        <w:tblW w:type="auto" w:w="0"/>
        <w:jc w:val="center"/>
        <w:tblLook w:firstColumn="1" w:firstRow="1" w:lastColumn="0" w:lastRow="0" w:noHBand="0" w:noVBand="1" w:val="04A0"/>
        <w:tblBorders>
          <w:top w:val="single" w:sz="4" w:color="D0D8E0"/>
          <w:left w:val="single" w:sz="4" w:color="D0D8E0"/>
          <w:bottom w:val="single" w:sz="4" w:color="D0D8E0"/>
          <w:right w:val="single" w:sz="4" w:color="D0D8E0"/>
        </w:tblBorders>
      </w:tblPr>
      <w:tblGrid>
        <w:gridCol w:w="9072"/>
      </w:tblGrid>
      <w:tr>
        <w:tc>
          <w:tcPr>
            <w:tcW w:type="dxa" w:w="9072"/>
            <w:shd w:fill="F0F4F8"/>
          </w:tcPr>
          <w:p>
            <w:pPr>
              <w:spacing w:before="120" w:after="120"/>
            </w:pPr>
            <w:r>
              <w:rPr>
                <w:rFonts w:ascii="Consolas" w:hAnsi="Consolas"/>
                <w:color w:val="1A1A2E"/>
                <w:sz w:val="17"/>
              </w:rPr>
              <w:t>function X3DH_Initiate(BobBundle):</w:t>
            </w:r>
            <w:r>
              <w:br/>
            </w:r>
            <w:r>
              <w:rPr>
                <w:rFonts w:ascii="Consolas" w:hAnsi="Consolas"/>
                <w:color w:val="1A1A2E"/>
                <w:sz w:val="17"/>
              </w:rPr>
              <w:t xml:space="preserve">  1. Verify(BobBundle.signedPreKey, BobBundle.identityKey)</w:t>
            </w:r>
            <w:r>
              <w:br/>
            </w:r>
            <w:r>
              <w:rPr>
                <w:rFonts w:ascii="Consolas" w:hAnsi="Consolas"/>
                <w:color w:val="1A1A2E"/>
                <w:sz w:val="17"/>
              </w:rPr>
              <w:t xml:space="preserve">  2. Verify(BobBundle.kyberPreKey, BobBundle.identityKey)</w:t>
            </w:r>
            <w:r>
              <w:br/>
            </w:r>
            <w:r>
              <w:rPr>
                <w:rFonts w:ascii="Consolas" w:hAnsi="Consolas"/>
                <w:color w:val="1A1A2E"/>
                <w:sz w:val="17"/>
              </w:rPr>
              <w:t xml:space="preserve">  3. (eph_pub, eph_priv) = X25519.GenerateKeyPair()</w:t>
            </w:r>
            <w:r>
              <w:br/>
            </w:r>
            <w:r>
              <w:rPr>
                <w:rFonts w:ascii="Consolas" w:hAnsi="Consolas"/>
                <w:color w:val="1A1A2E"/>
                <w:sz w:val="17"/>
              </w:rPr>
              <w:t xml:space="preserve">  4. DH1 = X25519(eph_priv, BobBundle.signedPreKey)     // 32 bytes</w:t>
            </w:r>
            <w:r>
              <w:br/>
            </w:r>
            <w:r>
              <w:rPr>
                <w:rFonts w:ascii="Consolas" w:hAnsi="Consolas"/>
                <w:color w:val="1A1A2E"/>
                <w:sz w:val="17"/>
              </w:rPr>
              <w:t xml:space="preserve">  5. DH2 = X25519(eph_priv, BobBundle.oneTimePreKey)    // 32 bytes</w:t>
            </w:r>
            <w:r>
              <w:br/>
            </w:r>
            <w:r>
              <w:rPr>
                <w:rFonts w:ascii="Consolas" w:hAnsi="Consolas"/>
                <w:color w:val="1A1A2E"/>
                <w:sz w:val="17"/>
              </w:rPr>
              <w:t xml:space="preserve">  6. (kem_ct, kem_ss) = ML-KEM-768.Encapsulate(BobBundle.kyberPreKey)</w:t>
            </w:r>
            <w:r>
              <w:br/>
            </w:r>
            <w:r>
              <w:rPr>
                <w:rFonts w:ascii="Consolas" w:hAnsi="Consolas"/>
                <w:color w:val="1A1A2E"/>
                <w:sz w:val="17"/>
              </w:rPr>
              <w:t xml:space="preserve">  7. ikm = DH1 || DH2 || kem_ss</w:t>
            </w:r>
            <w:r>
              <w:br/>
            </w:r>
            <w:r>
              <w:rPr>
                <w:rFonts w:ascii="Consolas" w:hAnsi="Consolas"/>
                <w:color w:val="1A1A2E"/>
                <w:sz w:val="17"/>
              </w:rPr>
              <w:t xml:space="preserve">  8. SK = HKDF-SHA256(ikm, info="ToledoMessage-X3DH-v1", len=64)</w:t>
            </w:r>
            <w:r>
              <w:br/>
            </w:r>
            <w:r>
              <w:rPr>
                <w:rFonts w:ascii="Consolas" w:hAnsi="Consolas"/>
                <w:color w:val="1A1A2E"/>
                <w:sz w:val="17"/>
              </w:rPr>
              <w:t xml:space="preserve">  9. rootKey = SK[0:32], chainKey = SK[32:64]</w:t>
            </w:r>
            <w:r>
              <w:br/>
            </w:r>
            <w:r>
              <w:rPr>
                <w:rFonts w:ascii="Consolas" w:hAnsi="Consolas"/>
                <w:color w:val="1A1A2E"/>
                <w:sz w:val="17"/>
              </w:rPr>
              <w:t xml:space="preserve">  return (rootKey, chainKey, eph_pub, kem_ct)</w:t>
            </w:r>
          </w:p>
        </w:tc>
      </w:tr>
    </w:tbl>
    <w:p>
      <w:r>
        <w:t>The critical security property of this hybrid scheme is that the shared secret SK depends on material from both the classical X25519 exchanges and the post-quantum ML-KEM-768 encapsulation. An attacker must break both X25519 (solving the elliptic curve discrete logarithm problem) and ML-KEM-768 (solving the Module-LWE problem) to recover the session keys.</w:t>
      </w:r>
    </w:p>
    <w:p>
      <w:pPr>
        <w:pStyle w:val="Heading2"/>
      </w:pPr>
      <w:r>
        <w:t>3.2 Double Ratchet Protocol</w:t>
      </w:r>
    </w:p>
    <w:p>
      <w:r>
        <w:t>After session establishment via X3DH, ToledoMessage employs the Double Ratchet algorithm [4] to derive unique encryption keys for each message. The protocol maintains three key chains:</w:t>
      </w:r>
    </w:p>
    <w:p>
      <w:pPr>
        <w:pStyle w:val="ListBullet"/>
        <w:spacing w:after="60"/>
      </w:pPr>
      <w:r>
        <w:rPr>
          <w:rFonts w:ascii="Calibri" w:hAnsi="Calibri"/>
          <w:b/>
          <w:color w:val="333333"/>
          <w:sz w:val="20"/>
        </w:rPr>
        <w:t xml:space="preserve">Root Chain: </w:t>
      </w:r>
      <w:r>
        <w:rPr>
          <w:rFonts w:ascii="Calibri" w:hAnsi="Calibri"/>
          <w:b w:val="0"/>
          <w:color w:val="333333"/>
          <w:sz w:val="20"/>
        </w:rPr>
        <w:t>Updated via DH ratchet steps, producing new chain keys. Uses HKDF-SHA256 with the current root key as salt and a new DH shared secret as input key material.</w:t>
      </w:r>
    </w:p>
    <w:p>
      <w:pPr>
        <w:pStyle w:val="ListBullet"/>
        <w:spacing w:after="60"/>
      </w:pPr>
      <w:r>
        <w:rPr>
          <w:rFonts w:ascii="Calibri" w:hAnsi="Calibri"/>
          <w:b/>
          <w:color w:val="333333"/>
          <w:sz w:val="20"/>
        </w:rPr>
        <w:t xml:space="preserve">Sending Chain: </w:t>
      </w:r>
      <w:r>
        <w:rPr>
          <w:rFonts w:ascii="Calibri" w:hAnsi="Calibri"/>
          <w:b w:val="0"/>
          <w:color w:val="333333"/>
          <w:sz w:val="20"/>
        </w:rPr>
        <w:t>Derives per-message keys for outgoing messages. Each step uses HMAC-SHA256 with the chain key to produce a message key and the next chain key.</w:t>
      </w:r>
    </w:p>
    <w:p>
      <w:pPr>
        <w:pStyle w:val="ListBullet"/>
        <w:spacing w:after="60"/>
      </w:pPr>
      <w:r>
        <w:rPr>
          <w:rFonts w:ascii="Calibri" w:hAnsi="Calibri"/>
          <w:b/>
          <w:color w:val="333333"/>
          <w:sz w:val="20"/>
        </w:rPr>
        <w:t xml:space="preserve">Receiving Chain: </w:t>
      </w:r>
      <w:r>
        <w:rPr>
          <w:rFonts w:ascii="Calibri" w:hAnsi="Calibri"/>
          <w:b w:val="0"/>
          <w:color w:val="333333"/>
          <w:sz w:val="20"/>
        </w:rPr>
        <w:t>Symmetric to the sending chain, used for decrypting incoming messages. Maintains separate counters for out-of-order message handling.</w:t>
      </w:r>
    </w:p>
    <w:p>
      <w:pPr>
        <w:spacing w:before="200" w:after="80"/>
      </w:pPr>
      <w:r>
        <w:rPr>
          <w:rFonts w:ascii="Calibri" w:hAnsi="Calibri"/>
          <w:b/>
          <w:color w:val="1565C0"/>
          <w:sz w:val="22"/>
        </w:rPr>
        <w:t>Algorithm 2: Double Ratchet Message Encryption</w:t>
      </w:r>
    </w:p>
    <w:tbl>
      <w:tblPr>
        <w:tblW w:type="auto" w:w="0"/>
        <w:jc w:val="center"/>
        <w:tblLook w:firstColumn="1" w:firstRow="1" w:lastColumn="0" w:lastRow="0" w:noHBand="0" w:noVBand="1" w:val="04A0"/>
        <w:tblBorders>
          <w:top w:val="single" w:sz="4" w:color="D0D8E0"/>
          <w:left w:val="single" w:sz="4" w:color="D0D8E0"/>
          <w:bottom w:val="single" w:sz="4" w:color="D0D8E0"/>
          <w:right w:val="single" w:sz="4" w:color="D0D8E0"/>
        </w:tblBorders>
      </w:tblPr>
      <w:tblGrid>
        <w:gridCol w:w="9072"/>
      </w:tblGrid>
      <w:tr>
        <w:tc>
          <w:tcPr>
            <w:tcW w:type="dxa" w:w="9072"/>
            <w:shd w:fill="F0F4F8"/>
          </w:tcPr>
          <w:p>
            <w:pPr>
              <w:spacing w:before="120" w:after="120"/>
            </w:pPr>
            <w:r>
              <w:rPr>
                <w:rFonts w:ascii="Consolas" w:hAnsi="Consolas"/>
                <w:color w:val="1A1A2E"/>
                <w:sz w:val="17"/>
              </w:rPr>
              <w:t>function RatchetEncrypt(session, plaintext):</w:t>
            </w:r>
            <w:r>
              <w:br/>
            </w:r>
            <w:r>
              <w:rPr>
                <w:rFonts w:ascii="Consolas" w:hAnsi="Consolas"/>
                <w:color w:val="1A1A2E"/>
                <w:sz w:val="17"/>
              </w:rPr>
              <w:t xml:space="preserve">  1. (session.sendChainKey, messageKey) = KDF_CK(session.sendChainKey)</w:t>
            </w:r>
            <w:r>
              <w:br/>
            </w:r>
            <w:r>
              <w:rPr>
                <w:rFonts w:ascii="Consolas" w:hAnsi="Consolas"/>
                <w:color w:val="1A1A2E"/>
                <w:sz w:val="17"/>
              </w:rPr>
              <w:t xml:space="preserve">  2. session.sendMessageNumber += 1</w:t>
            </w:r>
            <w:r>
              <w:br/>
            </w:r>
            <w:r>
              <w:rPr>
                <w:rFonts w:ascii="Consolas" w:hAnsi="Consolas"/>
                <w:color w:val="1A1A2E"/>
                <w:sz w:val="17"/>
              </w:rPr>
              <w:t xml:space="preserve">  3. nonce = SecureRandom(12 bytes)</w:t>
            </w:r>
            <w:r>
              <w:br/>
            </w:r>
            <w:r>
              <w:rPr>
                <w:rFonts w:ascii="Consolas" w:hAnsi="Consolas"/>
                <w:color w:val="1A1A2E"/>
                <w:sz w:val="17"/>
              </w:rPr>
              <w:t xml:space="preserve">  4. ciphertext = AES-256-GCM.Encrypt(messageKey, nonce, plaintext)</w:t>
            </w:r>
            <w:r>
              <w:br/>
            </w:r>
            <w:r>
              <w:rPr>
                <w:rFonts w:ascii="Consolas" w:hAnsi="Consolas"/>
                <w:color w:val="1A1A2E"/>
                <w:sz w:val="17"/>
              </w:rPr>
              <w:t xml:space="preserve">  5. SecureErase(messageKey)  // Immediately delete after use</w:t>
            </w:r>
            <w:r>
              <w:br/>
            </w:r>
            <w:r>
              <w:rPr>
                <w:rFonts w:ascii="Consolas" w:hAnsi="Consolas"/>
                <w:color w:val="1A1A2E"/>
                <w:sz w:val="17"/>
              </w:rPr>
              <w:t xml:space="preserve">  return (nonce || ciphertext || authTag)</w:t>
            </w:r>
          </w:p>
        </w:tc>
      </w:tr>
    </w:tbl>
    <w:p>
      <w:r>
        <w:t>This construction provides two critical security properties: (1) Forward Secrecy — compromise of the current session state does not reveal past message keys, as each chain key is immediately replaced after deriving a message key; (2) Break-in Recovery — if an attacker obtains the current session state, a new DH ratchet step (triggered by receiving a message with a new DH public key) establishes a fresh shared secret, healing the session.</w:t>
      </w:r>
    </w:p>
    <w:p>
      <w:pPr>
        <w:pStyle w:val="Heading2"/>
      </w:pPr>
      <w:r>
        <w:t>3.3 AES-256-GCM Authenticated Encryption</w:t>
      </w:r>
    </w:p>
    <w:p>
      <w:r>
        <w:t>Each message is encrypted using AES-256-GCM (Galois/Counter Mode), an AEAD (Authenticated Encryption with Associated Data) cipher. The implementation uses a 256-bit key derived from the Double Ratchet, a 96-bit random nonce generated per message, and produces a 128-bit authentication tag. The wire format is:</w:t>
      </w:r>
    </w:p>
    <w:p>
      <w:pPr>
        <w:spacing w:before="200" w:after="80"/>
      </w:pPr>
      <w:r>
        <w:rPr>
          <w:rFonts w:ascii="Calibri" w:hAnsi="Calibri"/>
          <w:b/>
          <w:color w:val="1565C0"/>
          <w:sz w:val="22"/>
        </w:rPr>
        <w:t>Wire Format</w:t>
      </w:r>
    </w:p>
    <w:tbl>
      <w:tblPr>
        <w:tblW w:type="auto" w:w="0"/>
        <w:jc w:val="center"/>
        <w:tblLook w:firstColumn="1" w:firstRow="1" w:lastColumn="0" w:lastRow="0" w:noHBand="0" w:noVBand="1" w:val="04A0"/>
        <w:tblBorders>
          <w:top w:val="single" w:sz="4" w:color="D0D8E0"/>
          <w:left w:val="single" w:sz="4" w:color="D0D8E0"/>
          <w:bottom w:val="single" w:sz="4" w:color="D0D8E0"/>
          <w:right w:val="single" w:sz="4" w:color="D0D8E0"/>
        </w:tblBorders>
      </w:tblPr>
      <w:tblGrid>
        <w:gridCol w:w="9072"/>
      </w:tblGrid>
      <w:tr>
        <w:tc>
          <w:tcPr>
            <w:tcW w:type="dxa" w:w="9072"/>
            <w:shd w:fill="F0F4F8"/>
          </w:tcPr>
          <w:p>
            <w:pPr>
              <w:spacing w:before="120" w:after="120"/>
            </w:pPr>
            <w:r>
              <w:rPr>
                <w:rFonts w:ascii="Consolas" w:hAnsi="Consolas"/>
                <w:color w:val="1A1A2E"/>
                <w:sz w:val="17"/>
              </w:rPr>
              <w:t>output = nonce(12 bytes) || ciphertext(variable) || authTag(16 bytes)</w:t>
            </w:r>
            <w:r>
              <w:br/>
            </w:r>
            <w:r>
              <w:rPr>
                <w:rFonts w:ascii="Consolas" w:hAnsi="Consolas"/>
                <w:color w:val="1A1A2E"/>
                <w:sz w:val="17"/>
              </w:rPr>
              <w:t>transport = Base64Encode(output)</w:t>
            </w:r>
          </w:p>
        </w:tc>
      </w:tr>
    </w:tbl>
    <w:p>
      <w:pPr>
        <w:pStyle w:val="Heading2"/>
      </w:pPr>
      <w:r>
        <w:t>3.4 Hybrid Digital Signatures</w:t>
      </w:r>
    </w:p>
    <w:p>
      <w:r>
        <w:t>ToledoMessage employs a hybrid signature scheme combining Ed25519 (classical, 64-byte signatures) with ML-DSA-65 (post-quantum, 3,309-byte signatures). The HybridSigner class produces signatures by concatenating both: signature = Ed25519.Sign(m) || ML-DSA-65.Sign(m). Verification requires both components to pass independently, ensuring that the compromise of one scheme does not invalidate the authentication guarantee.</w:t>
      </w:r>
    </w:p>
    <w:tbl>
      <w:tblPr>
        <w:tblW w:type="auto" w:w="0"/>
        <w:jc w:val="center"/>
        <w:tblLook w:firstColumn="1" w:firstRow="1" w:lastColumn="0" w:lastRow="0" w:noHBand="0" w:noVBand="1" w:val="04A0"/>
      </w:tblPr>
      <w:tblGrid>
        <w:gridCol w:w="2268"/>
        <w:gridCol w:w="2268"/>
        <w:gridCol w:w="2268"/>
        <w:gridCol w:w="2268"/>
      </w:tblGrid>
      <w:tr>
        <w:tc>
          <w:tcPr>
            <w:tcW w:type="dxa" w:w="2268"/>
            <w:shd w:fill="7C4DFF"/>
          </w:tcPr>
          <w:p>
            <w:pPr>
              <w:spacing w:before="40" w:after="40"/>
              <w:jc w:val="center"/>
            </w:pPr>
            <w:r/>
            <w:r>
              <w:rPr>
                <w:rFonts w:ascii="Calibri" w:hAnsi="Calibri"/>
                <w:b/>
                <w:color w:val="FFFFFF"/>
                <w:sz w:val="19"/>
              </w:rPr>
              <w:t>Property</w:t>
            </w:r>
          </w:p>
        </w:tc>
        <w:tc>
          <w:tcPr>
            <w:tcW w:type="dxa" w:w="2268"/>
            <w:shd w:fill="7C4DFF"/>
          </w:tcPr>
          <w:p>
            <w:pPr>
              <w:spacing w:before="40" w:after="40"/>
              <w:jc w:val="center"/>
            </w:pPr>
            <w:r/>
            <w:r>
              <w:rPr>
                <w:rFonts w:ascii="Calibri" w:hAnsi="Calibri"/>
                <w:b/>
                <w:color w:val="FFFFFF"/>
                <w:sz w:val="19"/>
              </w:rPr>
              <w:t>Ed25519</w:t>
            </w:r>
          </w:p>
        </w:tc>
        <w:tc>
          <w:tcPr>
            <w:tcW w:type="dxa" w:w="2268"/>
            <w:shd w:fill="7C4DFF"/>
          </w:tcPr>
          <w:p>
            <w:pPr>
              <w:spacing w:before="40" w:after="40"/>
              <w:jc w:val="center"/>
            </w:pPr>
            <w:r/>
            <w:r>
              <w:rPr>
                <w:rFonts w:ascii="Calibri" w:hAnsi="Calibri"/>
                <w:b/>
                <w:color w:val="FFFFFF"/>
                <w:sz w:val="19"/>
              </w:rPr>
              <w:t>ML-DSA-65</w:t>
            </w:r>
          </w:p>
        </w:tc>
        <w:tc>
          <w:tcPr>
            <w:tcW w:type="dxa" w:w="2268"/>
            <w:shd w:fill="7C4DFF"/>
          </w:tcPr>
          <w:p>
            <w:pPr>
              <w:spacing w:before="40" w:after="40"/>
              <w:jc w:val="center"/>
            </w:pPr>
            <w:r/>
            <w:r>
              <w:rPr>
                <w:rFonts w:ascii="Calibri" w:hAnsi="Calibri"/>
                <w:b/>
                <w:color w:val="FFFFFF"/>
                <w:sz w:val="19"/>
              </w:rPr>
              <w:t>Hybrid (Combined)</w:t>
            </w:r>
          </w:p>
        </w:tc>
      </w:tr>
      <w:tr>
        <w:tc>
          <w:tcPr>
            <w:tcW w:type="dxa" w:w="2268"/>
            <w:shd w:fill="FFFFFF"/>
          </w:tcPr>
          <w:p>
            <w:pPr>
              <w:spacing w:before="40" w:after="40"/>
              <w:jc w:val="left"/>
            </w:pPr>
            <w:r/>
            <w:r>
              <w:rPr>
                <w:rFonts w:ascii="Calibri" w:hAnsi="Calibri"/>
                <w:b w:val="0"/>
                <w:color w:val="333333"/>
                <w:sz w:val="18"/>
              </w:rPr>
              <w:t>Public Key Size</w:t>
            </w:r>
          </w:p>
        </w:tc>
        <w:tc>
          <w:tcPr>
            <w:tcW w:type="dxa" w:w="2268"/>
            <w:shd w:fill="FFFFFF"/>
          </w:tcPr>
          <w:p>
            <w:pPr>
              <w:spacing w:before="40" w:after="40"/>
              <w:jc w:val="left"/>
            </w:pPr>
            <w:r/>
            <w:r>
              <w:rPr>
                <w:rFonts w:ascii="Calibri" w:hAnsi="Calibri"/>
                <w:b w:val="0"/>
                <w:color w:val="333333"/>
                <w:sz w:val="18"/>
              </w:rPr>
              <w:t>32 bytes</w:t>
            </w:r>
          </w:p>
        </w:tc>
        <w:tc>
          <w:tcPr>
            <w:tcW w:type="dxa" w:w="2268"/>
            <w:shd w:fill="FFFFFF"/>
          </w:tcPr>
          <w:p>
            <w:pPr>
              <w:spacing w:before="40" w:after="40"/>
              <w:jc w:val="left"/>
            </w:pPr>
            <w:r/>
            <w:r>
              <w:rPr>
                <w:rFonts w:ascii="Calibri" w:hAnsi="Calibri"/>
                <w:b w:val="0"/>
                <w:color w:val="333333"/>
                <w:sz w:val="18"/>
              </w:rPr>
              <w:t>1,952 bytes</w:t>
            </w:r>
          </w:p>
        </w:tc>
        <w:tc>
          <w:tcPr>
            <w:tcW w:type="dxa" w:w="2268"/>
            <w:shd w:fill="FFFFFF"/>
          </w:tcPr>
          <w:p>
            <w:pPr>
              <w:spacing w:before="40" w:after="40"/>
              <w:jc w:val="left"/>
            </w:pPr>
            <w:r/>
            <w:r>
              <w:rPr>
                <w:rFonts w:ascii="Calibri" w:hAnsi="Calibri"/>
                <w:b w:val="0"/>
                <w:color w:val="333333"/>
                <w:sz w:val="18"/>
              </w:rPr>
              <w:t>1,984 bytes</w:t>
            </w:r>
          </w:p>
        </w:tc>
      </w:tr>
      <w:tr>
        <w:tc>
          <w:tcPr>
            <w:tcW w:type="dxa" w:w="2268"/>
            <w:shd w:fill="F5F7FA"/>
          </w:tcPr>
          <w:p>
            <w:pPr>
              <w:spacing w:before="40" w:after="40"/>
              <w:jc w:val="left"/>
            </w:pPr>
            <w:r/>
            <w:r>
              <w:rPr>
                <w:rFonts w:ascii="Calibri" w:hAnsi="Calibri"/>
                <w:b w:val="0"/>
                <w:color w:val="333333"/>
                <w:sz w:val="18"/>
              </w:rPr>
              <w:t>Signature Size</w:t>
            </w:r>
          </w:p>
        </w:tc>
        <w:tc>
          <w:tcPr>
            <w:tcW w:type="dxa" w:w="2268"/>
            <w:shd w:fill="F5F7FA"/>
          </w:tcPr>
          <w:p>
            <w:pPr>
              <w:spacing w:before="40" w:after="40"/>
              <w:jc w:val="left"/>
            </w:pPr>
            <w:r/>
            <w:r>
              <w:rPr>
                <w:rFonts w:ascii="Calibri" w:hAnsi="Calibri"/>
                <w:b w:val="0"/>
                <w:color w:val="333333"/>
                <w:sz w:val="18"/>
              </w:rPr>
              <w:t>64 bytes</w:t>
            </w:r>
          </w:p>
        </w:tc>
        <w:tc>
          <w:tcPr>
            <w:tcW w:type="dxa" w:w="2268"/>
            <w:shd w:fill="F5F7FA"/>
          </w:tcPr>
          <w:p>
            <w:pPr>
              <w:spacing w:before="40" w:after="40"/>
              <w:jc w:val="left"/>
            </w:pPr>
            <w:r/>
            <w:r>
              <w:rPr>
                <w:rFonts w:ascii="Calibri" w:hAnsi="Calibri"/>
                <w:b w:val="0"/>
                <w:color w:val="333333"/>
                <w:sz w:val="18"/>
              </w:rPr>
              <w:t>3,309 bytes</w:t>
            </w:r>
          </w:p>
        </w:tc>
        <w:tc>
          <w:tcPr>
            <w:tcW w:type="dxa" w:w="2268"/>
            <w:shd w:fill="F5F7FA"/>
          </w:tcPr>
          <w:p>
            <w:pPr>
              <w:spacing w:before="40" w:after="40"/>
              <w:jc w:val="left"/>
            </w:pPr>
            <w:r/>
            <w:r>
              <w:rPr>
                <w:rFonts w:ascii="Calibri" w:hAnsi="Calibri"/>
                <w:b w:val="0"/>
                <w:color w:val="333333"/>
                <w:sz w:val="18"/>
              </w:rPr>
              <w:t>3,373 bytes</w:t>
            </w:r>
          </w:p>
        </w:tc>
      </w:tr>
      <w:tr>
        <w:tc>
          <w:tcPr>
            <w:tcW w:type="dxa" w:w="2268"/>
            <w:shd w:fill="FFFFFF"/>
          </w:tcPr>
          <w:p>
            <w:pPr>
              <w:spacing w:before="40" w:after="40"/>
              <w:jc w:val="left"/>
            </w:pPr>
            <w:r/>
            <w:r>
              <w:rPr>
                <w:rFonts w:ascii="Calibri" w:hAnsi="Calibri"/>
                <w:b w:val="0"/>
                <w:color w:val="333333"/>
                <w:sz w:val="18"/>
              </w:rPr>
              <w:t>Security Basis</w:t>
            </w:r>
          </w:p>
        </w:tc>
        <w:tc>
          <w:tcPr>
            <w:tcW w:type="dxa" w:w="2268"/>
            <w:shd w:fill="FFFFFF"/>
          </w:tcPr>
          <w:p>
            <w:pPr>
              <w:spacing w:before="40" w:after="40"/>
              <w:jc w:val="left"/>
            </w:pPr>
            <w:r/>
            <w:r>
              <w:rPr>
                <w:rFonts w:ascii="Calibri" w:hAnsi="Calibri"/>
                <w:b w:val="0"/>
                <w:color w:val="333333"/>
                <w:sz w:val="18"/>
              </w:rPr>
              <w:t>ECDLP</w:t>
            </w:r>
          </w:p>
        </w:tc>
        <w:tc>
          <w:tcPr>
            <w:tcW w:type="dxa" w:w="2268"/>
            <w:shd w:fill="FFFFFF"/>
          </w:tcPr>
          <w:p>
            <w:pPr>
              <w:spacing w:before="40" w:after="40"/>
              <w:jc w:val="left"/>
            </w:pPr>
            <w:r/>
            <w:r>
              <w:rPr>
                <w:rFonts w:ascii="Calibri" w:hAnsi="Calibri"/>
                <w:b w:val="0"/>
                <w:color w:val="333333"/>
                <w:sz w:val="18"/>
              </w:rPr>
              <w:t>Module-LWE</w:t>
            </w:r>
          </w:p>
        </w:tc>
        <w:tc>
          <w:tcPr>
            <w:tcW w:type="dxa" w:w="2268"/>
            <w:shd w:fill="FFFFFF"/>
          </w:tcPr>
          <w:p>
            <w:pPr>
              <w:spacing w:before="40" w:after="40"/>
              <w:jc w:val="left"/>
            </w:pPr>
            <w:r/>
            <w:r>
              <w:rPr>
                <w:rFonts w:ascii="Calibri" w:hAnsi="Calibri"/>
                <w:b w:val="0"/>
                <w:color w:val="333333"/>
                <w:sz w:val="18"/>
              </w:rPr>
              <w:t>Both (defense-in-depth)</w:t>
            </w:r>
          </w:p>
        </w:tc>
      </w:tr>
      <w:tr>
        <w:tc>
          <w:tcPr>
            <w:tcW w:type="dxa" w:w="2268"/>
            <w:shd w:fill="F5F7FA"/>
          </w:tcPr>
          <w:p>
            <w:pPr>
              <w:spacing w:before="40" w:after="40"/>
              <w:jc w:val="left"/>
            </w:pPr>
            <w:r/>
            <w:r>
              <w:rPr>
                <w:rFonts w:ascii="Calibri" w:hAnsi="Calibri"/>
                <w:b w:val="0"/>
                <w:color w:val="333333"/>
                <w:sz w:val="18"/>
              </w:rPr>
              <w:t>Quantum Resistant</w:t>
            </w:r>
          </w:p>
        </w:tc>
        <w:tc>
          <w:tcPr>
            <w:tcW w:type="dxa" w:w="2268"/>
            <w:shd w:fill="F5F7FA"/>
          </w:tcPr>
          <w:p>
            <w:pPr>
              <w:spacing w:before="40" w:after="40"/>
              <w:jc w:val="left"/>
            </w:pPr>
            <w:r/>
            <w:r>
              <w:rPr>
                <w:rFonts w:ascii="Calibri" w:hAnsi="Calibri"/>
                <w:b w:val="0"/>
                <w:color w:val="333333"/>
                <w:sz w:val="18"/>
              </w:rPr>
              <w:t>No</w:t>
            </w:r>
          </w:p>
        </w:tc>
        <w:tc>
          <w:tcPr>
            <w:tcW w:type="dxa" w:w="2268"/>
            <w:shd w:fill="F5F7FA"/>
          </w:tcPr>
          <w:p>
            <w:pPr>
              <w:spacing w:before="40" w:after="40"/>
              <w:jc w:val="left"/>
            </w:pPr>
            <w:r/>
            <w:r>
              <w:rPr>
                <w:rFonts w:ascii="Calibri" w:hAnsi="Calibri"/>
                <w:b w:val="0"/>
                <w:color w:val="333333"/>
                <w:sz w:val="18"/>
              </w:rPr>
              <w:t>Yes (NIST Level 3)</w:t>
            </w:r>
          </w:p>
        </w:tc>
        <w:tc>
          <w:tcPr>
            <w:tcW w:type="dxa" w:w="2268"/>
            <w:shd w:fill="F5F7FA"/>
          </w:tcPr>
          <w:p>
            <w:pPr>
              <w:spacing w:before="40" w:after="40"/>
              <w:jc w:val="left"/>
            </w:pPr>
            <w:r/>
            <w:r>
              <w:rPr>
                <w:rFonts w:ascii="Calibri" w:hAnsi="Calibri"/>
                <w:b w:val="0"/>
                <w:color w:val="333333"/>
                <w:sz w:val="18"/>
              </w:rPr>
              <w:t>Yes</w:t>
            </w:r>
          </w:p>
        </w:tc>
      </w:tr>
      <w:tr>
        <w:tc>
          <w:tcPr>
            <w:tcW w:type="dxa" w:w="2268"/>
            <w:shd w:fill="FFFFFF"/>
          </w:tcPr>
          <w:p>
            <w:pPr>
              <w:spacing w:before="40" w:after="40"/>
              <w:jc w:val="left"/>
            </w:pPr>
            <w:r/>
            <w:r>
              <w:rPr>
                <w:rFonts w:ascii="Calibri" w:hAnsi="Calibri"/>
                <w:b w:val="0"/>
                <w:color w:val="333333"/>
                <w:sz w:val="18"/>
              </w:rPr>
              <w:t>Standard</w:t>
            </w:r>
          </w:p>
        </w:tc>
        <w:tc>
          <w:tcPr>
            <w:tcW w:type="dxa" w:w="2268"/>
            <w:shd w:fill="FFFFFF"/>
          </w:tcPr>
          <w:p>
            <w:pPr>
              <w:spacing w:before="40" w:after="40"/>
              <w:jc w:val="left"/>
            </w:pPr>
            <w:r/>
            <w:r>
              <w:rPr>
                <w:rFonts w:ascii="Calibri" w:hAnsi="Calibri"/>
                <w:b w:val="0"/>
                <w:color w:val="333333"/>
                <w:sz w:val="18"/>
              </w:rPr>
              <w:t>RFC 8032</w:t>
            </w:r>
          </w:p>
        </w:tc>
        <w:tc>
          <w:tcPr>
            <w:tcW w:type="dxa" w:w="2268"/>
            <w:shd w:fill="FFFFFF"/>
          </w:tcPr>
          <w:p>
            <w:pPr>
              <w:spacing w:before="40" w:after="40"/>
              <w:jc w:val="left"/>
            </w:pPr>
            <w:r/>
            <w:r>
              <w:rPr>
                <w:rFonts w:ascii="Calibri" w:hAnsi="Calibri"/>
                <w:b w:val="0"/>
                <w:color w:val="333333"/>
                <w:sz w:val="18"/>
              </w:rPr>
              <w:t>FIPS 204</w:t>
            </w:r>
          </w:p>
        </w:tc>
        <w:tc>
          <w:tcPr>
            <w:tcW w:type="dxa" w:w="2268"/>
            <w:shd w:fill="FFFFFF"/>
          </w:tcPr>
          <w:p>
            <w:pPr>
              <w:spacing w:before="40" w:after="40"/>
              <w:jc w:val="left"/>
            </w:pPr>
            <w:r/>
            <w:r>
              <w:rPr>
                <w:rFonts w:ascii="Calibri" w:hAnsi="Calibri"/>
                <w:b w:val="0"/>
                <w:color w:val="333333"/>
                <w:sz w:val="18"/>
              </w:rPr>
              <w:t>Custom hybrid</w:t>
            </w:r>
          </w:p>
        </w:tc>
      </w:tr>
    </w:tbl>
    <w:p>
      <w:pPr>
        <w:spacing w:before="80" w:after="280"/>
        <w:jc w:val="center"/>
      </w:pPr>
      <w:r>
        <w:rPr>
          <w:rFonts w:ascii="Calibri" w:hAnsi="Calibri"/>
          <w:i/>
          <w:color w:val="757575"/>
          <w:sz w:val="18"/>
        </w:rPr>
        <w:t>Table 2: Comparison of signature scheme properties.</w:t>
      </w:r>
    </w:p>
    <w:p>
      <w:pPr>
        <w:pStyle w:val="Heading1"/>
      </w:pPr>
      <w:r>
        <w:t>4. Post-Quantum Cryptographic Integration</w:t>
      </w:r>
    </w:p>
    <w:p>
      <w:pPr>
        <w:pStyle w:val="Heading2"/>
      </w:pPr>
      <w:r>
        <w:t>4.1 ML-KEM-768 (CRYSTALS-Kyber)</w:t>
      </w:r>
    </w:p>
    <w:p>
      <w:r>
        <w:t>ML-KEM-768 is a lattice-based Key Encapsulation Mechanism standardized by NIST in FIPS 203 [5]. It provides IND-CCA2 security based on the Module Learning With Errors (MLWE) problem. ToledoMessage integrates ML-KEM-768 at the X3DH key agreement stage via the MlKemKeyExchange class, which wraps BouncyCastle's ML-KEM implementation.</w:t>
      </w:r>
    </w:p>
    <w:tbl>
      <w:tblPr>
        <w:tblW w:type="auto" w:w="0"/>
        <w:jc w:val="center"/>
        <w:tblLook w:firstColumn="1" w:firstRow="1" w:lastColumn="0" w:lastRow="0" w:noHBand="0" w:noVBand="1" w:val="04A0"/>
      </w:tblPr>
      <w:tblGrid>
        <w:gridCol w:w="4536"/>
        <w:gridCol w:w="4536"/>
      </w:tblGrid>
      <w:tr>
        <w:tc>
          <w:tcPr>
            <w:tcW w:type="dxa" w:w="4536"/>
            <w:shd w:fill="008069"/>
          </w:tcPr>
          <w:p>
            <w:pPr>
              <w:spacing w:before="40" w:after="40"/>
              <w:jc w:val="center"/>
            </w:pPr>
            <w:r/>
            <w:r>
              <w:rPr>
                <w:rFonts w:ascii="Calibri" w:hAnsi="Calibri"/>
                <w:b/>
                <w:color w:val="FFFFFF"/>
                <w:sz w:val="19"/>
              </w:rPr>
              <w:t>Parameter</w:t>
            </w:r>
          </w:p>
        </w:tc>
        <w:tc>
          <w:tcPr>
            <w:tcW w:type="dxa" w:w="4536"/>
            <w:shd w:fill="008069"/>
          </w:tcPr>
          <w:p>
            <w:pPr>
              <w:spacing w:before="40" w:after="40"/>
              <w:jc w:val="center"/>
            </w:pPr>
            <w:r/>
            <w:r>
              <w:rPr>
                <w:rFonts w:ascii="Calibri" w:hAnsi="Calibri"/>
                <w:b/>
                <w:color w:val="FFFFFF"/>
                <w:sz w:val="19"/>
              </w:rPr>
              <w:t>Value</w:t>
            </w:r>
          </w:p>
        </w:tc>
      </w:tr>
      <w:tr>
        <w:tc>
          <w:tcPr>
            <w:tcW w:type="dxa" w:w="4536"/>
            <w:shd w:fill="FFFFFF"/>
          </w:tcPr>
          <w:p>
            <w:pPr>
              <w:spacing w:before="40" w:after="40"/>
              <w:jc w:val="left"/>
            </w:pPr>
            <w:r/>
            <w:r>
              <w:rPr>
                <w:rFonts w:ascii="Calibri" w:hAnsi="Calibri"/>
                <w:b w:val="0"/>
                <w:color w:val="333333"/>
                <w:sz w:val="18"/>
              </w:rPr>
              <w:t>Algorithm</w:t>
            </w:r>
          </w:p>
        </w:tc>
        <w:tc>
          <w:tcPr>
            <w:tcW w:type="dxa" w:w="4536"/>
            <w:shd w:fill="FFFFFF"/>
          </w:tcPr>
          <w:p>
            <w:pPr>
              <w:spacing w:before="40" w:after="40"/>
              <w:jc w:val="left"/>
            </w:pPr>
            <w:r/>
            <w:r>
              <w:rPr>
                <w:rFonts w:ascii="Calibri" w:hAnsi="Calibri"/>
                <w:b w:val="0"/>
                <w:color w:val="333333"/>
                <w:sz w:val="18"/>
              </w:rPr>
              <w:t>ML-KEM-768 (FIPS 203)</w:t>
            </w:r>
          </w:p>
        </w:tc>
      </w:tr>
      <w:tr>
        <w:tc>
          <w:tcPr>
            <w:tcW w:type="dxa" w:w="4536"/>
            <w:shd w:fill="F5F7FA"/>
          </w:tcPr>
          <w:p>
            <w:pPr>
              <w:spacing w:before="40" w:after="40"/>
              <w:jc w:val="left"/>
            </w:pPr>
            <w:r/>
            <w:r>
              <w:rPr>
                <w:rFonts w:ascii="Calibri" w:hAnsi="Calibri"/>
                <w:b w:val="0"/>
                <w:color w:val="333333"/>
                <w:sz w:val="18"/>
              </w:rPr>
              <w:t>Security Level</w:t>
            </w:r>
          </w:p>
        </w:tc>
        <w:tc>
          <w:tcPr>
            <w:tcW w:type="dxa" w:w="4536"/>
            <w:shd w:fill="F5F7FA"/>
          </w:tcPr>
          <w:p>
            <w:pPr>
              <w:spacing w:before="40" w:after="40"/>
              <w:jc w:val="left"/>
            </w:pPr>
            <w:r/>
            <w:r>
              <w:rPr>
                <w:rFonts w:ascii="Calibri" w:hAnsi="Calibri"/>
                <w:b w:val="0"/>
                <w:color w:val="333333"/>
                <w:sz w:val="18"/>
              </w:rPr>
              <w:t>NIST Level 3 (~192-bit classical equivalent)</w:t>
            </w:r>
          </w:p>
        </w:tc>
      </w:tr>
      <w:tr>
        <w:tc>
          <w:tcPr>
            <w:tcW w:type="dxa" w:w="4536"/>
            <w:shd w:fill="FFFFFF"/>
          </w:tcPr>
          <w:p>
            <w:pPr>
              <w:spacing w:before="40" w:after="40"/>
              <w:jc w:val="left"/>
            </w:pPr>
            <w:r/>
            <w:r>
              <w:rPr>
                <w:rFonts w:ascii="Calibri" w:hAnsi="Calibri"/>
                <w:b w:val="0"/>
                <w:color w:val="333333"/>
                <w:sz w:val="18"/>
              </w:rPr>
              <w:t>Public Key Size</w:t>
            </w:r>
          </w:p>
        </w:tc>
        <w:tc>
          <w:tcPr>
            <w:tcW w:type="dxa" w:w="4536"/>
            <w:shd w:fill="FFFFFF"/>
          </w:tcPr>
          <w:p>
            <w:pPr>
              <w:spacing w:before="40" w:after="40"/>
              <w:jc w:val="left"/>
            </w:pPr>
            <w:r/>
            <w:r>
              <w:rPr>
                <w:rFonts w:ascii="Calibri" w:hAnsi="Calibri"/>
                <w:b w:val="0"/>
                <w:color w:val="333333"/>
                <w:sz w:val="18"/>
              </w:rPr>
              <w:t>1,184 bytes</w:t>
            </w:r>
          </w:p>
        </w:tc>
      </w:tr>
      <w:tr>
        <w:tc>
          <w:tcPr>
            <w:tcW w:type="dxa" w:w="4536"/>
            <w:shd w:fill="F5F7FA"/>
          </w:tcPr>
          <w:p>
            <w:pPr>
              <w:spacing w:before="40" w:after="40"/>
              <w:jc w:val="left"/>
            </w:pPr>
            <w:r/>
            <w:r>
              <w:rPr>
                <w:rFonts w:ascii="Calibri" w:hAnsi="Calibri"/>
                <w:b w:val="0"/>
                <w:color w:val="333333"/>
                <w:sz w:val="18"/>
              </w:rPr>
              <w:t>Ciphertext Size</w:t>
            </w:r>
          </w:p>
        </w:tc>
        <w:tc>
          <w:tcPr>
            <w:tcW w:type="dxa" w:w="4536"/>
            <w:shd w:fill="F5F7FA"/>
          </w:tcPr>
          <w:p>
            <w:pPr>
              <w:spacing w:before="40" w:after="40"/>
              <w:jc w:val="left"/>
            </w:pPr>
            <w:r/>
            <w:r>
              <w:rPr>
                <w:rFonts w:ascii="Calibri" w:hAnsi="Calibri"/>
                <w:b w:val="0"/>
                <w:color w:val="333333"/>
                <w:sz w:val="18"/>
              </w:rPr>
              <w:t>1,088 bytes</w:t>
            </w:r>
          </w:p>
        </w:tc>
      </w:tr>
      <w:tr>
        <w:tc>
          <w:tcPr>
            <w:tcW w:type="dxa" w:w="4536"/>
            <w:shd w:fill="FFFFFF"/>
          </w:tcPr>
          <w:p>
            <w:pPr>
              <w:spacing w:before="40" w:after="40"/>
              <w:jc w:val="left"/>
            </w:pPr>
            <w:r/>
            <w:r>
              <w:rPr>
                <w:rFonts w:ascii="Calibri" w:hAnsi="Calibri"/>
                <w:b w:val="0"/>
                <w:color w:val="333333"/>
                <w:sz w:val="18"/>
              </w:rPr>
              <w:t>Shared Secret Size</w:t>
            </w:r>
          </w:p>
        </w:tc>
        <w:tc>
          <w:tcPr>
            <w:tcW w:type="dxa" w:w="4536"/>
            <w:shd w:fill="FFFFFF"/>
          </w:tcPr>
          <w:p>
            <w:pPr>
              <w:spacing w:before="40" w:after="40"/>
              <w:jc w:val="left"/>
            </w:pPr>
            <w:r/>
            <w:r>
              <w:rPr>
                <w:rFonts w:ascii="Calibri" w:hAnsi="Calibri"/>
                <w:b w:val="0"/>
                <w:color w:val="333333"/>
                <w:sz w:val="18"/>
              </w:rPr>
              <w:t>32 bytes</w:t>
            </w:r>
          </w:p>
        </w:tc>
      </w:tr>
      <w:tr>
        <w:tc>
          <w:tcPr>
            <w:tcW w:type="dxa" w:w="4536"/>
            <w:shd w:fill="F5F7FA"/>
          </w:tcPr>
          <w:p>
            <w:pPr>
              <w:spacing w:before="40" w:after="40"/>
              <w:jc w:val="left"/>
            </w:pPr>
            <w:r/>
            <w:r>
              <w:rPr>
                <w:rFonts w:ascii="Calibri" w:hAnsi="Calibri"/>
                <w:b w:val="0"/>
                <w:color w:val="333333"/>
                <w:sz w:val="18"/>
              </w:rPr>
              <w:t>Underlying Problem</w:t>
            </w:r>
          </w:p>
        </w:tc>
        <w:tc>
          <w:tcPr>
            <w:tcW w:type="dxa" w:w="4536"/>
            <w:shd w:fill="F5F7FA"/>
          </w:tcPr>
          <w:p>
            <w:pPr>
              <w:spacing w:before="40" w:after="40"/>
              <w:jc w:val="left"/>
            </w:pPr>
            <w:r/>
            <w:r>
              <w:rPr>
                <w:rFonts w:ascii="Calibri" w:hAnsi="Calibri"/>
                <w:b w:val="0"/>
                <w:color w:val="333333"/>
                <w:sz w:val="18"/>
              </w:rPr>
              <w:t>Module-LWE (lattice-based)</w:t>
            </w:r>
          </w:p>
        </w:tc>
      </w:tr>
      <w:tr>
        <w:tc>
          <w:tcPr>
            <w:tcW w:type="dxa" w:w="4536"/>
            <w:shd w:fill="FFFFFF"/>
          </w:tcPr>
          <w:p>
            <w:pPr>
              <w:spacing w:before="40" w:after="40"/>
              <w:jc w:val="left"/>
            </w:pPr>
            <w:r/>
            <w:r>
              <w:rPr>
                <w:rFonts w:ascii="Calibri" w:hAnsi="Calibri"/>
                <w:b w:val="0"/>
                <w:color w:val="333333"/>
                <w:sz w:val="18"/>
              </w:rPr>
              <w:t>Integration Point</w:t>
            </w:r>
          </w:p>
        </w:tc>
        <w:tc>
          <w:tcPr>
            <w:tcW w:type="dxa" w:w="4536"/>
            <w:shd w:fill="FFFFFF"/>
          </w:tcPr>
          <w:p>
            <w:pPr>
              <w:spacing w:before="40" w:after="40"/>
              <w:jc w:val="left"/>
            </w:pPr>
            <w:r/>
            <w:r>
              <w:rPr>
                <w:rFonts w:ascii="Calibri" w:hAnsi="Calibri"/>
                <w:b w:val="0"/>
                <w:color w:val="333333"/>
                <w:sz w:val="18"/>
              </w:rPr>
              <w:t>X3DH step 6: KEM encapsulation against Kyber pre-key</w:t>
            </w:r>
          </w:p>
        </w:tc>
      </w:tr>
    </w:tbl>
    <w:p>
      <w:pPr>
        <w:spacing w:before="80" w:after="280"/>
        <w:jc w:val="center"/>
      </w:pPr>
      <w:r>
        <w:rPr>
          <w:rFonts w:ascii="Calibri" w:hAnsi="Calibri"/>
          <w:i/>
          <w:color w:val="757575"/>
          <w:sz w:val="18"/>
        </w:rPr>
        <w:t>Table 3: ML-KEM-768 parameters in ToledoMessage.</w:t>
      </w:r>
    </w:p>
    <w:p>
      <w:pPr>
        <w:pStyle w:val="Heading2"/>
      </w:pPr>
      <w:r>
        <w:t>4.2 Hybrid Security Argument</w:t>
      </w:r>
    </w:p>
    <w:p>
      <w:r>
        <w:t>The hybrid key agreement provides a "best of both worlds" security guarantee. Let SK = HKDF(DH1 || DH2 || kem_ss). An adversary attempting to recover SK must either: (a) solve the Computational Diffie-Hellman problem on Curve25519 to recover DH1 and DH2, and (b) solve the Module-LWE problem to recover kem_ss from the ML-KEM ciphertext. The HKDF construction ensures that even partial knowledge of the input key material does not reveal the derived key, provided at least one component remains secret [6].</w:t>
      </w:r>
    </w:p>
    <w:p>
      <w:pPr>
        <w:pStyle w:val="Heading1"/>
      </w:pPr>
      <w:r>
        <w:t>5. End-to-End Message Flow</w:t>
      </w:r>
    </w:p>
    <w:p>
      <w:r>
        <w:t>The complete lifecycle of a message in ToledoMessage involves the following steps:</w:t>
      </w:r>
    </w:p>
    <w:p>
      <w:pPr>
        <w:pStyle w:val="ListBullet"/>
        <w:spacing w:after="60"/>
      </w:pPr>
      <w:r>
        <w:rPr>
          <w:rFonts w:ascii="Calibri" w:hAnsi="Calibri"/>
          <w:b/>
          <w:color w:val="333333"/>
          <w:sz w:val="20"/>
        </w:rPr>
        <w:t xml:space="preserve">Step 1 - Session Establishment: </w:t>
      </w:r>
      <w:r>
        <w:rPr>
          <w:rFonts w:ascii="Calibri" w:hAnsi="Calibri"/>
          <w:b w:val="0"/>
          <w:color w:val="333333"/>
          <w:sz w:val="20"/>
        </w:rPr>
        <w:t>If no active Double Ratchet session exists with the recipient, the sender's CryptoService initiates X3DH by fetching the recipient's pre-key bundle from the server.</w:t>
      </w:r>
    </w:p>
    <w:p>
      <w:pPr>
        <w:pStyle w:val="ListBullet"/>
        <w:spacing w:after="60"/>
      </w:pPr>
      <w:r>
        <w:rPr>
          <w:rFonts w:ascii="Calibri" w:hAnsi="Calibri"/>
          <w:b/>
          <w:color w:val="333333"/>
          <w:sz w:val="20"/>
        </w:rPr>
        <w:t xml:space="preserve">Step 2 - Key Derivation: </w:t>
      </w:r>
      <w:r>
        <w:rPr>
          <w:rFonts w:ascii="Calibri" w:hAnsi="Calibri"/>
          <w:b w:val="0"/>
          <w:color w:val="333333"/>
          <w:sz w:val="20"/>
        </w:rPr>
        <w:t>The Double Ratchet derives a unique message key (MK) from the sending chain. The chain key is advanced, ensuring MK is never reused.</w:t>
      </w:r>
    </w:p>
    <w:p>
      <w:pPr>
        <w:pStyle w:val="ListBullet"/>
        <w:spacing w:after="60"/>
      </w:pPr>
      <w:r>
        <w:rPr>
          <w:rFonts w:ascii="Calibri" w:hAnsi="Calibri"/>
          <w:b/>
          <w:color w:val="333333"/>
          <w:sz w:val="20"/>
        </w:rPr>
        <w:t xml:space="preserve">Step 3 - Encryption: </w:t>
      </w:r>
      <w:r>
        <w:rPr>
          <w:rFonts w:ascii="Calibri" w:hAnsi="Calibri"/>
          <w:b w:val="0"/>
          <w:color w:val="333333"/>
          <w:sz w:val="20"/>
        </w:rPr>
        <w:t>AeadCipher.Encrypt(MK, plaintext) produces the AES-256-GCM ciphertext with random nonce and authentication tag.</w:t>
      </w:r>
    </w:p>
    <w:p>
      <w:pPr>
        <w:pStyle w:val="ListBullet"/>
        <w:spacing w:after="60"/>
      </w:pPr>
      <w:r>
        <w:rPr>
          <w:rFonts w:ascii="Calibri" w:hAnsi="Calibri"/>
          <w:b/>
          <w:color w:val="333333"/>
          <w:sz w:val="20"/>
        </w:rPr>
        <w:t xml:space="preserve">Step 4 - Multi-Device Fan-Out: </w:t>
      </w:r>
      <w:r>
        <w:rPr>
          <w:rFonts w:ascii="Calibri" w:hAnsi="Calibri"/>
          <w:b w:val="0"/>
          <w:color w:val="333333"/>
          <w:sz w:val="20"/>
        </w:rPr>
        <w:t>MessageEncryptionService repeats steps 2–3 for each of the recipient's registered devices, producing independent ciphertexts.</w:t>
      </w:r>
    </w:p>
    <w:p>
      <w:pPr>
        <w:pStyle w:val="ListBullet"/>
        <w:spacing w:after="60"/>
      </w:pPr>
      <w:r>
        <w:rPr>
          <w:rFonts w:ascii="Calibri" w:hAnsi="Calibri"/>
          <w:b/>
          <w:color w:val="333333"/>
          <w:sz w:val="20"/>
        </w:rPr>
        <w:t xml:space="preserve">Step 5 - Transport: </w:t>
      </w:r>
      <w:r>
        <w:rPr>
          <w:rFonts w:ascii="Calibri" w:hAnsi="Calibri"/>
          <w:b w:val="0"/>
          <w:color w:val="333333"/>
          <w:sz w:val="20"/>
        </w:rPr>
        <w:t>Encrypted envelopes are sent via SignalR's ChatHub.SendMessage(). The server stores the ciphertext and routes it to connected devices.</w:t>
      </w:r>
    </w:p>
    <w:p>
      <w:pPr>
        <w:pStyle w:val="ListBullet"/>
        <w:spacing w:after="60"/>
      </w:pPr>
      <w:r>
        <w:rPr>
          <w:rFonts w:ascii="Calibri" w:hAnsi="Calibri"/>
          <w:b/>
          <w:color w:val="333333"/>
          <w:sz w:val="20"/>
        </w:rPr>
        <w:t xml:space="preserve">Step 6 - Delivery: </w:t>
      </w:r>
      <w:r>
        <w:rPr>
          <w:rFonts w:ascii="Calibri" w:hAnsi="Calibri"/>
          <w:b w:val="0"/>
          <w:color w:val="333333"/>
          <w:sz w:val="20"/>
        </w:rPr>
        <w:t>The recipient's device receives the envelope via SignalR push, decrypts using its own Double Ratchet session, and displays the plaintext.</w:t>
      </w:r>
    </w:p>
    <w:p>
      <w:pPr>
        <w:pStyle w:val="ListBullet"/>
        <w:spacing w:after="60"/>
      </w:pPr>
      <w:r>
        <w:rPr>
          <w:rFonts w:ascii="Calibri" w:hAnsi="Calibri"/>
          <w:b/>
          <w:color w:val="333333"/>
          <w:sz w:val="20"/>
        </w:rPr>
        <w:t xml:space="preserve">Step 7 - Acknowledgment: </w:t>
      </w:r>
      <w:r>
        <w:rPr>
          <w:rFonts w:ascii="Calibri" w:hAnsi="Calibri"/>
          <w:b w:val="0"/>
          <w:color w:val="333333"/>
          <w:sz w:val="20"/>
        </w:rPr>
        <w:t>Delivery and read receipts flow back through SignalR, updating message status (Sending → Sent → Delivered → Read).</w:t>
      </w:r>
    </w:p>
    <w:p>
      <w:pPr>
        <w:pStyle w:val="Heading1"/>
      </w:pPr>
      <w:r>
        <w:t>6. Security Analysis</w:t>
      </w:r>
    </w:p>
    <w:p>
      <w:pPr>
        <w:pStyle w:val="Heading2"/>
      </w:pPr>
      <w:r>
        <w:t>6.1 Threat Model</w:t>
      </w:r>
    </w:p>
    <w:p>
      <w:r>
        <w:t>We consider an adversary with the following capabilities: (a) full control of the network (active man-in-the-middle), (b) ability to compromise the server and access all stored data, (c) access to a cryptographically relevant quantum computer (CRQC). Table 4 summarizes the security guarantees provided by ToledoMessage against each threat.</w:t>
      </w:r>
    </w:p>
    <w:tbl>
      <w:tblPr>
        <w:tblW w:type="auto" w:w="0"/>
        <w:jc w:val="center"/>
        <w:tblLook w:firstColumn="1" w:firstRow="1" w:lastColumn="0" w:lastRow="0" w:noHBand="0" w:noVBand="1" w:val="04A0"/>
      </w:tblPr>
      <w:tblGrid>
        <w:gridCol w:w="3024"/>
        <w:gridCol w:w="3024"/>
        <w:gridCol w:w="3024"/>
      </w:tblGrid>
      <w:tr>
        <w:tc>
          <w:tcPr>
            <w:tcW w:type="dxa" w:w="3024"/>
            <w:shd w:fill="E53935"/>
          </w:tcPr>
          <w:p>
            <w:pPr>
              <w:spacing w:before="40" w:after="40"/>
              <w:jc w:val="center"/>
            </w:pPr>
            <w:r/>
            <w:r>
              <w:rPr>
                <w:rFonts w:ascii="Calibri" w:hAnsi="Calibri"/>
                <w:b/>
                <w:color w:val="FFFFFF"/>
                <w:sz w:val="19"/>
              </w:rPr>
              <w:t>Threat</w:t>
            </w:r>
          </w:p>
        </w:tc>
        <w:tc>
          <w:tcPr>
            <w:tcW w:type="dxa" w:w="3024"/>
            <w:shd w:fill="E53935"/>
          </w:tcPr>
          <w:p>
            <w:pPr>
              <w:spacing w:before="40" w:after="40"/>
              <w:jc w:val="center"/>
            </w:pPr>
            <w:r/>
            <w:r>
              <w:rPr>
                <w:rFonts w:ascii="Calibri" w:hAnsi="Calibri"/>
                <w:b/>
                <w:color w:val="FFFFFF"/>
                <w:sz w:val="19"/>
              </w:rPr>
              <w:t>Mitigation</w:t>
            </w:r>
          </w:p>
        </w:tc>
        <w:tc>
          <w:tcPr>
            <w:tcW w:type="dxa" w:w="3024"/>
            <w:shd w:fill="E53935"/>
          </w:tcPr>
          <w:p>
            <w:pPr>
              <w:spacing w:before="40" w:after="40"/>
              <w:jc w:val="center"/>
            </w:pPr>
            <w:r/>
            <w:r>
              <w:rPr>
                <w:rFonts w:ascii="Calibri" w:hAnsi="Calibri"/>
                <w:b/>
                <w:color w:val="FFFFFF"/>
                <w:sz w:val="19"/>
              </w:rPr>
              <w:t>Status</w:t>
            </w:r>
          </w:p>
        </w:tc>
      </w:tr>
      <w:tr>
        <w:tc>
          <w:tcPr>
            <w:tcW w:type="dxa" w:w="3024"/>
            <w:shd w:fill="FFFFFF"/>
          </w:tcPr>
          <w:p>
            <w:pPr>
              <w:spacing w:before="40" w:after="40"/>
              <w:jc w:val="left"/>
            </w:pPr>
            <w:r/>
            <w:r>
              <w:rPr>
                <w:rFonts w:ascii="Calibri" w:hAnsi="Calibri"/>
                <w:b w:val="0"/>
                <w:color w:val="333333"/>
                <w:sz w:val="18"/>
              </w:rPr>
              <w:t>Man-in-the-Middle</w:t>
            </w:r>
          </w:p>
        </w:tc>
        <w:tc>
          <w:tcPr>
            <w:tcW w:type="dxa" w:w="3024"/>
            <w:shd w:fill="FFFFFF"/>
          </w:tcPr>
          <w:p>
            <w:pPr>
              <w:spacing w:before="40" w:after="40"/>
              <w:jc w:val="left"/>
            </w:pPr>
            <w:r/>
            <w:r>
              <w:rPr>
                <w:rFonts w:ascii="Calibri" w:hAnsi="Calibri"/>
                <w:b w:val="0"/>
                <w:color w:val="333333"/>
                <w:sz w:val="18"/>
              </w:rPr>
              <w:t>X3DH mutual auth + safety number verification</w:t>
            </w:r>
          </w:p>
        </w:tc>
        <w:tc>
          <w:tcPr>
            <w:tcW w:type="dxa" w:w="3024"/>
            <w:shd w:fill="FFFFFF"/>
          </w:tcPr>
          <w:p>
            <w:pPr>
              <w:spacing w:before="40" w:after="40"/>
              <w:jc w:val="left"/>
            </w:pPr>
            <w:r/>
            <w:r>
              <w:rPr>
                <w:rFonts w:ascii="Calibri" w:hAnsi="Calibri"/>
                <w:b w:val="0"/>
                <w:color w:val="333333"/>
                <w:sz w:val="18"/>
              </w:rPr>
              <w:t>Mitigated</w:t>
            </w:r>
          </w:p>
        </w:tc>
      </w:tr>
      <w:tr>
        <w:tc>
          <w:tcPr>
            <w:tcW w:type="dxa" w:w="3024"/>
            <w:shd w:fill="F5F7FA"/>
          </w:tcPr>
          <w:p>
            <w:pPr>
              <w:spacing w:before="40" w:after="40"/>
              <w:jc w:val="left"/>
            </w:pPr>
            <w:r/>
            <w:r>
              <w:rPr>
                <w:rFonts w:ascii="Calibri" w:hAnsi="Calibri"/>
                <w:b w:val="0"/>
                <w:color w:val="333333"/>
                <w:sz w:val="18"/>
              </w:rPr>
              <w:t>Server Compromise</w:t>
            </w:r>
          </w:p>
        </w:tc>
        <w:tc>
          <w:tcPr>
            <w:tcW w:type="dxa" w:w="3024"/>
            <w:shd w:fill="F5F7FA"/>
          </w:tcPr>
          <w:p>
            <w:pPr>
              <w:spacing w:before="40" w:after="40"/>
              <w:jc w:val="left"/>
            </w:pPr>
            <w:r/>
            <w:r>
              <w:rPr>
                <w:rFonts w:ascii="Calibri" w:hAnsi="Calibri"/>
                <w:b w:val="0"/>
                <w:color w:val="333333"/>
                <w:sz w:val="18"/>
              </w:rPr>
              <w:t>E2EE: server sees only ciphertext</w:t>
            </w:r>
          </w:p>
        </w:tc>
        <w:tc>
          <w:tcPr>
            <w:tcW w:type="dxa" w:w="3024"/>
            <w:shd w:fill="F5F7FA"/>
          </w:tcPr>
          <w:p>
            <w:pPr>
              <w:spacing w:before="40" w:after="40"/>
              <w:jc w:val="left"/>
            </w:pPr>
            <w:r/>
            <w:r>
              <w:rPr>
                <w:rFonts w:ascii="Calibri" w:hAnsi="Calibri"/>
                <w:b w:val="0"/>
                <w:color w:val="333333"/>
                <w:sz w:val="18"/>
              </w:rPr>
              <w:t>Mitigated</w:t>
            </w:r>
          </w:p>
        </w:tc>
      </w:tr>
      <w:tr>
        <w:tc>
          <w:tcPr>
            <w:tcW w:type="dxa" w:w="3024"/>
            <w:shd w:fill="FFFFFF"/>
          </w:tcPr>
          <w:p>
            <w:pPr>
              <w:spacing w:before="40" w:after="40"/>
              <w:jc w:val="left"/>
            </w:pPr>
            <w:r/>
            <w:r>
              <w:rPr>
                <w:rFonts w:ascii="Calibri" w:hAnsi="Calibri"/>
                <w:b w:val="0"/>
                <w:color w:val="333333"/>
                <w:sz w:val="18"/>
              </w:rPr>
              <w:t>Past Key Compromise</w:t>
            </w:r>
          </w:p>
        </w:tc>
        <w:tc>
          <w:tcPr>
            <w:tcW w:type="dxa" w:w="3024"/>
            <w:shd w:fill="FFFFFF"/>
          </w:tcPr>
          <w:p>
            <w:pPr>
              <w:spacing w:before="40" w:after="40"/>
              <w:jc w:val="left"/>
            </w:pPr>
            <w:r/>
            <w:r>
              <w:rPr>
                <w:rFonts w:ascii="Calibri" w:hAnsi="Calibri"/>
                <w:b w:val="0"/>
                <w:color w:val="333333"/>
                <w:sz w:val="18"/>
              </w:rPr>
              <w:t>Forward secrecy via Double Ratchet</w:t>
            </w:r>
          </w:p>
        </w:tc>
        <w:tc>
          <w:tcPr>
            <w:tcW w:type="dxa" w:w="3024"/>
            <w:shd w:fill="FFFFFF"/>
          </w:tcPr>
          <w:p>
            <w:pPr>
              <w:spacing w:before="40" w:after="40"/>
              <w:jc w:val="left"/>
            </w:pPr>
            <w:r/>
            <w:r>
              <w:rPr>
                <w:rFonts w:ascii="Calibri" w:hAnsi="Calibri"/>
                <w:b w:val="0"/>
                <w:color w:val="333333"/>
                <w:sz w:val="18"/>
              </w:rPr>
              <w:t>Mitigated</w:t>
            </w:r>
          </w:p>
        </w:tc>
      </w:tr>
      <w:tr>
        <w:tc>
          <w:tcPr>
            <w:tcW w:type="dxa" w:w="3024"/>
            <w:shd w:fill="F5F7FA"/>
          </w:tcPr>
          <w:p>
            <w:pPr>
              <w:spacing w:before="40" w:after="40"/>
              <w:jc w:val="left"/>
            </w:pPr>
            <w:r/>
            <w:r>
              <w:rPr>
                <w:rFonts w:ascii="Calibri" w:hAnsi="Calibri"/>
                <w:b w:val="0"/>
                <w:color w:val="333333"/>
                <w:sz w:val="18"/>
              </w:rPr>
              <w:t>Future Key Compromise</w:t>
            </w:r>
          </w:p>
        </w:tc>
        <w:tc>
          <w:tcPr>
            <w:tcW w:type="dxa" w:w="3024"/>
            <w:shd w:fill="F5F7FA"/>
          </w:tcPr>
          <w:p>
            <w:pPr>
              <w:spacing w:before="40" w:after="40"/>
              <w:jc w:val="left"/>
            </w:pPr>
            <w:r/>
            <w:r>
              <w:rPr>
                <w:rFonts w:ascii="Calibri" w:hAnsi="Calibri"/>
                <w:b w:val="0"/>
                <w:color w:val="333333"/>
                <w:sz w:val="18"/>
              </w:rPr>
              <w:t>Break-in recovery via DH ratchet</w:t>
            </w:r>
          </w:p>
        </w:tc>
        <w:tc>
          <w:tcPr>
            <w:tcW w:type="dxa" w:w="3024"/>
            <w:shd w:fill="F5F7FA"/>
          </w:tcPr>
          <w:p>
            <w:pPr>
              <w:spacing w:before="40" w:after="40"/>
              <w:jc w:val="left"/>
            </w:pPr>
            <w:r/>
            <w:r>
              <w:rPr>
                <w:rFonts w:ascii="Calibri" w:hAnsi="Calibri"/>
                <w:b w:val="0"/>
                <w:color w:val="333333"/>
                <w:sz w:val="18"/>
              </w:rPr>
              <w:t>Mitigated</w:t>
            </w:r>
          </w:p>
        </w:tc>
      </w:tr>
      <w:tr>
        <w:tc>
          <w:tcPr>
            <w:tcW w:type="dxa" w:w="3024"/>
            <w:shd w:fill="FFFFFF"/>
          </w:tcPr>
          <w:p>
            <w:pPr>
              <w:spacing w:before="40" w:after="40"/>
              <w:jc w:val="left"/>
            </w:pPr>
            <w:r/>
            <w:r>
              <w:rPr>
                <w:rFonts w:ascii="Calibri" w:hAnsi="Calibri"/>
                <w:b w:val="0"/>
                <w:color w:val="333333"/>
                <w:sz w:val="18"/>
              </w:rPr>
              <w:t>Quantum Attack (keys)</w:t>
            </w:r>
          </w:p>
        </w:tc>
        <w:tc>
          <w:tcPr>
            <w:tcW w:type="dxa" w:w="3024"/>
            <w:shd w:fill="FFFFFF"/>
          </w:tcPr>
          <w:p>
            <w:pPr>
              <w:spacing w:before="40" w:after="40"/>
              <w:jc w:val="left"/>
            </w:pPr>
            <w:r/>
            <w:r>
              <w:rPr>
                <w:rFonts w:ascii="Calibri" w:hAnsi="Calibri"/>
                <w:b w:val="0"/>
                <w:color w:val="333333"/>
                <w:sz w:val="18"/>
              </w:rPr>
              <w:t>ML-KEM-768 in X3DH key agreement</w:t>
            </w:r>
          </w:p>
        </w:tc>
        <w:tc>
          <w:tcPr>
            <w:tcW w:type="dxa" w:w="3024"/>
            <w:shd w:fill="FFFFFF"/>
          </w:tcPr>
          <w:p>
            <w:pPr>
              <w:spacing w:before="40" w:after="40"/>
              <w:jc w:val="left"/>
            </w:pPr>
            <w:r/>
            <w:r>
              <w:rPr>
                <w:rFonts w:ascii="Calibri" w:hAnsi="Calibri"/>
                <w:b w:val="0"/>
                <w:color w:val="333333"/>
                <w:sz w:val="18"/>
              </w:rPr>
              <w:t>Mitigated</w:t>
            </w:r>
          </w:p>
        </w:tc>
      </w:tr>
      <w:tr>
        <w:tc>
          <w:tcPr>
            <w:tcW w:type="dxa" w:w="3024"/>
            <w:shd w:fill="F5F7FA"/>
          </w:tcPr>
          <w:p>
            <w:pPr>
              <w:spacing w:before="40" w:after="40"/>
              <w:jc w:val="left"/>
            </w:pPr>
            <w:r/>
            <w:r>
              <w:rPr>
                <w:rFonts w:ascii="Calibri" w:hAnsi="Calibri"/>
                <w:b w:val="0"/>
                <w:color w:val="333333"/>
                <w:sz w:val="18"/>
              </w:rPr>
              <w:t>Quantum Attack (sigs)</w:t>
            </w:r>
          </w:p>
        </w:tc>
        <w:tc>
          <w:tcPr>
            <w:tcW w:type="dxa" w:w="3024"/>
            <w:shd w:fill="F5F7FA"/>
          </w:tcPr>
          <w:p>
            <w:pPr>
              <w:spacing w:before="40" w:after="40"/>
              <w:jc w:val="left"/>
            </w:pPr>
            <w:r/>
            <w:r>
              <w:rPr>
                <w:rFonts w:ascii="Calibri" w:hAnsi="Calibri"/>
                <w:b w:val="0"/>
                <w:color w:val="333333"/>
                <w:sz w:val="18"/>
              </w:rPr>
              <w:t>ML-DSA-65 in hybrid signatures</w:t>
            </w:r>
          </w:p>
        </w:tc>
        <w:tc>
          <w:tcPr>
            <w:tcW w:type="dxa" w:w="3024"/>
            <w:shd w:fill="F5F7FA"/>
          </w:tcPr>
          <w:p>
            <w:pPr>
              <w:spacing w:before="40" w:after="40"/>
              <w:jc w:val="left"/>
            </w:pPr>
            <w:r/>
            <w:r>
              <w:rPr>
                <w:rFonts w:ascii="Calibri" w:hAnsi="Calibri"/>
                <w:b w:val="0"/>
                <w:color w:val="333333"/>
                <w:sz w:val="18"/>
              </w:rPr>
              <w:t>Mitigated</w:t>
            </w:r>
          </w:p>
        </w:tc>
      </w:tr>
      <w:tr>
        <w:tc>
          <w:tcPr>
            <w:tcW w:type="dxa" w:w="3024"/>
            <w:shd w:fill="FFFFFF"/>
          </w:tcPr>
          <w:p>
            <w:pPr>
              <w:spacing w:before="40" w:after="40"/>
              <w:jc w:val="left"/>
            </w:pPr>
            <w:r/>
            <w:r>
              <w:rPr>
                <w:rFonts w:ascii="Calibri" w:hAnsi="Calibri"/>
                <w:b w:val="0"/>
                <w:color w:val="333333"/>
                <w:sz w:val="18"/>
              </w:rPr>
              <w:t>Replay Attack</w:t>
            </w:r>
          </w:p>
        </w:tc>
        <w:tc>
          <w:tcPr>
            <w:tcW w:type="dxa" w:w="3024"/>
            <w:shd w:fill="FFFFFF"/>
          </w:tcPr>
          <w:p>
            <w:pPr>
              <w:spacing w:before="40" w:after="40"/>
              <w:jc w:val="left"/>
            </w:pPr>
            <w:r/>
            <w:r>
              <w:rPr>
                <w:rFonts w:ascii="Calibri" w:hAnsi="Calibri"/>
                <w:b w:val="0"/>
                <w:color w:val="333333"/>
                <w:sz w:val="18"/>
              </w:rPr>
              <w:t>Random nonce + message counters</w:t>
            </w:r>
          </w:p>
        </w:tc>
        <w:tc>
          <w:tcPr>
            <w:tcW w:type="dxa" w:w="3024"/>
            <w:shd w:fill="FFFFFF"/>
          </w:tcPr>
          <w:p>
            <w:pPr>
              <w:spacing w:before="40" w:after="40"/>
              <w:jc w:val="left"/>
            </w:pPr>
            <w:r/>
            <w:r>
              <w:rPr>
                <w:rFonts w:ascii="Calibri" w:hAnsi="Calibri"/>
                <w:b w:val="0"/>
                <w:color w:val="333333"/>
                <w:sz w:val="18"/>
              </w:rPr>
              <w:t>Mitigated</w:t>
            </w:r>
          </w:p>
        </w:tc>
      </w:tr>
      <w:tr>
        <w:tc>
          <w:tcPr>
            <w:tcW w:type="dxa" w:w="3024"/>
            <w:shd w:fill="F5F7FA"/>
          </w:tcPr>
          <w:p>
            <w:pPr>
              <w:spacing w:before="40" w:after="40"/>
              <w:jc w:val="left"/>
            </w:pPr>
            <w:r/>
            <w:r>
              <w:rPr>
                <w:rFonts w:ascii="Calibri" w:hAnsi="Calibri"/>
                <w:b w:val="0"/>
                <w:color w:val="333333"/>
                <w:sz w:val="18"/>
              </w:rPr>
              <w:t>Device Theft</w:t>
            </w:r>
          </w:p>
        </w:tc>
        <w:tc>
          <w:tcPr>
            <w:tcW w:type="dxa" w:w="3024"/>
            <w:shd w:fill="F5F7FA"/>
          </w:tcPr>
          <w:p>
            <w:pPr>
              <w:spacing w:before="40" w:after="40"/>
              <w:jc w:val="left"/>
            </w:pPr>
            <w:r/>
            <w:r>
              <w:rPr>
                <w:rFonts w:ascii="Calibri" w:hAnsi="Calibri"/>
                <w:b w:val="0"/>
                <w:color w:val="333333"/>
                <w:sz w:val="18"/>
              </w:rPr>
              <w:t>Keys in browser IndexedDB (session-bound)</w:t>
            </w:r>
          </w:p>
        </w:tc>
        <w:tc>
          <w:tcPr>
            <w:tcW w:type="dxa" w:w="3024"/>
            <w:shd w:fill="F5F7FA"/>
          </w:tcPr>
          <w:p>
            <w:pPr>
              <w:spacing w:before="40" w:after="40"/>
              <w:jc w:val="left"/>
            </w:pPr>
            <w:r/>
            <w:r>
              <w:rPr>
                <w:rFonts w:ascii="Calibri" w:hAnsi="Calibri"/>
                <w:b w:val="0"/>
                <w:color w:val="333333"/>
                <w:sz w:val="18"/>
              </w:rPr>
              <w:t>Partial</w:t>
            </w:r>
          </w:p>
        </w:tc>
      </w:tr>
      <w:tr>
        <w:tc>
          <w:tcPr>
            <w:tcW w:type="dxa" w:w="3024"/>
            <w:shd w:fill="FFFFFF"/>
          </w:tcPr>
          <w:p>
            <w:pPr>
              <w:spacing w:before="40" w:after="40"/>
              <w:jc w:val="left"/>
            </w:pPr>
            <w:r/>
            <w:r>
              <w:rPr>
                <w:rFonts w:ascii="Calibri" w:hAnsi="Calibri"/>
                <w:b w:val="0"/>
                <w:color w:val="333333"/>
                <w:sz w:val="18"/>
              </w:rPr>
              <w:t>Metadata Analysis</w:t>
            </w:r>
          </w:p>
        </w:tc>
        <w:tc>
          <w:tcPr>
            <w:tcW w:type="dxa" w:w="3024"/>
            <w:shd w:fill="FFFFFF"/>
          </w:tcPr>
          <w:p>
            <w:pPr>
              <w:spacing w:before="40" w:after="40"/>
              <w:jc w:val="left"/>
            </w:pPr>
            <w:r/>
            <w:r>
              <w:rPr>
                <w:rFonts w:ascii="Calibri" w:hAnsi="Calibri"/>
                <w:b w:val="0"/>
                <w:color w:val="333333"/>
                <w:sz w:val="18"/>
              </w:rPr>
              <w:t>Server sees routing data (not content)</w:t>
            </w:r>
          </w:p>
        </w:tc>
        <w:tc>
          <w:tcPr>
            <w:tcW w:type="dxa" w:w="3024"/>
            <w:shd w:fill="FFFFFF"/>
          </w:tcPr>
          <w:p>
            <w:pPr>
              <w:spacing w:before="40" w:after="40"/>
              <w:jc w:val="left"/>
            </w:pPr>
            <w:r/>
            <w:r>
              <w:rPr>
                <w:rFonts w:ascii="Calibri" w:hAnsi="Calibri"/>
                <w:b w:val="0"/>
                <w:color w:val="333333"/>
                <w:sz w:val="18"/>
              </w:rPr>
              <w:t>Acknowledged</w:t>
            </w:r>
          </w:p>
        </w:tc>
      </w:tr>
    </w:tbl>
    <w:p>
      <w:pPr>
        <w:spacing w:before="80" w:after="280"/>
        <w:jc w:val="center"/>
      </w:pPr>
      <w:r>
        <w:rPr>
          <w:rFonts w:ascii="Calibri" w:hAnsi="Calibri"/>
          <w:i/>
          <w:color w:val="757575"/>
          <w:sz w:val="18"/>
        </w:rPr>
        <w:t>Table 4: Threat model and mitigations.</w:t>
      </w:r>
    </w:p>
    <w:p>
      <w:pPr>
        <w:pStyle w:val="Heading1"/>
      </w:pPr>
      <w:r>
        <w:t>7. Comparison with Existing Systems</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1976D2"/>
          </w:tcPr>
          <w:p>
            <w:pPr>
              <w:spacing w:before="40" w:after="40"/>
              <w:jc w:val="center"/>
            </w:pPr>
            <w:r/>
            <w:r>
              <w:rPr>
                <w:rFonts w:ascii="Calibri" w:hAnsi="Calibri"/>
                <w:b/>
                <w:color w:val="FFFFFF"/>
                <w:sz w:val="19"/>
              </w:rPr>
              <w:t>Feature</w:t>
            </w:r>
          </w:p>
        </w:tc>
        <w:tc>
          <w:tcPr>
            <w:tcW w:type="dxa" w:w="1512"/>
            <w:shd w:fill="1976D2"/>
          </w:tcPr>
          <w:p>
            <w:pPr>
              <w:spacing w:before="40" w:after="40"/>
              <w:jc w:val="center"/>
            </w:pPr>
            <w:r/>
            <w:r>
              <w:rPr>
                <w:rFonts w:ascii="Calibri" w:hAnsi="Calibri"/>
                <w:b/>
                <w:color w:val="FFFFFF"/>
                <w:sz w:val="19"/>
              </w:rPr>
              <w:t>ToledoMessage</w:t>
            </w:r>
          </w:p>
        </w:tc>
        <w:tc>
          <w:tcPr>
            <w:tcW w:type="dxa" w:w="1512"/>
            <w:shd w:fill="1976D2"/>
          </w:tcPr>
          <w:p>
            <w:pPr>
              <w:spacing w:before="40" w:after="40"/>
              <w:jc w:val="center"/>
            </w:pPr>
            <w:r/>
            <w:r>
              <w:rPr>
                <w:rFonts w:ascii="Calibri" w:hAnsi="Calibri"/>
                <w:b/>
                <w:color w:val="FFFFFF"/>
                <w:sz w:val="19"/>
              </w:rPr>
              <w:t>Signal</w:t>
            </w:r>
          </w:p>
        </w:tc>
        <w:tc>
          <w:tcPr>
            <w:tcW w:type="dxa" w:w="1512"/>
            <w:shd w:fill="1976D2"/>
          </w:tcPr>
          <w:p>
            <w:pPr>
              <w:spacing w:before="40" w:after="40"/>
              <w:jc w:val="center"/>
            </w:pPr>
            <w:r/>
            <w:r>
              <w:rPr>
                <w:rFonts w:ascii="Calibri" w:hAnsi="Calibri"/>
                <w:b/>
                <w:color w:val="FFFFFF"/>
                <w:sz w:val="19"/>
              </w:rPr>
              <w:t>WhatsApp</w:t>
            </w:r>
          </w:p>
        </w:tc>
        <w:tc>
          <w:tcPr>
            <w:tcW w:type="dxa" w:w="1512"/>
            <w:shd w:fill="1976D2"/>
          </w:tcPr>
          <w:p>
            <w:pPr>
              <w:spacing w:before="40" w:after="40"/>
              <w:jc w:val="center"/>
            </w:pPr>
            <w:r/>
            <w:r>
              <w:rPr>
                <w:rFonts w:ascii="Calibri" w:hAnsi="Calibri"/>
                <w:b/>
                <w:color w:val="FFFFFF"/>
                <w:sz w:val="19"/>
              </w:rPr>
              <w:t>Telegram</w:t>
            </w:r>
          </w:p>
        </w:tc>
        <w:tc>
          <w:tcPr>
            <w:tcW w:type="dxa" w:w="1512"/>
            <w:shd w:fill="1976D2"/>
          </w:tcPr>
          <w:p>
            <w:pPr>
              <w:spacing w:before="40" w:after="40"/>
              <w:jc w:val="center"/>
            </w:pPr>
            <w:r/>
            <w:r>
              <w:rPr>
                <w:rFonts w:ascii="Calibri" w:hAnsi="Calibri"/>
                <w:b/>
                <w:color w:val="FFFFFF"/>
                <w:sz w:val="19"/>
              </w:rPr>
              <w:t>iMessage</w:t>
            </w:r>
          </w:p>
        </w:tc>
      </w:tr>
      <w:tr>
        <w:tc>
          <w:tcPr>
            <w:tcW w:type="dxa" w:w="1512"/>
            <w:shd w:fill="FFFFFF"/>
          </w:tcPr>
          <w:p>
            <w:pPr>
              <w:spacing w:before="40" w:after="40"/>
              <w:jc w:val="left"/>
            </w:pPr>
            <w:r/>
            <w:r>
              <w:rPr>
                <w:rFonts w:ascii="Calibri" w:hAnsi="Calibri"/>
                <w:b w:val="0"/>
                <w:color w:val="333333"/>
                <w:sz w:val="18"/>
              </w:rPr>
              <w:t>E2EE by Default</w:t>
            </w:r>
          </w:p>
        </w:tc>
        <w:tc>
          <w:tcPr>
            <w:tcW w:type="dxa" w:w="1512"/>
            <w:shd w:fill="FFFFFF"/>
          </w:tcPr>
          <w:p>
            <w:pPr>
              <w:spacing w:before="40" w:after="40"/>
              <w:jc w:val="left"/>
            </w:pPr>
            <w:r/>
            <w:r>
              <w:rPr>
                <w:rFonts w:ascii="Calibri" w:hAnsi="Calibri"/>
                <w:b w:val="0"/>
                <w:color w:val="333333"/>
                <w:sz w:val="18"/>
              </w:rPr>
              <w:t>Yes</w:t>
            </w:r>
          </w:p>
        </w:tc>
        <w:tc>
          <w:tcPr>
            <w:tcW w:type="dxa" w:w="1512"/>
            <w:shd w:fill="FFFFFF"/>
          </w:tcPr>
          <w:p>
            <w:pPr>
              <w:spacing w:before="40" w:after="40"/>
              <w:jc w:val="left"/>
            </w:pPr>
            <w:r/>
            <w:r>
              <w:rPr>
                <w:rFonts w:ascii="Calibri" w:hAnsi="Calibri"/>
                <w:b w:val="0"/>
                <w:color w:val="333333"/>
                <w:sz w:val="18"/>
              </w:rPr>
              <w:t>Yes</w:t>
            </w:r>
          </w:p>
        </w:tc>
        <w:tc>
          <w:tcPr>
            <w:tcW w:type="dxa" w:w="1512"/>
            <w:shd w:fill="FFFFFF"/>
          </w:tcPr>
          <w:p>
            <w:pPr>
              <w:spacing w:before="40" w:after="40"/>
              <w:jc w:val="left"/>
            </w:pPr>
            <w:r/>
            <w:r>
              <w:rPr>
                <w:rFonts w:ascii="Calibri" w:hAnsi="Calibri"/>
                <w:b w:val="0"/>
                <w:color w:val="333333"/>
                <w:sz w:val="18"/>
              </w:rPr>
              <w:t>Yes</w:t>
            </w:r>
          </w:p>
        </w:tc>
        <w:tc>
          <w:tcPr>
            <w:tcW w:type="dxa" w:w="1512"/>
            <w:shd w:fill="FFFFFF"/>
          </w:tcPr>
          <w:p>
            <w:pPr>
              <w:spacing w:before="40" w:after="40"/>
              <w:jc w:val="left"/>
            </w:pPr>
            <w:r/>
            <w:r>
              <w:rPr>
                <w:rFonts w:ascii="Calibri" w:hAnsi="Calibri"/>
                <w:b w:val="0"/>
                <w:color w:val="333333"/>
                <w:sz w:val="18"/>
              </w:rPr>
              <w:t>No*</w:t>
            </w:r>
          </w:p>
        </w:tc>
        <w:tc>
          <w:tcPr>
            <w:tcW w:type="dxa" w:w="1512"/>
            <w:shd w:fill="FFFFFF"/>
          </w:tcPr>
          <w:p>
            <w:pPr>
              <w:spacing w:before="40" w:after="40"/>
              <w:jc w:val="left"/>
            </w:pPr>
            <w:r/>
            <w:r>
              <w:rPr>
                <w:rFonts w:ascii="Calibri" w:hAnsi="Calibri"/>
                <w:b w:val="0"/>
                <w:color w:val="333333"/>
                <w:sz w:val="18"/>
              </w:rPr>
              <w:t>Yes</w:t>
            </w:r>
          </w:p>
        </w:tc>
      </w:tr>
      <w:tr>
        <w:tc>
          <w:tcPr>
            <w:tcW w:type="dxa" w:w="1512"/>
            <w:shd w:fill="F5F7FA"/>
          </w:tcPr>
          <w:p>
            <w:pPr>
              <w:spacing w:before="40" w:after="40"/>
              <w:jc w:val="left"/>
            </w:pPr>
            <w:r/>
            <w:r>
              <w:rPr>
                <w:rFonts w:ascii="Calibri" w:hAnsi="Calibri"/>
                <w:b w:val="0"/>
                <w:color w:val="333333"/>
                <w:sz w:val="18"/>
              </w:rPr>
              <w:t>Post-Quantum KEM</w:t>
            </w:r>
          </w:p>
        </w:tc>
        <w:tc>
          <w:tcPr>
            <w:tcW w:type="dxa" w:w="1512"/>
            <w:shd w:fill="F5F7FA"/>
          </w:tcPr>
          <w:p>
            <w:pPr>
              <w:spacing w:before="40" w:after="40"/>
              <w:jc w:val="left"/>
            </w:pPr>
            <w:r/>
            <w:r>
              <w:rPr>
                <w:rFonts w:ascii="Calibri" w:hAnsi="Calibri"/>
                <w:b w:val="0"/>
                <w:color w:val="333333"/>
                <w:sz w:val="18"/>
              </w:rPr>
              <w:t>ML-KEM-768</w:t>
            </w:r>
          </w:p>
        </w:tc>
        <w:tc>
          <w:tcPr>
            <w:tcW w:type="dxa" w:w="1512"/>
            <w:shd w:fill="F5F7FA"/>
          </w:tcPr>
          <w:p>
            <w:pPr>
              <w:spacing w:before="40" w:after="40"/>
              <w:jc w:val="left"/>
            </w:pPr>
            <w:r/>
            <w:r>
              <w:rPr>
                <w:rFonts w:ascii="Calibri" w:hAnsi="Calibri"/>
                <w:b w:val="0"/>
                <w:color w:val="333333"/>
                <w:sz w:val="18"/>
              </w:rPr>
              <w:t>PQXDH**</w:t>
            </w:r>
          </w:p>
        </w:tc>
        <w:tc>
          <w:tcPr>
            <w:tcW w:type="dxa" w:w="1512"/>
            <w:shd w:fill="F5F7FA"/>
          </w:tcPr>
          <w:p>
            <w:pPr>
              <w:spacing w:before="40" w:after="40"/>
              <w:jc w:val="left"/>
            </w:pPr>
            <w:r/>
            <w:r>
              <w:rPr>
                <w:rFonts w:ascii="Calibri" w:hAnsi="Calibri"/>
                <w:b w:val="0"/>
                <w:color w:val="333333"/>
                <w:sz w:val="18"/>
              </w:rPr>
              <w:t>No</w:t>
            </w:r>
          </w:p>
        </w:tc>
        <w:tc>
          <w:tcPr>
            <w:tcW w:type="dxa" w:w="1512"/>
            <w:shd w:fill="F5F7FA"/>
          </w:tcPr>
          <w:p>
            <w:pPr>
              <w:spacing w:before="40" w:after="40"/>
              <w:jc w:val="left"/>
            </w:pPr>
            <w:r/>
            <w:r>
              <w:rPr>
                <w:rFonts w:ascii="Calibri" w:hAnsi="Calibri"/>
                <w:b w:val="0"/>
                <w:color w:val="333333"/>
                <w:sz w:val="18"/>
              </w:rPr>
              <w:t>No</w:t>
            </w:r>
          </w:p>
        </w:tc>
        <w:tc>
          <w:tcPr>
            <w:tcW w:type="dxa" w:w="1512"/>
            <w:shd w:fill="F5F7FA"/>
          </w:tcPr>
          <w:p>
            <w:pPr>
              <w:spacing w:before="40" w:after="40"/>
              <w:jc w:val="left"/>
            </w:pPr>
            <w:r/>
            <w:r>
              <w:rPr>
                <w:rFonts w:ascii="Calibri" w:hAnsi="Calibri"/>
                <w:b w:val="0"/>
                <w:color w:val="333333"/>
                <w:sz w:val="18"/>
              </w:rPr>
              <w:t>PQ3**</w:t>
            </w:r>
          </w:p>
        </w:tc>
      </w:tr>
      <w:tr>
        <w:tc>
          <w:tcPr>
            <w:tcW w:type="dxa" w:w="1512"/>
            <w:shd w:fill="FFFFFF"/>
          </w:tcPr>
          <w:p>
            <w:pPr>
              <w:spacing w:before="40" w:after="40"/>
              <w:jc w:val="left"/>
            </w:pPr>
            <w:r/>
            <w:r>
              <w:rPr>
                <w:rFonts w:ascii="Calibri" w:hAnsi="Calibri"/>
                <w:b w:val="0"/>
                <w:color w:val="333333"/>
                <w:sz w:val="18"/>
              </w:rPr>
              <w:t>PQ Signatures</w:t>
            </w:r>
          </w:p>
        </w:tc>
        <w:tc>
          <w:tcPr>
            <w:tcW w:type="dxa" w:w="1512"/>
            <w:shd w:fill="FFFFFF"/>
          </w:tcPr>
          <w:p>
            <w:pPr>
              <w:spacing w:before="40" w:after="40"/>
              <w:jc w:val="left"/>
            </w:pPr>
            <w:r/>
            <w:r>
              <w:rPr>
                <w:rFonts w:ascii="Calibri" w:hAnsi="Calibri"/>
                <w:b w:val="0"/>
                <w:color w:val="333333"/>
                <w:sz w:val="18"/>
              </w:rPr>
              <w:t>ML-DSA-65</w:t>
            </w:r>
          </w:p>
        </w:tc>
        <w:tc>
          <w:tcPr>
            <w:tcW w:type="dxa" w:w="1512"/>
            <w:shd w:fill="FFFFFF"/>
          </w:tcPr>
          <w:p>
            <w:pPr>
              <w:spacing w:before="40" w:after="40"/>
              <w:jc w:val="left"/>
            </w:pPr>
            <w:r/>
            <w:r>
              <w:rPr>
                <w:rFonts w:ascii="Calibri" w:hAnsi="Calibri"/>
                <w:b w:val="0"/>
                <w:color w:val="333333"/>
                <w:sz w:val="18"/>
              </w:rPr>
              <w:t>No</w:t>
            </w:r>
          </w:p>
        </w:tc>
        <w:tc>
          <w:tcPr>
            <w:tcW w:type="dxa" w:w="1512"/>
            <w:shd w:fill="FFFFFF"/>
          </w:tcPr>
          <w:p>
            <w:pPr>
              <w:spacing w:before="40" w:after="40"/>
              <w:jc w:val="left"/>
            </w:pPr>
            <w:r/>
            <w:r>
              <w:rPr>
                <w:rFonts w:ascii="Calibri" w:hAnsi="Calibri"/>
                <w:b w:val="0"/>
                <w:color w:val="333333"/>
                <w:sz w:val="18"/>
              </w:rPr>
              <w:t>No</w:t>
            </w:r>
          </w:p>
        </w:tc>
        <w:tc>
          <w:tcPr>
            <w:tcW w:type="dxa" w:w="1512"/>
            <w:shd w:fill="FFFFFF"/>
          </w:tcPr>
          <w:p>
            <w:pPr>
              <w:spacing w:before="40" w:after="40"/>
              <w:jc w:val="left"/>
            </w:pPr>
            <w:r/>
            <w:r>
              <w:rPr>
                <w:rFonts w:ascii="Calibri" w:hAnsi="Calibri"/>
                <w:b w:val="0"/>
                <w:color w:val="333333"/>
                <w:sz w:val="18"/>
              </w:rPr>
              <w:t>No</w:t>
            </w:r>
          </w:p>
        </w:tc>
        <w:tc>
          <w:tcPr>
            <w:tcW w:type="dxa" w:w="1512"/>
            <w:shd w:fill="FFFFFF"/>
          </w:tcPr>
          <w:p>
            <w:pPr>
              <w:spacing w:before="40" w:after="40"/>
              <w:jc w:val="left"/>
            </w:pPr>
            <w:r/>
            <w:r>
              <w:rPr>
                <w:rFonts w:ascii="Calibri" w:hAnsi="Calibri"/>
                <w:b w:val="0"/>
                <w:color w:val="333333"/>
                <w:sz w:val="18"/>
              </w:rPr>
              <w:t>No</w:t>
            </w:r>
          </w:p>
        </w:tc>
      </w:tr>
      <w:tr>
        <w:tc>
          <w:tcPr>
            <w:tcW w:type="dxa" w:w="1512"/>
            <w:shd w:fill="F5F7FA"/>
          </w:tcPr>
          <w:p>
            <w:pPr>
              <w:spacing w:before="40" w:after="40"/>
              <w:jc w:val="left"/>
            </w:pPr>
            <w:r/>
            <w:r>
              <w:rPr>
                <w:rFonts w:ascii="Calibri" w:hAnsi="Calibri"/>
                <w:b w:val="0"/>
                <w:color w:val="333333"/>
                <w:sz w:val="18"/>
              </w:rPr>
              <w:t>Forward Secrecy</w:t>
            </w:r>
          </w:p>
        </w:tc>
        <w:tc>
          <w:tcPr>
            <w:tcW w:type="dxa" w:w="1512"/>
            <w:shd w:fill="F5F7FA"/>
          </w:tcPr>
          <w:p>
            <w:pPr>
              <w:spacing w:before="40" w:after="40"/>
              <w:jc w:val="left"/>
            </w:pPr>
            <w:r/>
            <w:r>
              <w:rPr>
                <w:rFonts w:ascii="Calibri" w:hAnsi="Calibri"/>
                <w:b w:val="0"/>
                <w:color w:val="333333"/>
                <w:sz w:val="18"/>
              </w:rPr>
              <w:t>Yes</w:t>
            </w:r>
          </w:p>
        </w:tc>
        <w:tc>
          <w:tcPr>
            <w:tcW w:type="dxa" w:w="1512"/>
            <w:shd w:fill="F5F7FA"/>
          </w:tcPr>
          <w:p>
            <w:pPr>
              <w:spacing w:before="40" w:after="40"/>
              <w:jc w:val="left"/>
            </w:pPr>
            <w:r/>
            <w:r>
              <w:rPr>
                <w:rFonts w:ascii="Calibri" w:hAnsi="Calibri"/>
                <w:b w:val="0"/>
                <w:color w:val="333333"/>
                <w:sz w:val="18"/>
              </w:rPr>
              <w:t>Yes</w:t>
            </w:r>
          </w:p>
        </w:tc>
        <w:tc>
          <w:tcPr>
            <w:tcW w:type="dxa" w:w="1512"/>
            <w:shd w:fill="F5F7FA"/>
          </w:tcPr>
          <w:p>
            <w:pPr>
              <w:spacing w:before="40" w:after="40"/>
              <w:jc w:val="left"/>
            </w:pPr>
            <w:r/>
            <w:r>
              <w:rPr>
                <w:rFonts w:ascii="Calibri" w:hAnsi="Calibri"/>
                <w:b w:val="0"/>
                <w:color w:val="333333"/>
                <w:sz w:val="18"/>
              </w:rPr>
              <w:t>Yes</w:t>
            </w:r>
          </w:p>
        </w:tc>
        <w:tc>
          <w:tcPr>
            <w:tcW w:type="dxa" w:w="1512"/>
            <w:shd w:fill="F5F7FA"/>
          </w:tcPr>
          <w:p>
            <w:pPr>
              <w:spacing w:before="40" w:after="40"/>
              <w:jc w:val="left"/>
            </w:pPr>
            <w:r/>
            <w:r>
              <w:rPr>
                <w:rFonts w:ascii="Calibri" w:hAnsi="Calibri"/>
                <w:b w:val="0"/>
                <w:color w:val="333333"/>
                <w:sz w:val="18"/>
              </w:rPr>
              <w:t>Yes*</w:t>
            </w:r>
          </w:p>
        </w:tc>
        <w:tc>
          <w:tcPr>
            <w:tcW w:type="dxa" w:w="1512"/>
            <w:shd w:fill="F5F7FA"/>
          </w:tcPr>
          <w:p>
            <w:pPr>
              <w:spacing w:before="40" w:after="40"/>
              <w:jc w:val="left"/>
            </w:pPr>
            <w:r/>
            <w:r>
              <w:rPr>
                <w:rFonts w:ascii="Calibri" w:hAnsi="Calibri"/>
                <w:b w:val="0"/>
                <w:color w:val="333333"/>
                <w:sz w:val="18"/>
              </w:rPr>
              <w:t>Yes</w:t>
            </w:r>
          </w:p>
        </w:tc>
      </w:tr>
      <w:tr>
        <w:tc>
          <w:tcPr>
            <w:tcW w:type="dxa" w:w="1512"/>
            <w:shd w:fill="FFFFFF"/>
          </w:tcPr>
          <w:p>
            <w:pPr>
              <w:spacing w:before="40" w:after="40"/>
              <w:jc w:val="left"/>
            </w:pPr>
            <w:r/>
            <w:r>
              <w:rPr>
                <w:rFonts w:ascii="Calibri" w:hAnsi="Calibri"/>
                <w:b w:val="0"/>
                <w:color w:val="333333"/>
                <w:sz w:val="18"/>
              </w:rPr>
              <w:t>Open Source Crypto</w:t>
            </w:r>
          </w:p>
        </w:tc>
        <w:tc>
          <w:tcPr>
            <w:tcW w:type="dxa" w:w="1512"/>
            <w:shd w:fill="FFFFFF"/>
          </w:tcPr>
          <w:p>
            <w:pPr>
              <w:spacing w:before="40" w:after="40"/>
              <w:jc w:val="left"/>
            </w:pPr>
            <w:r/>
            <w:r>
              <w:rPr>
                <w:rFonts w:ascii="Calibri" w:hAnsi="Calibri"/>
                <w:b w:val="0"/>
                <w:color w:val="333333"/>
                <w:sz w:val="18"/>
              </w:rPr>
              <w:t>Yes</w:t>
            </w:r>
          </w:p>
        </w:tc>
        <w:tc>
          <w:tcPr>
            <w:tcW w:type="dxa" w:w="1512"/>
            <w:shd w:fill="FFFFFF"/>
          </w:tcPr>
          <w:p>
            <w:pPr>
              <w:spacing w:before="40" w:after="40"/>
              <w:jc w:val="left"/>
            </w:pPr>
            <w:r/>
            <w:r>
              <w:rPr>
                <w:rFonts w:ascii="Calibri" w:hAnsi="Calibri"/>
                <w:b w:val="0"/>
                <w:color w:val="333333"/>
                <w:sz w:val="18"/>
              </w:rPr>
              <w:t>Yes</w:t>
            </w:r>
          </w:p>
        </w:tc>
        <w:tc>
          <w:tcPr>
            <w:tcW w:type="dxa" w:w="1512"/>
            <w:shd w:fill="FFFFFF"/>
          </w:tcPr>
          <w:p>
            <w:pPr>
              <w:spacing w:before="40" w:after="40"/>
              <w:jc w:val="left"/>
            </w:pPr>
            <w:r/>
            <w:r>
              <w:rPr>
                <w:rFonts w:ascii="Calibri" w:hAnsi="Calibri"/>
                <w:b w:val="0"/>
                <w:color w:val="333333"/>
                <w:sz w:val="18"/>
              </w:rPr>
              <w:t>No</w:t>
            </w:r>
          </w:p>
        </w:tc>
        <w:tc>
          <w:tcPr>
            <w:tcW w:type="dxa" w:w="1512"/>
            <w:shd w:fill="FFFFFF"/>
          </w:tcPr>
          <w:p>
            <w:pPr>
              <w:spacing w:before="40" w:after="40"/>
              <w:jc w:val="left"/>
            </w:pPr>
            <w:r/>
            <w:r>
              <w:rPr>
                <w:rFonts w:ascii="Calibri" w:hAnsi="Calibri"/>
                <w:b w:val="0"/>
                <w:color w:val="333333"/>
                <w:sz w:val="18"/>
              </w:rPr>
              <w:t>No</w:t>
            </w:r>
          </w:p>
        </w:tc>
        <w:tc>
          <w:tcPr>
            <w:tcW w:type="dxa" w:w="1512"/>
            <w:shd w:fill="FFFFFF"/>
          </w:tcPr>
          <w:p>
            <w:pPr>
              <w:spacing w:before="40" w:after="40"/>
              <w:jc w:val="left"/>
            </w:pPr>
            <w:r/>
            <w:r>
              <w:rPr>
                <w:rFonts w:ascii="Calibri" w:hAnsi="Calibri"/>
                <w:b w:val="0"/>
                <w:color w:val="333333"/>
                <w:sz w:val="18"/>
              </w:rPr>
              <w:t>No</w:t>
            </w:r>
          </w:p>
        </w:tc>
      </w:tr>
      <w:tr>
        <w:tc>
          <w:tcPr>
            <w:tcW w:type="dxa" w:w="1512"/>
            <w:shd w:fill="F5F7FA"/>
          </w:tcPr>
          <w:p>
            <w:pPr>
              <w:spacing w:before="40" w:after="40"/>
              <w:jc w:val="left"/>
            </w:pPr>
            <w:r/>
            <w:r>
              <w:rPr>
                <w:rFonts w:ascii="Calibri" w:hAnsi="Calibri"/>
                <w:b w:val="0"/>
                <w:color w:val="333333"/>
                <w:sz w:val="18"/>
              </w:rPr>
              <w:t>Safety Numbers</w:t>
            </w:r>
          </w:p>
        </w:tc>
        <w:tc>
          <w:tcPr>
            <w:tcW w:type="dxa" w:w="1512"/>
            <w:shd w:fill="F5F7FA"/>
          </w:tcPr>
          <w:p>
            <w:pPr>
              <w:spacing w:before="40" w:after="40"/>
              <w:jc w:val="left"/>
            </w:pPr>
            <w:r/>
            <w:r>
              <w:rPr>
                <w:rFonts w:ascii="Calibri" w:hAnsi="Calibri"/>
                <w:b w:val="0"/>
                <w:color w:val="333333"/>
                <w:sz w:val="18"/>
              </w:rPr>
              <w:t>Yes</w:t>
            </w:r>
          </w:p>
        </w:tc>
        <w:tc>
          <w:tcPr>
            <w:tcW w:type="dxa" w:w="1512"/>
            <w:shd w:fill="F5F7FA"/>
          </w:tcPr>
          <w:p>
            <w:pPr>
              <w:spacing w:before="40" w:after="40"/>
              <w:jc w:val="left"/>
            </w:pPr>
            <w:r/>
            <w:r>
              <w:rPr>
                <w:rFonts w:ascii="Calibri" w:hAnsi="Calibri"/>
                <w:b w:val="0"/>
                <w:color w:val="333333"/>
                <w:sz w:val="18"/>
              </w:rPr>
              <w:t>Yes</w:t>
            </w:r>
          </w:p>
        </w:tc>
        <w:tc>
          <w:tcPr>
            <w:tcW w:type="dxa" w:w="1512"/>
            <w:shd w:fill="F5F7FA"/>
          </w:tcPr>
          <w:p>
            <w:pPr>
              <w:spacing w:before="40" w:after="40"/>
              <w:jc w:val="left"/>
            </w:pPr>
            <w:r/>
            <w:r>
              <w:rPr>
                <w:rFonts w:ascii="Calibri" w:hAnsi="Calibri"/>
                <w:b w:val="0"/>
                <w:color w:val="333333"/>
                <w:sz w:val="18"/>
              </w:rPr>
              <w:t>Yes</w:t>
            </w:r>
          </w:p>
        </w:tc>
        <w:tc>
          <w:tcPr>
            <w:tcW w:type="dxa" w:w="1512"/>
            <w:shd w:fill="F5F7FA"/>
          </w:tcPr>
          <w:p>
            <w:pPr>
              <w:spacing w:before="40" w:after="40"/>
              <w:jc w:val="left"/>
            </w:pPr>
            <w:r/>
            <w:r>
              <w:rPr>
                <w:rFonts w:ascii="Calibri" w:hAnsi="Calibri"/>
                <w:b w:val="0"/>
                <w:color w:val="333333"/>
                <w:sz w:val="18"/>
              </w:rPr>
              <w:t>No</w:t>
            </w:r>
          </w:p>
        </w:tc>
        <w:tc>
          <w:tcPr>
            <w:tcW w:type="dxa" w:w="1512"/>
            <w:shd w:fill="F5F7FA"/>
          </w:tcPr>
          <w:p>
            <w:pPr>
              <w:spacing w:before="40" w:after="40"/>
              <w:jc w:val="left"/>
            </w:pPr>
            <w:r/>
            <w:r>
              <w:rPr>
                <w:rFonts w:ascii="Calibri" w:hAnsi="Calibri"/>
                <w:b w:val="0"/>
                <w:color w:val="333333"/>
                <w:sz w:val="18"/>
              </w:rPr>
              <w:t>No</w:t>
            </w:r>
          </w:p>
        </w:tc>
      </w:tr>
      <w:tr>
        <w:tc>
          <w:tcPr>
            <w:tcW w:type="dxa" w:w="1512"/>
            <w:shd w:fill="FFFFFF"/>
          </w:tcPr>
          <w:p>
            <w:pPr>
              <w:spacing w:before="40" w:after="40"/>
              <w:jc w:val="left"/>
            </w:pPr>
            <w:r/>
            <w:r>
              <w:rPr>
                <w:rFonts w:ascii="Calibri" w:hAnsi="Calibri"/>
                <w:b w:val="0"/>
                <w:color w:val="333333"/>
                <w:sz w:val="18"/>
              </w:rPr>
              <w:t>Multi-Device E2EE</w:t>
            </w:r>
          </w:p>
        </w:tc>
        <w:tc>
          <w:tcPr>
            <w:tcW w:type="dxa" w:w="1512"/>
            <w:shd w:fill="FFFFFF"/>
          </w:tcPr>
          <w:p>
            <w:pPr>
              <w:spacing w:before="40" w:after="40"/>
              <w:jc w:val="left"/>
            </w:pPr>
            <w:r/>
            <w:r>
              <w:rPr>
                <w:rFonts w:ascii="Calibri" w:hAnsi="Calibri"/>
                <w:b w:val="0"/>
                <w:color w:val="333333"/>
                <w:sz w:val="18"/>
              </w:rPr>
              <w:t>Yes</w:t>
            </w:r>
          </w:p>
        </w:tc>
        <w:tc>
          <w:tcPr>
            <w:tcW w:type="dxa" w:w="1512"/>
            <w:shd w:fill="FFFFFF"/>
          </w:tcPr>
          <w:p>
            <w:pPr>
              <w:spacing w:before="40" w:after="40"/>
              <w:jc w:val="left"/>
            </w:pPr>
            <w:r/>
            <w:r>
              <w:rPr>
                <w:rFonts w:ascii="Calibri" w:hAnsi="Calibri"/>
                <w:b w:val="0"/>
                <w:color w:val="333333"/>
                <w:sz w:val="18"/>
              </w:rPr>
              <w:t>Partial</w:t>
            </w:r>
          </w:p>
        </w:tc>
        <w:tc>
          <w:tcPr>
            <w:tcW w:type="dxa" w:w="1512"/>
            <w:shd w:fill="FFFFFF"/>
          </w:tcPr>
          <w:p>
            <w:pPr>
              <w:spacing w:before="40" w:after="40"/>
              <w:jc w:val="left"/>
            </w:pPr>
            <w:r/>
            <w:r>
              <w:rPr>
                <w:rFonts w:ascii="Calibri" w:hAnsi="Calibri"/>
                <w:b w:val="0"/>
                <w:color w:val="333333"/>
                <w:sz w:val="18"/>
              </w:rPr>
              <w:t>Partial</w:t>
            </w:r>
          </w:p>
        </w:tc>
        <w:tc>
          <w:tcPr>
            <w:tcW w:type="dxa" w:w="1512"/>
            <w:shd w:fill="FFFFFF"/>
          </w:tcPr>
          <w:p>
            <w:pPr>
              <w:spacing w:before="40" w:after="40"/>
              <w:jc w:val="left"/>
            </w:pPr>
            <w:r/>
            <w:r>
              <w:rPr>
                <w:rFonts w:ascii="Calibri" w:hAnsi="Calibri"/>
                <w:b w:val="0"/>
                <w:color w:val="333333"/>
                <w:sz w:val="18"/>
              </w:rPr>
              <w:t>No</w:t>
            </w:r>
          </w:p>
        </w:tc>
        <w:tc>
          <w:tcPr>
            <w:tcW w:type="dxa" w:w="1512"/>
            <w:shd w:fill="FFFFFF"/>
          </w:tcPr>
          <w:p>
            <w:pPr>
              <w:spacing w:before="40" w:after="40"/>
              <w:jc w:val="left"/>
            </w:pPr>
            <w:r/>
            <w:r>
              <w:rPr>
                <w:rFonts w:ascii="Calibri" w:hAnsi="Calibri"/>
                <w:b w:val="0"/>
                <w:color w:val="333333"/>
                <w:sz w:val="18"/>
              </w:rPr>
              <w:t>Yes</w:t>
            </w:r>
          </w:p>
        </w:tc>
      </w:tr>
      <w:tr>
        <w:tc>
          <w:tcPr>
            <w:tcW w:type="dxa" w:w="1512"/>
            <w:shd w:fill="F5F7FA"/>
          </w:tcPr>
          <w:p>
            <w:pPr>
              <w:spacing w:before="40" w:after="40"/>
              <w:jc w:val="left"/>
            </w:pPr>
            <w:r/>
            <w:r>
              <w:rPr>
                <w:rFonts w:ascii="Calibri" w:hAnsi="Calibri"/>
                <w:b w:val="0"/>
                <w:color w:val="333333"/>
                <w:sz w:val="18"/>
              </w:rPr>
              <w:t>Disappearing Msgs</w:t>
            </w:r>
          </w:p>
        </w:tc>
        <w:tc>
          <w:tcPr>
            <w:tcW w:type="dxa" w:w="1512"/>
            <w:shd w:fill="F5F7FA"/>
          </w:tcPr>
          <w:p>
            <w:pPr>
              <w:spacing w:before="40" w:after="40"/>
              <w:jc w:val="left"/>
            </w:pPr>
            <w:r/>
            <w:r>
              <w:rPr>
                <w:rFonts w:ascii="Calibri" w:hAnsi="Calibri"/>
                <w:b w:val="0"/>
                <w:color w:val="333333"/>
                <w:sz w:val="18"/>
              </w:rPr>
              <w:t>Yes</w:t>
            </w:r>
          </w:p>
        </w:tc>
        <w:tc>
          <w:tcPr>
            <w:tcW w:type="dxa" w:w="1512"/>
            <w:shd w:fill="F5F7FA"/>
          </w:tcPr>
          <w:p>
            <w:pPr>
              <w:spacing w:before="40" w:after="40"/>
              <w:jc w:val="left"/>
            </w:pPr>
            <w:r/>
            <w:r>
              <w:rPr>
                <w:rFonts w:ascii="Calibri" w:hAnsi="Calibri"/>
                <w:b w:val="0"/>
                <w:color w:val="333333"/>
                <w:sz w:val="18"/>
              </w:rPr>
              <w:t>Yes</w:t>
            </w:r>
          </w:p>
        </w:tc>
        <w:tc>
          <w:tcPr>
            <w:tcW w:type="dxa" w:w="1512"/>
            <w:shd w:fill="F5F7FA"/>
          </w:tcPr>
          <w:p>
            <w:pPr>
              <w:spacing w:before="40" w:after="40"/>
              <w:jc w:val="left"/>
            </w:pPr>
            <w:r/>
            <w:r>
              <w:rPr>
                <w:rFonts w:ascii="Calibri" w:hAnsi="Calibri"/>
                <w:b w:val="0"/>
                <w:color w:val="333333"/>
                <w:sz w:val="18"/>
              </w:rPr>
              <w:t>Yes</w:t>
            </w:r>
          </w:p>
        </w:tc>
        <w:tc>
          <w:tcPr>
            <w:tcW w:type="dxa" w:w="1512"/>
            <w:shd w:fill="F5F7FA"/>
          </w:tcPr>
          <w:p>
            <w:pPr>
              <w:spacing w:before="40" w:after="40"/>
              <w:jc w:val="left"/>
            </w:pPr>
            <w:r/>
            <w:r>
              <w:rPr>
                <w:rFonts w:ascii="Calibri" w:hAnsi="Calibri"/>
                <w:b w:val="0"/>
                <w:color w:val="333333"/>
                <w:sz w:val="18"/>
              </w:rPr>
              <w:t>Yes</w:t>
            </w:r>
          </w:p>
        </w:tc>
        <w:tc>
          <w:tcPr>
            <w:tcW w:type="dxa" w:w="1512"/>
            <w:shd w:fill="F5F7FA"/>
          </w:tcPr>
          <w:p>
            <w:pPr>
              <w:spacing w:before="40" w:after="40"/>
              <w:jc w:val="left"/>
            </w:pPr>
            <w:r/>
            <w:r>
              <w:rPr>
                <w:rFonts w:ascii="Calibri" w:hAnsi="Calibri"/>
                <w:b w:val="0"/>
                <w:color w:val="333333"/>
                <w:sz w:val="18"/>
              </w:rPr>
              <w:t>No</w:t>
            </w:r>
          </w:p>
        </w:tc>
      </w:tr>
      <w:tr>
        <w:tc>
          <w:tcPr>
            <w:tcW w:type="dxa" w:w="1512"/>
            <w:shd w:fill="FFFFFF"/>
          </w:tcPr>
          <w:p>
            <w:pPr>
              <w:spacing w:before="40" w:after="40"/>
              <w:jc w:val="left"/>
            </w:pPr>
            <w:r/>
            <w:r>
              <w:rPr>
                <w:rFonts w:ascii="Calibri" w:hAnsi="Calibri"/>
                <w:b w:val="0"/>
                <w:color w:val="333333"/>
                <w:sz w:val="18"/>
              </w:rPr>
              <w:t>Browser Client</w:t>
            </w:r>
          </w:p>
        </w:tc>
        <w:tc>
          <w:tcPr>
            <w:tcW w:type="dxa" w:w="1512"/>
            <w:shd w:fill="FFFFFF"/>
          </w:tcPr>
          <w:p>
            <w:pPr>
              <w:spacing w:before="40" w:after="40"/>
              <w:jc w:val="left"/>
            </w:pPr>
            <w:r/>
            <w:r>
              <w:rPr>
                <w:rFonts w:ascii="Calibri" w:hAnsi="Calibri"/>
                <w:b w:val="0"/>
                <w:color w:val="333333"/>
                <w:sz w:val="18"/>
              </w:rPr>
              <w:t>Yes (WASM)</w:t>
            </w:r>
          </w:p>
        </w:tc>
        <w:tc>
          <w:tcPr>
            <w:tcW w:type="dxa" w:w="1512"/>
            <w:shd w:fill="FFFFFF"/>
          </w:tcPr>
          <w:p>
            <w:pPr>
              <w:spacing w:before="40" w:after="40"/>
              <w:jc w:val="left"/>
            </w:pPr>
            <w:r/>
            <w:r>
              <w:rPr>
                <w:rFonts w:ascii="Calibri" w:hAnsi="Calibri"/>
                <w:b w:val="0"/>
                <w:color w:val="333333"/>
                <w:sz w:val="18"/>
              </w:rPr>
              <w:t>No</w:t>
            </w:r>
          </w:p>
        </w:tc>
        <w:tc>
          <w:tcPr>
            <w:tcW w:type="dxa" w:w="1512"/>
            <w:shd w:fill="FFFFFF"/>
          </w:tcPr>
          <w:p>
            <w:pPr>
              <w:spacing w:before="40" w:after="40"/>
              <w:jc w:val="left"/>
            </w:pPr>
            <w:r/>
            <w:r>
              <w:rPr>
                <w:rFonts w:ascii="Calibri" w:hAnsi="Calibri"/>
                <w:b w:val="0"/>
                <w:color w:val="333333"/>
                <w:sz w:val="18"/>
              </w:rPr>
              <w:t>No</w:t>
            </w:r>
          </w:p>
        </w:tc>
        <w:tc>
          <w:tcPr>
            <w:tcW w:type="dxa" w:w="1512"/>
            <w:shd w:fill="FFFFFF"/>
          </w:tcPr>
          <w:p>
            <w:pPr>
              <w:spacing w:before="40" w:after="40"/>
              <w:jc w:val="left"/>
            </w:pPr>
            <w:r/>
            <w:r>
              <w:rPr>
                <w:rFonts w:ascii="Calibri" w:hAnsi="Calibri"/>
                <w:b w:val="0"/>
                <w:color w:val="333333"/>
                <w:sz w:val="18"/>
              </w:rPr>
              <w:t>Yes</w:t>
            </w:r>
          </w:p>
        </w:tc>
        <w:tc>
          <w:tcPr>
            <w:tcW w:type="dxa" w:w="1512"/>
            <w:shd w:fill="FFFFFF"/>
          </w:tcPr>
          <w:p>
            <w:pPr>
              <w:spacing w:before="40" w:after="40"/>
              <w:jc w:val="left"/>
            </w:pPr>
            <w:r/>
            <w:r>
              <w:rPr>
                <w:rFonts w:ascii="Calibri" w:hAnsi="Calibri"/>
                <w:b w:val="0"/>
                <w:color w:val="333333"/>
                <w:sz w:val="18"/>
              </w:rPr>
              <w:t>No</w:t>
            </w:r>
          </w:p>
        </w:tc>
      </w:tr>
      <w:tr>
        <w:tc>
          <w:tcPr>
            <w:tcW w:type="dxa" w:w="1512"/>
            <w:shd w:fill="F5F7FA"/>
          </w:tcPr>
          <w:p>
            <w:pPr>
              <w:spacing w:before="40" w:after="40"/>
              <w:jc w:val="left"/>
            </w:pPr>
            <w:r/>
            <w:r>
              <w:rPr>
                <w:rFonts w:ascii="Calibri" w:hAnsi="Calibri"/>
                <w:b w:val="0"/>
                <w:color w:val="333333"/>
                <w:sz w:val="18"/>
              </w:rPr>
              <w:t>Key Agreement</w:t>
            </w:r>
          </w:p>
        </w:tc>
        <w:tc>
          <w:tcPr>
            <w:tcW w:type="dxa" w:w="1512"/>
            <w:shd w:fill="F5F7FA"/>
          </w:tcPr>
          <w:p>
            <w:pPr>
              <w:spacing w:before="40" w:after="40"/>
              <w:jc w:val="left"/>
            </w:pPr>
            <w:r/>
            <w:r>
              <w:rPr>
                <w:rFonts w:ascii="Calibri" w:hAnsi="Calibri"/>
                <w:b w:val="0"/>
                <w:color w:val="333333"/>
                <w:sz w:val="18"/>
              </w:rPr>
              <w:t>Hybrid X3DH</w:t>
            </w:r>
          </w:p>
        </w:tc>
        <w:tc>
          <w:tcPr>
            <w:tcW w:type="dxa" w:w="1512"/>
            <w:shd w:fill="F5F7FA"/>
          </w:tcPr>
          <w:p>
            <w:pPr>
              <w:spacing w:before="40" w:after="40"/>
              <w:jc w:val="left"/>
            </w:pPr>
            <w:r/>
            <w:r>
              <w:rPr>
                <w:rFonts w:ascii="Calibri" w:hAnsi="Calibri"/>
                <w:b w:val="0"/>
                <w:color w:val="333333"/>
                <w:sz w:val="18"/>
              </w:rPr>
              <w:t>X3DH</w:t>
            </w:r>
          </w:p>
        </w:tc>
        <w:tc>
          <w:tcPr>
            <w:tcW w:type="dxa" w:w="1512"/>
            <w:shd w:fill="F5F7FA"/>
          </w:tcPr>
          <w:p>
            <w:pPr>
              <w:spacing w:before="40" w:after="40"/>
              <w:jc w:val="left"/>
            </w:pPr>
            <w:r/>
            <w:r>
              <w:rPr>
                <w:rFonts w:ascii="Calibri" w:hAnsi="Calibri"/>
                <w:b w:val="0"/>
                <w:color w:val="333333"/>
                <w:sz w:val="18"/>
              </w:rPr>
              <w:t>X3DH</w:t>
            </w:r>
          </w:p>
        </w:tc>
        <w:tc>
          <w:tcPr>
            <w:tcW w:type="dxa" w:w="1512"/>
            <w:shd w:fill="F5F7FA"/>
          </w:tcPr>
          <w:p>
            <w:pPr>
              <w:spacing w:before="40" w:after="40"/>
              <w:jc w:val="left"/>
            </w:pPr>
            <w:r/>
            <w:r>
              <w:rPr>
                <w:rFonts w:ascii="Calibri" w:hAnsi="Calibri"/>
                <w:b w:val="0"/>
                <w:color w:val="333333"/>
                <w:sz w:val="18"/>
              </w:rPr>
              <w:t>DH</w:t>
            </w:r>
          </w:p>
        </w:tc>
        <w:tc>
          <w:tcPr>
            <w:tcW w:type="dxa" w:w="1512"/>
            <w:shd w:fill="F5F7FA"/>
          </w:tcPr>
          <w:p>
            <w:pPr>
              <w:spacing w:before="40" w:after="40"/>
              <w:jc w:val="left"/>
            </w:pPr>
            <w:r/>
            <w:r>
              <w:rPr>
                <w:rFonts w:ascii="Calibri" w:hAnsi="Calibri"/>
                <w:b w:val="0"/>
                <w:color w:val="333333"/>
                <w:sz w:val="18"/>
              </w:rPr>
              <w:t>ECIES</w:t>
            </w:r>
          </w:p>
        </w:tc>
      </w:tr>
      <w:tr>
        <w:tc>
          <w:tcPr>
            <w:tcW w:type="dxa" w:w="1512"/>
            <w:shd w:fill="FFFFFF"/>
          </w:tcPr>
          <w:p>
            <w:pPr>
              <w:spacing w:before="40" w:after="40"/>
              <w:jc w:val="left"/>
            </w:pPr>
            <w:r/>
            <w:r>
              <w:rPr>
                <w:rFonts w:ascii="Calibri" w:hAnsi="Calibri"/>
                <w:b w:val="0"/>
                <w:color w:val="333333"/>
                <w:sz w:val="18"/>
              </w:rPr>
              <w:t>Symmetric Cipher</w:t>
            </w:r>
          </w:p>
        </w:tc>
        <w:tc>
          <w:tcPr>
            <w:tcW w:type="dxa" w:w="1512"/>
            <w:shd w:fill="FFFFFF"/>
          </w:tcPr>
          <w:p>
            <w:pPr>
              <w:spacing w:before="40" w:after="40"/>
              <w:jc w:val="left"/>
            </w:pPr>
            <w:r/>
            <w:r>
              <w:rPr>
                <w:rFonts w:ascii="Calibri" w:hAnsi="Calibri"/>
                <w:b w:val="0"/>
                <w:color w:val="333333"/>
                <w:sz w:val="18"/>
              </w:rPr>
              <w:t>AES-256-GCM</w:t>
            </w:r>
          </w:p>
        </w:tc>
        <w:tc>
          <w:tcPr>
            <w:tcW w:type="dxa" w:w="1512"/>
            <w:shd w:fill="FFFFFF"/>
          </w:tcPr>
          <w:p>
            <w:pPr>
              <w:spacing w:before="40" w:after="40"/>
              <w:jc w:val="left"/>
            </w:pPr>
            <w:r/>
            <w:r>
              <w:rPr>
                <w:rFonts w:ascii="Calibri" w:hAnsi="Calibri"/>
                <w:b w:val="0"/>
                <w:color w:val="333333"/>
                <w:sz w:val="18"/>
              </w:rPr>
              <w:t>AES-256-CBC</w:t>
            </w:r>
          </w:p>
        </w:tc>
        <w:tc>
          <w:tcPr>
            <w:tcW w:type="dxa" w:w="1512"/>
            <w:shd w:fill="FFFFFF"/>
          </w:tcPr>
          <w:p>
            <w:pPr>
              <w:spacing w:before="40" w:after="40"/>
              <w:jc w:val="left"/>
            </w:pPr>
            <w:r/>
            <w:r>
              <w:rPr>
                <w:rFonts w:ascii="Calibri" w:hAnsi="Calibri"/>
                <w:b w:val="0"/>
                <w:color w:val="333333"/>
                <w:sz w:val="18"/>
              </w:rPr>
              <w:t>AES-256-GCM</w:t>
            </w:r>
          </w:p>
        </w:tc>
        <w:tc>
          <w:tcPr>
            <w:tcW w:type="dxa" w:w="1512"/>
            <w:shd w:fill="FFFFFF"/>
          </w:tcPr>
          <w:p>
            <w:pPr>
              <w:spacing w:before="40" w:after="40"/>
              <w:jc w:val="left"/>
            </w:pPr>
            <w:r/>
            <w:r>
              <w:rPr>
                <w:rFonts w:ascii="Calibri" w:hAnsi="Calibri"/>
                <w:b w:val="0"/>
                <w:color w:val="333333"/>
                <w:sz w:val="18"/>
              </w:rPr>
              <w:t>AES-256-IGE</w:t>
            </w:r>
          </w:p>
        </w:tc>
        <w:tc>
          <w:tcPr>
            <w:tcW w:type="dxa" w:w="1512"/>
            <w:shd w:fill="FFFFFF"/>
          </w:tcPr>
          <w:p>
            <w:pPr>
              <w:spacing w:before="40" w:after="40"/>
              <w:jc w:val="left"/>
            </w:pPr>
            <w:r/>
            <w:r>
              <w:rPr>
                <w:rFonts w:ascii="Calibri" w:hAnsi="Calibri"/>
                <w:b w:val="0"/>
                <w:color w:val="333333"/>
                <w:sz w:val="18"/>
              </w:rPr>
              <w:t>AES-CTR</w:t>
            </w:r>
          </w:p>
        </w:tc>
      </w:tr>
    </w:tbl>
    <w:p>
      <w:pPr>
        <w:spacing w:before="80" w:after="280"/>
        <w:jc w:val="center"/>
      </w:pPr>
      <w:r>
        <w:rPr>
          <w:rFonts w:ascii="Calibri" w:hAnsi="Calibri"/>
          <w:i/>
          <w:color w:val="757575"/>
          <w:sz w:val="18"/>
        </w:rPr>
        <w:t>Table 5: Feature comparison. *Telegram requires manual opt-in for secret chats. **Signal's PQXDH and Apple's PQ3 are recent additions (2023–2024) using different PQ schemes.</w:t>
      </w:r>
    </w:p>
    <w:p>
      <w:pPr>
        <w:jc w:val="center"/>
      </w:pPr>
      <w:r>
        <w:drawing>
          <wp:inline xmlns:a="http://schemas.openxmlformats.org/drawingml/2006/main" xmlns:pic="http://schemas.openxmlformats.org/drawingml/2006/picture">
            <wp:extent cx="5040000" cy="224523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40000" cy="2245234"/>
                    </a:xfrm>
                    <a:prstGeom prst="rect"/>
                  </pic:spPr>
                </pic:pic>
              </a:graphicData>
            </a:graphic>
          </wp:inline>
        </w:drawing>
      </w:r>
    </w:p>
    <w:p>
      <w:pPr>
        <w:spacing w:before="80" w:after="280"/>
        <w:jc w:val="center"/>
      </w:pPr>
      <w:r>
        <w:rPr>
          <w:rFonts w:ascii="Calibri" w:hAnsi="Calibri"/>
          <w:i/>
          <w:color w:val="757575"/>
          <w:sz w:val="18"/>
        </w:rPr>
        <w:t>Figure 2: Aggregate security feature comparison.</w:t>
      </w:r>
    </w:p>
    <w:p>
      <w:pPr>
        <w:pStyle w:val="Heading1"/>
      </w:pPr>
      <w:r>
        <w:t>8. Implementation Details</w:t>
      </w:r>
    </w:p>
    <w:p>
      <w:pPr>
        <w:pStyle w:val="Heading2"/>
      </w:pPr>
      <w:r>
        <w:t>8.1 Client-Side Services</w:t>
      </w:r>
    </w:p>
    <w:p>
      <w:r>
        <w:t>The Blazor WebAssembly client implements the following key services, all running entirely within the browser's WASM sandbox:</w:t>
      </w:r>
    </w:p>
    <w:tbl>
      <w:tblPr>
        <w:tblW w:type="auto" w:w="0"/>
        <w:jc w:val="center"/>
        <w:tblLook w:firstColumn="1" w:firstRow="1" w:lastColumn="0" w:lastRow="0" w:noHBand="0" w:noVBand="1" w:val="04A0"/>
      </w:tblPr>
      <w:tblGrid>
        <w:gridCol w:w="4536"/>
        <w:gridCol w:w="4536"/>
      </w:tblGrid>
      <w:tr>
        <w:tc>
          <w:tcPr>
            <w:tcW w:type="dxa" w:w="4536"/>
            <w:shd w:fill="1565C0"/>
          </w:tcPr>
          <w:p>
            <w:pPr>
              <w:spacing w:before="40" w:after="40"/>
              <w:jc w:val="center"/>
            </w:pPr>
            <w:r/>
            <w:r>
              <w:rPr>
                <w:rFonts w:ascii="Calibri" w:hAnsi="Calibri"/>
                <w:b/>
                <w:color w:val="FFFFFF"/>
                <w:sz w:val="19"/>
              </w:rPr>
              <w:t>Service</w:t>
            </w:r>
          </w:p>
        </w:tc>
        <w:tc>
          <w:tcPr>
            <w:tcW w:type="dxa" w:w="4536"/>
            <w:shd w:fill="1565C0"/>
          </w:tcPr>
          <w:p>
            <w:pPr>
              <w:spacing w:before="40" w:after="40"/>
              <w:jc w:val="center"/>
            </w:pPr>
            <w:r/>
            <w:r>
              <w:rPr>
                <w:rFonts w:ascii="Calibri" w:hAnsi="Calibri"/>
                <w:b/>
                <w:color w:val="FFFFFF"/>
                <w:sz w:val="19"/>
              </w:rPr>
              <w:t>Responsibility</w:t>
            </w:r>
          </w:p>
        </w:tc>
      </w:tr>
      <w:tr>
        <w:tc>
          <w:tcPr>
            <w:tcW w:type="dxa" w:w="4536"/>
            <w:shd w:fill="FFFFFF"/>
          </w:tcPr>
          <w:p>
            <w:pPr>
              <w:spacing w:before="40" w:after="40"/>
              <w:jc w:val="left"/>
            </w:pPr>
            <w:r/>
            <w:r>
              <w:rPr>
                <w:rFonts w:ascii="Consolas" w:hAnsi="Consolas"/>
                <w:b w:val="0"/>
                <w:color w:val="333333"/>
                <w:sz w:val="18"/>
              </w:rPr>
              <w:t>CryptoService</w:t>
            </w:r>
          </w:p>
        </w:tc>
        <w:tc>
          <w:tcPr>
            <w:tcW w:type="dxa" w:w="4536"/>
            <w:shd w:fill="FFFFFF"/>
          </w:tcPr>
          <w:p>
            <w:pPr>
              <w:spacing w:before="40" w:after="40"/>
              <w:jc w:val="left"/>
            </w:pPr>
            <w:r/>
            <w:r>
              <w:rPr>
                <w:rFonts w:ascii="Calibri" w:hAnsi="Calibri"/>
                <w:b w:val="0"/>
                <w:color w:val="333333"/>
                <w:sz w:val="18"/>
              </w:rPr>
              <w:t>Orchestrates X3DH initiation, session establishment, encrypt/decrypt operations</w:t>
            </w:r>
          </w:p>
        </w:tc>
      </w:tr>
      <w:tr>
        <w:tc>
          <w:tcPr>
            <w:tcW w:type="dxa" w:w="4536"/>
            <w:shd w:fill="F5F7FA"/>
          </w:tcPr>
          <w:p>
            <w:pPr>
              <w:spacing w:before="40" w:after="40"/>
              <w:jc w:val="left"/>
            </w:pPr>
            <w:r/>
            <w:r>
              <w:rPr>
                <w:rFonts w:ascii="Consolas" w:hAnsi="Consolas"/>
                <w:b w:val="0"/>
                <w:color w:val="333333"/>
                <w:sz w:val="18"/>
              </w:rPr>
              <w:t>SessionService</w:t>
            </w:r>
          </w:p>
        </w:tc>
        <w:tc>
          <w:tcPr>
            <w:tcW w:type="dxa" w:w="4536"/>
            <w:shd w:fill="F5F7FA"/>
          </w:tcPr>
          <w:p>
            <w:pPr>
              <w:spacing w:before="40" w:after="40"/>
              <w:jc w:val="left"/>
            </w:pPr>
            <w:r/>
            <w:r>
              <w:rPr>
                <w:rFonts w:ascii="Calibri" w:hAnsi="Calibri"/>
                <w:b w:val="0"/>
                <w:color w:val="333333"/>
                <w:sz w:val="18"/>
              </w:rPr>
              <w:t>Manages Double Ratchet state per peer device (root key, chain keys, counters)</w:t>
            </w:r>
          </w:p>
        </w:tc>
      </w:tr>
      <w:tr>
        <w:tc>
          <w:tcPr>
            <w:tcW w:type="dxa" w:w="4536"/>
            <w:shd w:fill="FFFFFF"/>
          </w:tcPr>
          <w:p>
            <w:pPr>
              <w:spacing w:before="40" w:after="40"/>
              <w:jc w:val="left"/>
            </w:pPr>
            <w:r/>
            <w:r>
              <w:rPr>
                <w:rFonts w:ascii="Consolas" w:hAnsi="Consolas"/>
                <w:b w:val="0"/>
                <w:color w:val="333333"/>
                <w:sz w:val="18"/>
              </w:rPr>
              <w:t>KeyGenerationService</w:t>
            </w:r>
          </w:p>
        </w:tc>
        <w:tc>
          <w:tcPr>
            <w:tcW w:type="dxa" w:w="4536"/>
            <w:shd w:fill="FFFFFF"/>
          </w:tcPr>
          <w:p>
            <w:pPr>
              <w:spacing w:before="40" w:after="40"/>
              <w:jc w:val="left"/>
            </w:pPr>
            <w:r/>
            <w:r>
              <w:rPr>
                <w:rFonts w:ascii="Calibri" w:hAnsi="Calibri"/>
                <w:b w:val="0"/>
                <w:color w:val="333333"/>
                <w:sz w:val="18"/>
              </w:rPr>
              <w:t>Generates identity keys (Ed25519+ML-DSA), signed pre-keys, Kyber pre-keys, OTP keys</w:t>
            </w:r>
          </w:p>
        </w:tc>
      </w:tr>
      <w:tr>
        <w:tc>
          <w:tcPr>
            <w:tcW w:type="dxa" w:w="4536"/>
            <w:shd w:fill="F5F7FA"/>
          </w:tcPr>
          <w:p>
            <w:pPr>
              <w:spacing w:before="40" w:after="40"/>
              <w:jc w:val="left"/>
            </w:pPr>
            <w:r/>
            <w:r>
              <w:rPr>
                <w:rFonts w:ascii="Consolas" w:hAnsi="Consolas"/>
                <w:b w:val="0"/>
                <w:color w:val="333333"/>
                <w:sz w:val="18"/>
              </w:rPr>
              <w:t>MessageEncryptionService</w:t>
            </w:r>
          </w:p>
        </w:tc>
        <w:tc>
          <w:tcPr>
            <w:tcW w:type="dxa" w:w="4536"/>
            <w:shd w:fill="F5F7FA"/>
          </w:tcPr>
          <w:p>
            <w:pPr>
              <w:spacing w:before="40" w:after="40"/>
              <w:jc w:val="left"/>
            </w:pPr>
            <w:r/>
            <w:r>
              <w:rPr>
                <w:rFonts w:ascii="Calibri" w:hAnsi="Calibri"/>
                <w:b w:val="0"/>
                <w:color w:val="333333"/>
                <w:sz w:val="18"/>
              </w:rPr>
              <w:t>Multi-device fan-out: encrypts for all of recipient's registered devices</w:t>
            </w:r>
          </w:p>
        </w:tc>
      </w:tr>
      <w:tr>
        <w:tc>
          <w:tcPr>
            <w:tcW w:type="dxa" w:w="4536"/>
            <w:shd w:fill="FFFFFF"/>
          </w:tcPr>
          <w:p>
            <w:pPr>
              <w:spacing w:before="40" w:after="40"/>
              <w:jc w:val="left"/>
            </w:pPr>
            <w:r/>
            <w:r>
              <w:rPr>
                <w:rFonts w:ascii="Consolas" w:hAnsi="Consolas"/>
                <w:b w:val="0"/>
                <w:color w:val="333333"/>
                <w:sz w:val="18"/>
              </w:rPr>
              <w:t>LocalStorageService</w:t>
            </w:r>
          </w:p>
        </w:tc>
        <w:tc>
          <w:tcPr>
            <w:tcW w:type="dxa" w:w="4536"/>
            <w:shd w:fill="FFFFFF"/>
          </w:tcPr>
          <w:p>
            <w:pPr>
              <w:spacing w:before="40" w:after="40"/>
              <w:jc w:val="left"/>
            </w:pPr>
            <w:r/>
            <w:r>
              <w:rPr>
                <w:rFonts w:ascii="Calibri" w:hAnsi="Calibri"/>
                <w:b w:val="0"/>
                <w:color w:val="333333"/>
                <w:sz w:val="18"/>
              </w:rPr>
              <w:t>Encrypted IndexedDB storage via JS Interop for keys and session state</w:t>
            </w:r>
          </w:p>
        </w:tc>
      </w:tr>
      <w:tr>
        <w:tc>
          <w:tcPr>
            <w:tcW w:type="dxa" w:w="4536"/>
            <w:shd w:fill="F5F7FA"/>
          </w:tcPr>
          <w:p>
            <w:pPr>
              <w:spacing w:before="40" w:after="40"/>
              <w:jc w:val="left"/>
            </w:pPr>
            <w:r/>
            <w:r>
              <w:rPr>
                <w:rFonts w:ascii="Consolas" w:hAnsi="Consolas"/>
                <w:b w:val="0"/>
                <w:color w:val="333333"/>
                <w:sz w:val="18"/>
              </w:rPr>
              <w:t>FingerprintService</w:t>
            </w:r>
          </w:p>
        </w:tc>
        <w:tc>
          <w:tcPr>
            <w:tcW w:type="dxa" w:w="4536"/>
            <w:shd w:fill="F5F7FA"/>
          </w:tcPr>
          <w:p>
            <w:pPr>
              <w:spacing w:before="40" w:after="40"/>
              <w:jc w:val="left"/>
            </w:pPr>
            <w:r/>
            <w:r>
              <w:rPr>
                <w:rFonts w:ascii="Calibri" w:hAnsi="Calibri"/>
                <w:b w:val="0"/>
                <w:color w:val="333333"/>
                <w:sz w:val="18"/>
              </w:rPr>
              <w:t>Computes SHA-256 safety numbers from identity keys for verification</w:t>
            </w:r>
          </w:p>
        </w:tc>
      </w:tr>
      <w:tr>
        <w:tc>
          <w:tcPr>
            <w:tcW w:type="dxa" w:w="4536"/>
            <w:shd w:fill="FFFFFF"/>
          </w:tcPr>
          <w:p>
            <w:pPr>
              <w:spacing w:before="40" w:after="40"/>
              <w:jc w:val="left"/>
            </w:pPr>
            <w:r/>
            <w:r>
              <w:rPr>
                <w:rFonts w:ascii="Consolas" w:hAnsi="Consolas"/>
                <w:b w:val="0"/>
                <w:color w:val="333333"/>
                <w:sz w:val="18"/>
              </w:rPr>
              <w:t>PreKeyReplenishmentService</w:t>
            </w:r>
          </w:p>
        </w:tc>
        <w:tc>
          <w:tcPr>
            <w:tcW w:type="dxa" w:w="4536"/>
            <w:shd w:fill="FFFFFF"/>
          </w:tcPr>
          <w:p>
            <w:pPr>
              <w:spacing w:before="40" w:after="40"/>
              <w:jc w:val="left"/>
            </w:pPr>
            <w:r/>
            <w:r>
              <w:rPr>
                <w:rFonts w:ascii="Calibri" w:hAnsi="Calibri"/>
                <w:b w:val="0"/>
                <w:color w:val="333333"/>
                <w:sz w:val="18"/>
              </w:rPr>
              <w:t>Monitors and auto-replenishes one-time pre-keys when count drops low</w:t>
            </w:r>
          </w:p>
        </w:tc>
      </w:tr>
      <w:tr>
        <w:tc>
          <w:tcPr>
            <w:tcW w:type="dxa" w:w="4536"/>
            <w:shd w:fill="F5F7FA"/>
          </w:tcPr>
          <w:p>
            <w:pPr>
              <w:spacing w:before="40" w:after="40"/>
              <w:jc w:val="left"/>
            </w:pPr>
            <w:r/>
            <w:r>
              <w:rPr>
                <w:rFonts w:ascii="Consolas" w:hAnsi="Consolas"/>
                <w:b w:val="0"/>
                <w:color w:val="333333"/>
                <w:sz w:val="18"/>
              </w:rPr>
              <w:t>SignalRService</w:t>
            </w:r>
          </w:p>
        </w:tc>
        <w:tc>
          <w:tcPr>
            <w:tcW w:type="dxa" w:w="4536"/>
            <w:shd w:fill="F5F7FA"/>
          </w:tcPr>
          <w:p>
            <w:pPr>
              <w:spacing w:before="40" w:after="40"/>
              <w:jc w:val="left"/>
            </w:pPr>
            <w:r/>
            <w:r>
              <w:rPr>
                <w:rFonts w:ascii="Calibri" w:hAnsi="Calibri"/>
                <w:b w:val="0"/>
                <w:color w:val="333333"/>
                <w:sz w:val="18"/>
              </w:rPr>
              <w:t>WebSocket connection management, event subscription, message transport</w:t>
            </w:r>
          </w:p>
        </w:tc>
      </w:tr>
      <w:tr>
        <w:tc>
          <w:tcPr>
            <w:tcW w:type="dxa" w:w="4536"/>
            <w:shd w:fill="FFFFFF"/>
          </w:tcPr>
          <w:p>
            <w:pPr>
              <w:spacing w:before="40" w:after="40"/>
              <w:jc w:val="left"/>
            </w:pPr>
            <w:r/>
            <w:r>
              <w:rPr>
                <w:rFonts w:ascii="Consolas" w:hAnsi="Consolas"/>
                <w:b w:val="0"/>
                <w:color w:val="333333"/>
                <w:sz w:val="18"/>
              </w:rPr>
              <w:t>ThemeService</w:t>
            </w:r>
          </w:p>
        </w:tc>
        <w:tc>
          <w:tcPr>
            <w:tcW w:type="dxa" w:w="4536"/>
            <w:shd w:fill="FFFFFF"/>
          </w:tcPr>
          <w:p>
            <w:pPr>
              <w:spacing w:before="40" w:after="40"/>
              <w:jc w:val="left"/>
            </w:pPr>
            <w:r/>
            <w:r>
              <w:rPr>
                <w:rFonts w:ascii="Calibri" w:hAnsi="Calibri"/>
                <w:b w:val="0"/>
                <w:color w:val="333333"/>
                <w:sz w:val="18"/>
              </w:rPr>
              <w:t>Persists and applies user-selected UI theme via localStorage</w:t>
            </w:r>
          </w:p>
        </w:tc>
      </w:tr>
    </w:tbl>
    <w:p>
      <w:pPr>
        <w:spacing w:before="80" w:after="280"/>
        <w:jc w:val="center"/>
      </w:pPr>
      <w:r>
        <w:rPr>
          <w:rFonts w:ascii="Calibri" w:hAnsi="Calibri"/>
          <w:i/>
          <w:color w:val="757575"/>
          <w:sz w:val="18"/>
        </w:rPr>
        <w:t>Table 6: Client-side service architecture.</w:t>
      </w:r>
    </w:p>
    <w:p>
      <w:pPr>
        <w:pStyle w:val="Heading2"/>
      </w:pPr>
      <w:r>
        <w:t>8.2 Database Schema</w:t>
      </w:r>
    </w:p>
    <w:p>
      <w:r>
        <w:t>The SQL Server database stores user accounts, device registrations (with public keys only), conversations, participants, and encrypted messages. The schema uses decimal primary keys with precision 20 and scale 0, UTC timestamps, and cascading deletes for referential integrity. Critically, the database never contains private keys or plaintext message content—only ciphertext blobs and public cryptographic material.</w:t>
      </w:r>
    </w:p>
    <w:p>
      <w:pPr>
        <w:pStyle w:val="Heading2"/>
      </w:pPr>
      <w:r>
        <w:t>8.3 Test Coverage</w:t>
      </w:r>
    </w:p>
    <w:p>
      <w:r>
        <w:t>The cryptographic layer is validated by 65 unit tests covering X25519 key exchange, ML-KEM-768 encapsulation/decapsulation, Ed25519 and ML-DSA-65 signing/verification, hybrid signatures, X3DH protocol flow, Double Ratchet session management, and AES-256-GCM encryption/decryption. All tests pass consistently across the test suite.</w:t>
      </w:r>
    </w:p>
    <w:p>
      <w:pPr>
        <w:pStyle w:val="Heading1"/>
      </w:pPr>
      <w:r>
        <w:t>9. Conclusion</w:t>
      </w:r>
    </w:p>
    <w:p>
      <w:r>
        <w:t>ToledoMessage demonstrates that hybrid post-quantum end-to-end encryption is feasible within a browser-based environment. By integrating ML-KEM-768 into the X3DH key agreement and ML-DSA-65 into the signature scheme, the system provides quantum-resistant security without sacrificing the proven guarantees of classical cryptography. The Double Ratchet protocol ensures forward secrecy and break-in recovery at the per-message level, while the zero-knowledge server architecture ensures that even a fully compromised server cannot access message content.</w:t>
      </w:r>
    </w:p>
    <w:p>
      <w:r>
        <w:t>Future work includes: (1) formal security proofs using tools such as ProVerif or Tamarin, (2) mobile native applications using .NET MAUI, (3) encrypted file and media transfer, (4) voice and video calling with SRTP encryption, (5) multi-device synchronization using the Sesame protocol, and (6) decentralized federation following the Matrix protocol model.</w:t>
      </w:r>
    </w:p>
    <w:p>
      <w:pPr>
        <w:pStyle w:val="Heading1"/>
      </w:pPr>
      <w:r>
        <w:t>References</w:t>
      </w:r>
    </w:p>
    <w:p>
      <w:pPr>
        <w:spacing w:after="60"/>
        <w:ind w:left="567" w:hanging="567"/>
      </w:pPr>
      <w:r>
        <w:rPr>
          <w:rFonts w:ascii="Calibri" w:hAnsi="Calibri"/>
          <w:color w:val="333333"/>
          <w:sz w:val="18"/>
        </w:rPr>
        <w:t>[1] P. Shor, "Algorithms for quantum computation: discrete logarithms and factoring," Proc. 35th FOCS, IEEE, 1994.</w:t>
      </w:r>
    </w:p>
    <w:p>
      <w:pPr>
        <w:spacing w:after="60"/>
        <w:ind w:left="567" w:hanging="567"/>
      </w:pPr>
      <w:r>
        <w:rPr>
          <w:rFonts w:ascii="Calibri" w:hAnsi="Calibri"/>
          <w:color w:val="333333"/>
          <w:sz w:val="18"/>
        </w:rPr>
        <w:t>[2] NIST, "Post-Quantum Cryptography Standardization," FIPS 203, FIPS 204, FIPS 205, 2024.</w:t>
      </w:r>
    </w:p>
    <w:p>
      <w:pPr>
        <w:spacing w:after="60"/>
        <w:ind w:left="567" w:hanging="567"/>
      </w:pPr>
      <w:r>
        <w:rPr>
          <w:rFonts w:ascii="Calibri" w:hAnsi="Calibri"/>
          <w:color w:val="333333"/>
          <w:sz w:val="18"/>
        </w:rPr>
        <w:t>[3] M. Marlinspike and T. Perrin, "The X3DH Key Agreement Protocol," Signal Foundation, 2016.</w:t>
      </w:r>
    </w:p>
    <w:p>
      <w:pPr>
        <w:spacing w:after="60"/>
        <w:ind w:left="567" w:hanging="567"/>
      </w:pPr>
      <w:r>
        <w:rPr>
          <w:rFonts w:ascii="Calibri" w:hAnsi="Calibri"/>
          <w:color w:val="333333"/>
          <w:sz w:val="18"/>
        </w:rPr>
        <w:t>[4] T. Perrin and M. Marlinspike, "The Double Ratchet Algorithm," Signal Foundation, 2016.</w:t>
      </w:r>
    </w:p>
    <w:p>
      <w:pPr>
        <w:spacing w:after="60"/>
        <w:ind w:left="567" w:hanging="567"/>
      </w:pPr>
      <w:r>
        <w:rPr>
          <w:rFonts w:ascii="Calibri" w:hAnsi="Calibri"/>
          <w:color w:val="333333"/>
          <w:sz w:val="18"/>
        </w:rPr>
        <w:t>[5] NIST, "Module-Lattice-Based Key-Encapsulation Mechanism Standard," FIPS 203, August 2024.</w:t>
      </w:r>
    </w:p>
    <w:p>
      <w:pPr>
        <w:spacing w:after="60"/>
        <w:ind w:left="567" w:hanging="567"/>
      </w:pPr>
      <w:r>
        <w:rPr>
          <w:rFonts w:ascii="Calibri" w:hAnsi="Calibri"/>
          <w:color w:val="333333"/>
          <w:sz w:val="18"/>
        </w:rPr>
        <w:t>[6] H. Krawczyk, "Cryptographic Extraction and Key Derivation: The HKDF Scheme," Proc. CRYPTO 2010, Springer.</w:t>
      </w:r>
    </w:p>
    <w:p>
      <w:pPr>
        <w:spacing w:after="60"/>
        <w:ind w:left="567" w:hanging="567"/>
      </w:pPr>
      <w:r>
        <w:rPr>
          <w:rFonts w:ascii="Calibri" w:hAnsi="Calibri"/>
          <w:color w:val="333333"/>
          <w:sz w:val="18"/>
        </w:rPr>
        <w:t>[7] D. J. Bernstein et al., "Post-Quantum Cryptography," Nature, vol. 549, 2017.</w:t>
      </w:r>
    </w:p>
    <w:p>
      <w:pPr>
        <w:spacing w:after="60"/>
        <w:ind w:left="567" w:hanging="567"/>
      </w:pPr>
      <w:r>
        <w:rPr>
          <w:rFonts w:ascii="Calibri" w:hAnsi="Calibri"/>
          <w:color w:val="333333"/>
          <w:sz w:val="18"/>
        </w:rPr>
        <w:t>[8] Signal Foundation, "Signal Protocol Technical Documentation," signal.org/docs, 2023.</w:t>
      </w:r>
    </w:p>
    <w:sectPr w:rsidR="00FC693F" w:rsidRPr="0006063C" w:rsidSect="00034616">
      <w:footerReference w:type="default" r:id="rId11"/>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Calibri" w:hAnsi="Calibri"/>
        <w:color w:val="999999"/>
        <w:sz w:val="16"/>
      </w:rPr>
      <w:t xml:space="preserve">ToledoMessage: Post-Quantum Secure Messaging  —  Page </w:t>
    </w:r>
    <w:r>
      <w:rPr>
        <w:rFonts w:ascii="Calibri" w:hAnsi="Calibri"/>
        <w:color w:val="999999"/>
        <w:sz w:val="16"/>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976D2"/>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565C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