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4FEDE" w14:textId="77777777" w:rsidR="00ED582F" w:rsidRPr="00B0691D" w:rsidRDefault="00ED582F" w:rsidP="00ED582F">
      <w:pPr>
        <w:rPr>
          <w:b/>
          <w:bCs/>
        </w:rPr>
      </w:pPr>
      <w:r w:rsidRPr="00B0691D">
        <w:rPr>
          <w:b/>
          <w:bCs/>
        </w:rPr>
        <w:t>DATA INVESTIGATION &amp; ADVANCED SQL ANALYTICS REPORT</w:t>
      </w:r>
    </w:p>
    <w:p w14:paraId="33325401" w14:textId="77777777" w:rsidR="00ED582F" w:rsidRPr="00B0691D" w:rsidRDefault="00ED582F" w:rsidP="00ED582F">
      <w:r w:rsidRPr="00B0691D">
        <w:rPr>
          <w:b/>
          <w:bCs/>
        </w:rPr>
        <w:t>Project:</w:t>
      </w:r>
      <w:r w:rsidRPr="00B0691D">
        <w:t xml:space="preserve"> 1-Million-Row Amazon Sales Dataset</w:t>
      </w:r>
    </w:p>
    <w:p w14:paraId="2CCD7D89" w14:textId="77777777" w:rsidR="00ED582F" w:rsidRPr="00B0691D" w:rsidRDefault="00ED582F" w:rsidP="00ED582F">
      <w:r w:rsidRPr="00B0691D">
        <w:rPr>
          <w:b/>
          <w:bCs/>
        </w:rPr>
        <w:t>Author:</w:t>
      </w:r>
      <w:r w:rsidRPr="00B0691D">
        <w:t xml:space="preserve"> Mohamed Kotb</w:t>
      </w:r>
    </w:p>
    <w:p w14:paraId="6255BC12" w14:textId="77777777" w:rsidR="00ED582F" w:rsidRPr="00B0691D" w:rsidRDefault="00ED582F" w:rsidP="00ED582F">
      <w:r w:rsidRPr="00B0691D">
        <w:rPr>
          <w:b/>
          <w:bCs/>
        </w:rPr>
        <w:t>Role:</w:t>
      </w:r>
      <w:r w:rsidRPr="00B0691D">
        <w:t xml:space="preserve"> Data Analyst / Business Intelligence Consultant</w:t>
      </w:r>
    </w:p>
    <w:p w14:paraId="0E1CED70" w14:textId="77777777" w:rsidR="00ED582F" w:rsidRPr="00B0691D" w:rsidRDefault="00ED582F" w:rsidP="00ED582F">
      <w:r w:rsidRPr="00B0691D">
        <w:rPr>
          <w:b/>
          <w:bCs/>
        </w:rPr>
        <w:t>Date:</w:t>
      </w:r>
      <w:r w:rsidRPr="00B0691D">
        <w:t xml:space="preserve"> June 2026</w:t>
      </w:r>
    </w:p>
    <w:p w14:paraId="06CD8E93" w14:textId="77777777" w:rsidR="00ED582F" w:rsidRPr="00B0691D" w:rsidRDefault="00ED582F" w:rsidP="00ED582F">
      <w:pPr>
        <w:rPr>
          <w:b/>
          <w:bCs/>
        </w:rPr>
      </w:pPr>
      <w:r w:rsidRPr="00B0691D">
        <w:rPr>
          <w:b/>
          <w:bCs/>
        </w:rPr>
        <w:t>1. EXECUTIVE SUMMARY</w:t>
      </w:r>
    </w:p>
    <w:p w14:paraId="16E34950" w14:textId="77777777" w:rsidR="00ED582F" w:rsidRPr="00B0691D" w:rsidRDefault="00ED582F" w:rsidP="00ED582F">
      <w:r w:rsidRPr="00B0691D">
        <w:t>This report delivers a strategic and forensic evaluation of the newly cleaned 1-Million-row Amazon sales database using advanced PostgreSQL analytics (including CTEs and Window Functions). The primary objective was to audit the financial baseline of the business and evaluate customer retention models.</w:t>
      </w:r>
    </w:p>
    <w:p w14:paraId="28804679" w14:textId="77777777" w:rsidR="00ED582F" w:rsidRPr="00B0691D" w:rsidRDefault="00ED582F" w:rsidP="00ED582F">
      <w:r w:rsidRPr="00B0691D">
        <w:t>The investigation successfully uncovered:</w:t>
      </w:r>
    </w:p>
    <w:p w14:paraId="5C1C6393" w14:textId="77777777" w:rsidR="00ED582F" w:rsidRPr="00B0691D" w:rsidRDefault="00ED582F" w:rsidP="00ED582F">
      <w:pPr>
        <w:numPr>
          <w:ilvl w:val="0"/>
          <w:numId w:val="1"/>
        </w:numPr>
      </w:pPr>
      <w:r w:rsidRPr="00B0691D">
        <w:t>A critical business paradox regarding the efficiency of the Prime Membership program.</w:t>
      </w:r>
    </w:p>
    <w:p w14:paraId="4824F384" w14:textId="77777777" w:rsidR="00ED582F" w:rsidRPr="00B0691D" w:rsidRDefault="00ED582F" w:rsidP="00ED582F">
      <w:pPr>
        <w:numPr>
          <w:ilvl w:val="0"/>
          <w:numId w:val="1"/>
        </w:numPr>
      </w:pPr>
      <w:r w:rsidRPr="00B0691D">
        <w:t>A severe technical anomaly in the 2026 ingestion pipeline that falsely indicates a commercial collapse.</w:t>
      </w:r>
    </w:p>
    <w:p w14:paraId="4C9EE51F" w14:textId="77777777" w:rsidR="00ED582F" w:rsidRPr="00B0691D" w:rsidRDefault="00ED582F" w:rsidP="00ED582F">
      <w:pPr>
        <w:rPr>
          <w:b/>
          <w:bCs/>
        </w:rPr>
      </w:pPr>
      <w:r w:rsidRPr="00B0691D">
        <w:rPr>
          <w:b/>
          <w:bCs/>
        </w:rPr>
        <w:t>2. FORENSIC FINDINGS &amp; BUSINESS DIAGNOSIS</w:t>
      </w:r>
    </w:p>
    <w:p w14:paraId="06C8ABC2" w14:textId="77777777" w:rsidR="00ED582F" w:rsidRPr="00B0691D" w:rsidRDefault="00ED582F" w:rsidP="00ED582F">
      <w:pPr>
        <w:rPr>
          <w:b/>
          <w:bCs/>
        </w:rPr>
      </w:pPr>
      <w:r w:rsidRPr="00B0691D">
        <w:rPr>
          <w:b/>
          <w:bCs/>
        </w:rPr>
        <w:t>A. The Prime Membership Paradox (Customer Loyalty &amp; Retention)</w:t>
      </w:r>
    </w:p>
    <w:p w14:paraId="5B71EE9E" w14:textId="77777777" w:rsidR="00ED582F" w:rsidRPr="00B0691D" w:rsidRDefault="00ED582F" w:rsidP="00ED582F">
      <w:r w:rsidRPr="00B0691D">
        <w:t>While the unique customer acquisition base is split exactly down the middle between both categories—with exactly 10,000 Prime customers and 10,000 Regular customers—their transactional footprint reveals a highly alarming behavioral pattern:</w:t>
      </w:r>
    </w:p>
    <w:p w14:paraId="3CDC05A1" w14:textId="77777777" w:rsidR="00ED582F" w:rsidRPr="00B0691D" w:rsidRDefault="00ED582F" w:rsidP="00ED582F">
      <w:pPr>
        <w:numPr>
          <w:ilvl w:val="0"/>
          <w:numId w:val="2"/>
        </w:numPr>
      </w:pPr>
      <w:r w:rsidRPr="00B0691D">
        <w:rPr>
          <w:b/>
          <w:bCs/>
        </w:rPr>
        <w:t>Revenue and Volume Disparity:</w:t>
      </w:r>
      <w:r w:rsidRPr="00B0691D">
        <w:t xml:space="preserve"> Regular customers are the true financial backbone of the business. They generated double the market traffic and total revenue, bringing in 661,243 orders resulting in $843,378,300.57. In comparison, Prime members generated only 330,774 orders resulting in $421,852,028.08.</w:t>
      </w:r>
    </w:p>
    <w:p w14:paraId="5FD0D059" w14:textId="77777777" w:rsidR="00ED582F" w:rsidRPr="00B0691D" w:rsidRDefault="00ED582F" w:rsidP="00ED582F">
      <w:pPr>
        <w:numPr>
          <w:ilvl w:val="0"/>
          <w:numId w:val="2"/>
        </w:numPr>
      </w:pPr>
      <w:r w:rsidRPr="00B0691D">
        <w:rPr>
          <w:b/>
          <w:bCs/>
        </w:rPr>
        <w:t>Average Order Value (AOV):</w:t>
      </w:r>
      <w:r w:rsidRPr="00B0691D">
        <w:t xml:space="preserve"> The mean spending per transaction is statistically identical between both segments, standing at $1,275.35 for Prime vs. $1,275.44 for Regular. This proves that individual shopping cart capacity does not change based on the membership tier.</w:t>
      </w:r>
    </w:p>
    <w:p w14:paraId="68D5BE85" w14:textId="77777777" w:rsidR="00ED582F" w:rsidRPr="00B0691D" w:rsidRDefault="00ED582F" w:rsidP="00ED582F">
      <w:pPr>
        <w:numPr>
          <w:ilvl w:val="0"/>
          <w:numId w:val="2"/>
        </w:numPr>
      </w:pPr>
      <w:r w:rsidRPr="00B0691D">
        <w:rPr>
          <w:b/>
          <w:bCs/>
        </w:rPr>
        <w:t>Purchase Frequency (Retention Failure):</w:t>
      </w:r>
      <w:r w:rsidRPr="00B0691D">
        <w:t xml:space="preserve"> Regular customers return to purchase at double the frequency, averaging </w:t>
      </w:r>
      <w:r w:rsidRPr="00B0691D">
        <w:rPr>
          <w:b/>
          <w:bCs/>
        </w:rPr>
        <w:t>66.12 orders per customer</w:t>
      </w:r>
      <w:r w:rsidRPr="00B0691D">
        <w:t xml:space="preserve">, whereas Prime subscription holders average only </w:t>
      </w:r>
      <w:r w:rsidRPr="00B0691D">
        <w:rPr>
          <w:b/>
          <w:bCs/>
        </w:rPr>
        <w:t>33.08 orders per customer</w:t>
      </w:r>
      <w:r w:rsidRPr="00B0691D">
        <w:t>.</w:t>
      </w:r>
    </w:p>
    <w:p w14:paraId="6AFAEC80" w14:textId="77777777" w:rsidR="00ED582F" w:rsidRPr="00B0691D" w:rsidRDefault="00ED582F" w:rsidP="00ED582F">
      <w:r w:rsidRPr="00B0691D">
        <w:rPr>
          <w:b/>
          <w:bCs/>
        </w:rPr>
        <w:lastRenderedPageBreak/>
        <w:t>Strategic Verdict:</w:t>
      </w:r>
      <w:r w:rsidRPr="00B0691D">
        <w:t xml:space="preserve"> The Prime subscription model is completely underperforming and failing its core business metric: driving customer retention and repeat purchase behavior. The Marketing and Product teams must urgently restructure the Prime benefits program to incentivize higher engagement from these users.</w:t>
      </w:r>
    </w:p>
    <w:p w14:paraId="374FD1D4" w14:textId="77777777" w:rsidR="00ED582F" w:rsidRPr="00B0691D" w:rsidRDefault="00ED582F" w:rsidP="00ED582F">
      <w:pPr>
        <w:rPr>
          <w:b/>
          <w:bCs/>
        </w:rPr>
      </w:pPr>
      <w:r w:rsidRPr="00B0691D">
        <w:rPr>
          <w:b/>
          <w:bCs/>
        </w:rPr>
        <w:t>B. The 2026 Revenue Drop (Technical Ingestion Pipeline Failure)</w:t>
      </w:r>
    </w:p>
    <w:p w14:paraId="0C317814" w14:textId="77777777" w:rsidR="00ED582F" w:rsidRPr="00B0691D" w:rsidRDefault="00ED582F" w:rsidP="00ED582F">
      <w:r w:rsidRPr="00B0691D">
        <w:t>A Month-over-Month (MoM) trend analysis using window functions established a healthy, predictable revenue baseline throughout 2024 and 2025, consistently averaging between $45M and $49M monthly. However, the data for 2026 showed a catastrophic collapse:</w:t>
      </w:r>
    </w:p>
    <w:p w14:paraId="60D8445F" w14:textId="77777777" w:rsidR="00ED582F" w:rsidRPr="00B0691D" w:rsidRDefault="00ED582F" w:rsidP="00ED582F">
      <w:pPr>
        <w:numPr>
          <w:ilvl w:val="0"/>
          <w:numId w:val="3"/>
        </w:numPr>
      </w:pPr>
      <w:r w:rsidRPr="00B0691D">
        <w:rPr>
          <w:b/>
          <w:bCs/>
        </w:rPr>
        <w:t>The Crash Chronology:</w:t>
      </w:r>
      <w:r w:rsidRPr="00B0691D">
        <w:t xml:space="preserve"> In March 2026, monthly revenue plummeted by </w:t>
      </w:r>
      <w:r w:rsidRPr="00B0691D">
        <w:rPr>
          <w:b/>
          <w:bCs/>
        </w:rPr>
        <w:t>-67.49%</w:t>
      </w:r>
      <w:r w:rsidRPr="00B0691D">
        <w:t xml:space="preserve"> (dropping to $13.4M). By April 2026, the metrics experienced a total wipeout, crashing by </w:t>
      </w:r>
      <w:r w:rsidRPr="00B0691D">
        <w:rPr>
          <w:b/>
          <w:bCs/>
        </w:rPr>
        <w:t>-93.50%</w:t>
      </w:r>
      <w:r w:rsidRPr="00B0691D">
        <w:t xml:space="preserve"> down to an all-time low of $873K, failing to recover for the remainder of the year.</w:t>
      </w:r>
    </w:p>
    <w:p w14:paraId="63C3D7B0" w14:textId="77777777" w:rsidR="00ED582F" w:rsidRPr="00B0691D" w:rsidRDefault="00ED582F" w:rsidP="00ED582F">
      <w:pPr>
        <w:numPr>
          <w:ilvl w:val="0"/>
          <w:numId w:val="3"/>
        </w:numPr>
      </w:pPr>
      <w:r w:rsidRPr="00B0691D">
        <w:rPr>
          <w:b/>
          <w:bCs/>
        </w:rPr>
        <w:t>The Forensic Evidence (Market Share):</w:t>
      </w:r>
      <w:r w:rsidRPr="00B0691D">
        <w:t xml:space="preserve"> To determine if this was a commercial failure (such as losing market share to a competitor), a deep-dive window analysis tracked individual category share percentages (</w:t>
      </w:r>
      <w:proofErr w:type="spellStart"/>
      <w:r w:rsidRPr="00B0691D">
        <w:t>category_share_percentage</w:t>
      </w:r>
      <w:proofErr w:type="spellEnd"/>
      <w:r w:rsidRPr="00B0691D">
        <w:t>). The distribution across 2025 and 2026 remained completely identical. Electronics held at ~24.9%, Clothing at ~25%, and Beauty at ~12.2% in both years.</w:t>
      </w:r>
    </w:p>
    <w:p w14:paraId="6B365958" w14:textId="77777777" w:rsidR="00ED582F" w:rsidRPr="00B0691D" w:rsidRDefault="00ED582F" w:rsidP="00ED582F">
      <w:r w:rsidRPr="00B0691D">
        <w:rPr>
          <w:b/>
          <w:bCs/>
        </w:rPr>
        <w:t>Technical Verdict:</w:t>
      </w:r>
      <w:r w:rsidRPr="00B0691D">
        <w:t xml:space="preserve"> This is </w:t>
      </w:r>
      <w:r w:rsidRPr="00B0691D">
        <w:rPr>
          <w:b/>
          <w:bCs/>
        </w:rPr>
        <w:t>NOT a commercial failure</w:t>
      </w:r>
      <w:r w:rsidRPr="00B0691D">
        <w:t xml:space="preserve">. It is statistically impossible for every product category to collapse simultaneously at the exact same mathematical rate. This observation explicitly confirms a </w:t>
      </w:r>
      <w:r w:rsidRPr="00B0691D">
        <w:rPr>
          <w:b/>
          <w:bCs/>
        </w:rPr>
        <w:t>catastrophic Data Pipeline or Point-of-Sale (POS) system failure</w:t>
      </w:r>
      <w:r w:rsidRPr="00B0691D">
        <w:t xml:space="preserve"> starting March 2026. The database ingestion pipeline only captured a tiny random sample (~5%) of real daily transactions. The Engineering team must inspect the server logs immediately to recover the missing historical data.</w:t>
      </w:r>
    </w:p>
    <w:p w14:paraId="1F0E8014" w14:textId="77777777" w:rsidR="00ED582F" w:rsidRPr="00B0691D" w:rsidRDefault="00ED582F" w:rsidP="00ED582F">
      <w:pPr>
        <w:rPr>
          <w:b/>
          <w:bCs/>
        </w:rPr>
      </w:pPr>
      <w:r w:rsidRPr="00B0691D">
        <w:rPr>
          <w:b/>
          <w:bCs/>
        </w:rPr>
        <w:t>3. RECOMMENDATIONS &amp; NEXT STEPS</w:t>
      </w:r>
    </w:p>
    <w:p w14:paraId="0A544387" w14:textId="77777777" w:rsidR="00ED582F" w:rsidRPr="00B0691D" w:rsidRDefault="00ED582F" w:rsidP="00ED582F">
      <w:pPr>
        <w:numPr>
          <w:ilvl w:val="0"/>
          <w:numId w:val="4"/>
        </w:numPr>
      </w:pPr>
      <w:r w:rsidRPr="00B0691D">
        <w:rPr>
          <w:b/>
          <w:bCs/>
        </w:rPr>
        <w:t>Data Infrastructure:</w:t>
      </w:r>
      <w:r w:rsidRPr="00B0691D">
        <w:t xml:space="preserve"> Pause any executive financial reporting regarding the fiscal year 2026 until the Data Engineering team fixes the POS ingestion pipeline and re-imports the missing 95% of historical transactions.</w:t>
      </w:r>
    </w:p>
    <w:p w14:paraId="5DAF57BA" w14:textId="77777777" w:rsidR="00ED582F" w:rsidRPr="00B0691D" w:rsidRDefault="00ED582F" w:rsidP="00ED582F">
      <w:pPr>
        <w:numPr>
          <w:ilvl w:val="0"/>
          <w:numId w:val="4"/>
        </w:numPr>
      </w:pPr>
      <w:r w:rsidRPr="00B0691D">
        <w:rPr>
          <w:b/>
          <w:bCs/>
        </w:rPr>
        <w:t>Subscription Overhaul:</w:t>
      </w:r>
      <w:r w:rsidRPr="00B0691D">
        <w:t xml:space="preserve"> Launch a qualitative customer survey targeting the 10,000 Prime members to understand why their purchase frequency is lower than non-subscribers. Redesign the loyalty perks immediately based on findings.</w:t>
      </w:r>
    </w:p>
    <w:p w14:paraId="2AC55190" w14:textId="77777777" w:rsidR="00ED582F" w:rsidRPr="00B0691D" w:rsidRDefault="00ED582F" w:rsidP="00ED582F">
      <w:pPr>
        <w:numPr>
          <w:ilvl w:val="0"/>
          <w:numId w:val="4"/>
        </w:numPr>
      </w:pPr>
      <w:r w:rsidRPr="00B0691D">
        <w:rPr>
          <w:b/>
          <w:bCs/>
        </w:rPr>
        <w:t>BI Visualization:</w:t>
      </w:r>
      <w:r w:rsidRPr="00B0691D">
        <w:t xml:space="preserve"> Proceed with mapping these exact metrics onto a centralized </w:t>
      </w:r>
      <w:r w:rsidRPr="00B0691D">
        <w:rPr>
          <w:b/>
          <w:bCs/>
        </w:rPr>
        <w:t>Power BI Dashboard</w:t>
      </w:r>
      <w:r w:rsidRPr="00B0691D">
        <w:t xml:space="preserve"> to visually display the </w:t>
      </w:r>
      <w:proofErr w:type="gramStart"/>
      <w:r w:rsidRPr="00B0691D">
        <w:t>MoM</w:t>
      </w:r>
      <w:proofErr w:type="gramEnd"/>
      <w:r w:rsidRPr="00B0691D">
        <w:t xml:space="preserve"> growth trajectory and highlight the pipeline drop-off point to stakeholders.</w:t>
      </w:r>
    </w:p>
    <w:p w14:paraId="5FBFDD6D" w14:textId="77777777" w:rsidR="00EF533C" w:rsidRDefault="00EF533C"/>
    <w:sectPr w:rsidR="00EF5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576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569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85F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593221D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 w16cid:durableId="802193211">
    <w:abstractNumId w:val="2"/>
  </w:num>
  <w:num w:numId="2" w16cid:durableId="1388069413">
    <w:abstractNumId w:val="1"/>
  </w:num>
  <w:num w:numId="3" w16cid:durableId="1308241576">
    <w:abstractNumId w:val="0"/>
  </w:num>
  <w:num w:numId="4" w16cid:durableId="3786319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33C"/>
    <w:rsid w:val="0055164D"/>
    <w:rsid w:val="00ED582F"/>
    <w:rsid w:val="00EF5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A0771B-BB54-4705-9055-47C69237D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82F"/>
    <w:rPr>
      <w:rFonts w:eastAsiaTheme="minorEastAsia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3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644</Words>
  <Characters>3677</Characters>
  <Application>Microsoft Office Word</Application>
  <DocSecurity>0</DocSecurity>
  <Lines>30</Lines>
  <Paragraphs>8</Paragraphs>
  <ScaleCrop>false</ScaleCrop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Qtob</dc:creator>
  <cp:keywords/>
  <dc:description/>
  <cp:lastModifiedBy>Mohamed Qtob</cp:lastModifiedBy>
  <cp:revision>2</cp:revision>
  <dcterms:created xsi:type="dcterms:W3CDTF">2026-06-18T07:33:00Z</dcterms:created>
  <dcterms:modified xsi:type="dcterms:W3CDTF">2026-06-18T07:33:00Z</dcterms:modified>
</cp:coreProperties>
</file>