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 : hashem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 : hashem@gmail.com</w:t>
            </w:r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 : FCAI 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>
        <w:t xml:space="preserve">   -   When were they admitted to your hospital?</w:t>
        <w:br/>
        <w:br/>
        <w:t>When were they admitted to your hospital?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  Reason for admission and medical diagnosis</w:t>
        <w:br/>
        <w:br/>
        <w:t xml:space="preserve">Reason for admission and medical diagnosis 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  <w:br/>
        <w:br/>
        <w:t>Past medical history (if known)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  <w:br/>
        <w:br/>
        <w:t>Progress on ward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  <w:br/>
        <w:br/>
        <w:t>Current clinical condition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  <w:br/>
        <w:br/>
        <w:t>Prognosis and prospects for rehabilitation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>-  Relevant laboratory results, x-rays etc</w:t>
        <w:br/>
        <w:br/>
        <w:t>Relevant laboratory results, x-rays etc</w:t>
      </w:r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  <w:br/>
        <w:br/>
        <w:t xml:space="preserve">Current medication 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  <w:br/>
        <w:br/>
        <w:t xml:space="preserve">Arrangements to follow up 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