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دليل التشغيل المبسط — من عرض السعر حتى الربح</w:t>
      </w:r>
    </w:p>
    <w:p>
      <w:r>
        <w:t>هذا الدليل لصاحب مكتب الضيافة غير التقني. 8 نقرات تكمل دورة كاملة.</w:t>
      </w:r>
    </w:p>
    <w:p>
      <w:pPr>
        <w:pStyle w:val="Heading1"/>
      </w:pPr>
      <w:r>
        <w:t>1) أضف عميلاً</w:t>
      </w:r>
    </w:p>
    <w:p>
      <w:r>
        <w:t>اذهب إلى العملاء → عميل جديد → اسم + جوال → حفظ. يكتب في customers مع حماية.</w:t>
      </w:r>
    </w:p>
    <w:p>
      <w:pPr>
        <w:pStyle w:val="Heading1"/>
      </w:pPr>
      <w:r>
        <w:t>2) أضف مادة</w:t>
      </w:r>
    </w:p>
    <w:p>
      <w:r>
        <w:t>دليل الخدمات والمواد → مادة جديدة → نوع (معدات/استهلاكي/خدمة) → سعر بيع وتكلفة (تظهر للمالك فقط).</w:t>
      </w:r>
    </w:p>
    <w:p>
      <w:pPr>
        <w:pStyle w:val="Heading1"/>
      </w:pPr>
      <w:r>
        <w:t>3) باقة (اختياري)</w:t>
      </w:r>
    </w:p>
    <w:p>
      <w:r>
        <w:t>الباقات → باقة جديدة → اختر مواد → حفظ عبر save_package.</w:t>
      </w:r>
    </w:p>
    <w:p>
      <w:pPr>
        <w:pStyle w:val="Heading1"/>
      </w:pPr>
      <w:r>
        <w:t>4) أنشئ عرض سعر</w:t>
      </w:r>
    </w:p>
    <w:p>
      <w:r>
        <w:t>عروض الأسعار → جديد → بيانات العميل والمناسبة + خدمات → حفظ مسودة (persist_quotation_draft) → إصدار (issue_quotation) → يصبح QT-2026-0001.</w:t>
      </w:r>
    </w:p>
    <w:p>
      <w:pPr>
        <w:pStyle w:val="Heading1"/>
      </w:pPr>
      <w:r>
        <w:t>5) اعتمد وحول</w:t>
      </w:r>
    </w:p>
    <w:p>
      <w:r>
        <w:t>افتح العرض → اعتماد (accept_quotation) → تحويل لمناسبة (convert_quotation) → مناسبة جديدة بحالة CONFIRMED.</w:t>
      </w:r>
    </w:p>
    <w:p>
      <w:pPr>
        <w:pStyle w:val="Heading1"/>
      </w:pPr>
      <w:r>
        <w:t>6) جهز المناسبة</w:t>
      </w:r>
    </w:p>
    <w:p>
      <w:r>
        <w:t>افتح المناسبة → مركز القيادة يظهر النواقص → الفريق (assign_event_staff) → المعدات (reserve + dispatch) → المواد (issue_stock) → مشتريات (create_procurement_order) → مطاعم (create_meal_booking) → بدء التجهيز → تأكيد الإرسال (مع سبب تجاوز إذا غير جاهز).</w:t>
      </w:r>
    </w:p>
    <w:p>
      <w:pPr>
        <w:pStyle w:val="Heading1"/>
      </w:pPr>
      <w:r>
        <w:t>7) نفذ وسجل</w:t>
      </w:r>
    </w:p>
    <w:p>
      <w:r>
        <w:t>حضور بالسيلفي (يرفع إلى attachments) → دفعات (record_customer_payment) → مصاريف (record_event_expense) مع إيصال → إرجاع معدات (return_event_equipment) → تسوية.</w:t>
      </w:r>
    </w:p>
    <w:p>
      <w:pPr>
        <w:pStyle w:val="Heading1"/>
      </w:pPr>
      <w:r>
        <w:t>8) أغلق مالياً</w:t>
      </w:r>
    </w:p>
    <w:p>
      <w:r>
        <w:t>إغلاق المناسبة (CLOSED) → إغلاق مالي → الربح = الإيراد - المصاريف - المشتريات - الأجور - وجبات المطاعم → التقارير والمحاسبة (aging, كشوف حساب).</w:t>
      </w:r>
    </w:p>
    <w:p>
      <w:pPr>
        <w:pStyle w:val="Heading1"/>
      </w:pPr>
      <w:r>
        <w:t>فحص النظام</w:t>
      </w:r>
    </w:p>
    <w:p>
      <w:r>
        <w:t>في الإعدادات → حالة النظام → تشغيل فحص → يفحص الاتصال، التخزين (bucket attachments)، قاعدة البيانات، الترقيم. زر اختبار رفع ملف يتأكد أن التخزين يعمل. إذا فشل: أنشئ bucket attachments Private في Supabase Dashboard.</w:t>
      </w:r>
    </w:p>
    <w:p>
      <w:pPr>
        <w:pStyle w:val="Heading1"/>
      </w:pPr>
      <w:r>
        <w:t>أرقام المستندات والضريبة</w:t>
      </w:r>
    </w:p>
    <w:p>
      <w:r>
        <w:t>افتراضي QT/INV/EV، ضريبة غير مسجل افتراضياً. عند التفعيل تثبت على المستند وقت الإصدار.</w:t>
      </w:r>
    </w:p>
    <w:p>
      <w:pPr>
        <w:pStyle w:val="Heading1"/>
      </w:pPr>
      <w:r>
        <w:t>الأدوار</w:t>
      </w:r>
    </w:p>
    <w:p>
      <w:r>
        <w:t>OWNER كل شيء، MANAGER تجاري+تشغيل+مالي، ACCOUNTANT قراءة تكلفة ومحاسبة، SUPERVISOR تشغيل+حضور، WAREHOUSE معدات ومواد فقط.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