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Bridging customer needs and technical solutions.</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of software development and quality engineering experience across federal, banking, and e-commerce environments. Works directly with stakeholders from discovery and acceptance criteria through demonstrations, feedback, and adoption. Contributes React application features and builds tools such as Data Generator &amp; File Processing, giving developers and QA realistic data where production data can't be used.</w:t>
        <w:br/>
        <w:br/>
        <w:t>Works directly with stakeholders to clarify requirements and acceptance criteria, evaluate technical constraints, demonstrate changes, and help teams adopt reusable tools. Hands-on experience spans React, TypeScript, JavaScript, Java, SQL, REST API validation, Tableau dashboards, and CI workflows. Uses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Supported application delivery by connecting user workflows, REST APIs, authentication, and AWS test environments through reusable engineering tools and actionable troubleshooting evidence.</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Partnered with developers, analysts, and product owners to turn banking requirements into traceable validation and release-readiness evidence.</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9">
        <w:r>
          <w:rPr>
            <w:rFonts w:ascii="Inter" w:hAnsi="Inter"/>
            <w:b w:val="0"/>
            <w:i w:val="0"/>
            <w:color w:val="1447E6"/>
            <w:sz w:val="18"/>
          </w:rPr>
          <w:t>AI Foundations</w:t>
        </w:r>
      </w:hyperlink>
      <w:r>
        <w:rPr>
          <w:rFonts w:ascii="Inter" w:hAnsi="Inter"/>
          <w:b w:val="0"/>
          <w:i w:val="0"/>
          <w:color w:val="171717"/>
          <w:sz w:val="18"/>
        </w:rPr>
        <w:t xml:space="preserve">; </w:t>
      </w:r>
      <w:hyperlink r:id="rId10">
        <w:r>
          <w:rPr>
            <w:rFonts w:ascii="Inter" w:hAnsi="Inter"/>
            <w:b w:val="0"/>
            <w:i w:val="0"/>
            <w:color w:val="1447E6"/>
            <w:sz w:val="18"/>
          </w:rPr>
          <w:t>Agents and Workflows</w:t>
        </w:r>
      </w:hyperlink>
      <w:r>
        <w:rPr>
          <w:rFonts w:ascii="Inter" w:hAnsi="Inter"/>
          <w:b w:val="0"/>
          <w:i w:val="0"/>
          <w:color w:val="171717"/>
          <w:sz w:val="18"/>
        </w:rPr>
        <w:t xml:space="preserve">; </w:t>
      </w:r>
      <w:hyperlink r:id="rId11">
        <w:r>
          <w:rPr>
            <w:rFonts w:ascii="Inter" w:hAnsi="Inter"/>
            <w:b w:val="0"/>
            <w:i w:val="0"/>
            <w:color w:val="1447E6"/>
            <w:sz w:val="18"/>
          </w:rPr>
          <w:t>Applied AI Foundations</w:t>
        </w:r>
      </w:hyperlink>
      <w:r>
        <w:rPr>
          <w:rFonts w:ascii="Inter" w:hAnsi="Inter"/>
          <w:b w:val="0"/>
          <w:i w:val="0"/>
          <w:color w:val="171717"/>
          <w:sz w:val="18"/>
        </w:rPr>
        <w:t xml:space="preserve">; </w:t>
      </w:r>
      <w:hyperlink r:id="rId12">
        <w:r>
          <w:rPr>
            <w:rFonts w:ascii="Inter" w:hAnsi="Inter"/>
            <w:b w:val="0"/>
            <w:i w:val="0"/>
            <w:color w:val="1447E6"/>
            <w:sz w:val="18"/>
          </w:rPr>
          <w:t>AI Leadership</w:t>
        </w:r>
      </w:hyperlink>
      <w:r>
        <w:rPr>
          <w:rFonts w:ascii="Inter" w:hAnsi="Inter"/>
          <w:b w:val="0"/>
          <w:i w:val="0"/>
          <w:color w:val="171717"/>
          <w:sz w:val="18"/>
        </w:rPr>
        <w:t xml:space="preserve">; </w:t>
      </w:r>
      <w:hyperlink r:id="rId13">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4">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15">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16"/>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aiacademy.credential.net/c635354f-5145-4e44-b272-9680ea55a2ec" TargetMode="External"/><Relationship Id="rId10" Type="http://schemas.openxmlformats.org/officeDocument/2006/relationships/hyperlink" Target="https://oaiacademy.credential.net/5ada98f3-b6db-429a-93a1-0e38fd9be2d3" TargetMode="External"/><Relationship Id="rId11" Type="http://schemas.openxmlformats.org/officeDocument/2006/relationships/hyperlink" Target="https://oaiacademy.credential.net/04366177-3bcf-4b1a-8a45-5d73bd27486f" TargetMode="External"/><Relationship Id="rId12" Type="http://schemas.openxmlformats.org/officeDocument/2006/relationships/hyperlink" Target="https://oaiacademy.credential.net/6fd4cbac-58f3-44d5-973e-34ff3ff5e2fd" TargetMode="External"/><Relationship Id="rId13" Type="http://schemas.openxmlformats.org/officeDocument/2006/relationships/hyperlink" Target="https://oaiacademy.credential.net/d00220db-f7f7-4c84-b8e2-a028219e592a" TargetMode="External"/><Relationship Id="rId14" Type="http://schemas.openxmlformats.org/officeDocument/2006/relationships/hyperlink" Target="https://verify.skilljar.com/c/kcegzzpuv8bs" TargetMode="External"/><Relationship Id="rId15" Type="http://schemas.openxmlformats.org/officeDocument/2006/relationships/hyperlink" Target="https://verify.skilljar.com/c/f2k866zr4gj3"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Bridging customer needs and technical solutions.</dc:subject>
  <dc:creator>Mohamed Moheyeldin</dc:creator>
  <cp:keywords/>
  <dc:description/>
  <cp:lastModifiedBy/>
  <cp:revision>1</cp:revision>
  <dcterms:created xsi:type="dcterms:W3CDTF">2013-12-23T23:15:00Z</dcterms:created>
  <dcterms:modified xsi:type="dcterms:W3CDTF">2013-12-23T23:15:00Z</dcterms:modified>
  <cp:category/>
</cp:coreProperties>
</file>