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center"/>
      </w:pPr>
      <w:r>
        <w:rPr>
          <w:rFonts w:ascii="Inter" w:hAnsi="Inter"/>
          <w:b/>
          <w:i w:val="0"/>
          <w:color w:val="1447E6"/>
          <w:sz w:val="22"/>
        </w:rPr>
        <w:t>Bridging customer needs and technical solutions.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  <w:br/>
        <w:br/>
        <w:t>Works directly with stakeholders to clarify requirements and acceptance criteria, evaluate technical constraints, demonstrate changes, and help teams adopt reusable tools. Hands-on experience spans React, TypeScript, JavaScript, Java, SQL, REST API validation, and CI workflows. Uses AI coding assistants for development, debugging, and refactoring.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6"/>
        </w:rPr>
        <w:t xml:space="preserve">  |  Dec 2020 – Present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Customer: U.S. Department of Veterans Affairs (VA)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Contribute to a VA healthcare claims platform with two frontends sharing a database, supporting claim submission, provider updates, claim progress and status tracking, and payment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to map healthcare claims workflows, clarify technical and operational constraints, and define requirements and acceptance criteria for application and tooling changes.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and continue to enhance Data Generator &amp; File Processing, enabling QA users to generate, edit, and upload hundreds of referrals in minutes to VA lower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Contribute frontend features using React, JavaScript, and TypeScript; translate stakeholder feedback into application improvements supporting claim submission, provider updates, and status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 referral-data uploads into VA lower environments and use MySQL to investigate discrepancies between application behavior and stored data across frontend and backend workflows.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Demonstrate application, file-processing, and automation enhancements to stakeholders, gather feedback on daily workflows, and refine implementations around user needs.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Evaluated alternatives to legacy automation and helped select Playwright, weighing maintainability, reusable components, authentication requirements, and restricted environment access.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 a reusable Playwright smoke and regression framework and use GitHub Actions in development and testing workflows; investigate Microsoft Entra ID and environment dependencies affecting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Maintain Data Generator &amp; File Processing for daily QA use, troubleshoot issues, and adapt functionality as testing needs change; document single and bulk referral uploads and framework usage to help teammates adopt and extend the tools.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Coordinate with VA stakeholders and developers to investigate defects and resolve delivery dependencies; document progress, blockers, and operational impact in Jira.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 GitHub Copilot in VS Code for application development, debugging, refactoring, and test creation; use Gemini, GPT models, and Claude in broader development work to explore implementation approaches.</w:t>
      </w:r>
    </w:p>
    <w:p>
      <w:r>
        <w:br w:type="page"/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 continued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6"/>
        </w:rPr>
        <w:t xml:space="preserve">  |  Nov 2018 – Dec 2020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Supported application delivery by connecting user workflows, REST APIs, authentication, and AWS test environments through reusable engineering tools and actionable troubleshooting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reusable JavaScript browser automation around application workflows, translating expected behavior into repeatable checks that supported implementation and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application-to-service integration through browser automation and Postman REST API checks, validating schemas, service contracts, and data-dependent behavior to surface discrepancies.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OIDC, Okta MFA, and SSO workflows, troubleshooting authentication behavior across application scenarios and capturing evidence for failure investigation.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and AWS test environments into repeatable delivery workflows, making execution results and diagnostic artifacts available to engineering teams.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S3, and Aurora resources to support test environments; combined network stubbing, headless testing, and parallel execution to isolate dependencies and reproduce scenarios.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user-facing issues across browsers, devices, and resolutions with Applitools Eyes and browser automation evidence, using screenshots, videos, retries, and run durations to trace failures.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Sep 2015 – Nov 2018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Partnered with developers, analysts, and product owners to turn banking requirements into traceable validation and release-readiness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Translated business and functional requirements into test plans, acceptance criteria, and traceable scenarios with developers, analysts, and product owners.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banking web applications, investigating behavior across customer workflows and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responsive and cross-browser behavior across Chrome, Firefox, Safari, and Edge to identify inconsistent user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reproducible Jira defect reports with environment details and business impact; collaborated with developers to investigate causes and verify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SQL data checks alongside application validation to investigate discrepancies and verify expected results.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Supported smoke, regression, and sanity checks across development, QA, UAT, and staging environments, including deployment checks and hotfix verification.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Selected project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Application development: React, TypeScript, JavaScript, Java, Reusable components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Data and integration: SQL, MySQL, JSON, REST APIs, Postman, SQL Server, Oracle, MongoDB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Delivery and quality: Playwright, GitHub Actions, Git, Jira, Jenkins, AWS EC2/S3/Aurora test environments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AI-assisted engineering: GitHub Copilot, VS Code, GPT models, Claude, Gemini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 xml:space="preserve">Education 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May 2014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development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 xml:space="preserve">OpenAI Academy | Issued October 2, 2026 | Expires April 2, 2027: </w:t>
      </w:r>
      <w:hyperlink r:id="rId9">
        <w:r>
          <w:rPr>
            <w:rFonts w:ascii="Inter" w:hAnsi="Inter"/>
            <w:b w:val="0"/>
            <w:i w:val="0"/>
            <w:color w:val="1447E6"/>
            <w:sz w:val="18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8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8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8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8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8"/>
          </w:rPr>
          <w:t>Apply AI at Work Pathway Completion</w:t>
        </w:r>
      </w:hyperlink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>Implementing SAFe 5.1 course completion, 2021 (historical course completion)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</w:r>
      <w:r>
        <w:rPr>
          <w:rFonts w:ascii="Inter" w:hAnsi="Inter"/>
          <w:b w:val="0"/>
          <w:i w:val="0"/>
          <w:color w:val="171717"/>
          <w:sz w:val="18"/>
        </w:rPr>
        <w:t>Leading SAFe 4.0 course completion, 2016 (historical course completion)</w:t>
      </w:r>
    </w:p>
    <w:sectPr w:rsidR="00FC693F" w:rsidRPr="0006063C" w:rsidSect="00034616">
      <w:footerReference w:type="default" r:id="rId14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