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AI-COS Pharmacy PRD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0" w:name="product-requirements-document-prd"/>
    <w:p>
      <w:pPr>
        <w:pStyle w:val="Heading1"/>
      </w:pPr>
      <w:r>
        <w:t xml:space="preserve">Product Requirements Document (PRD)</w:t>
      </w:r>
    </w:p>
    <w:bookmarkStart w:id="21" w:name="X4b32789ea84379eec968f7765285243314574d3"/>
    <w:p>
      <w:pPr>
        <w:pStyle w:val="Heading2"/>
      </w:pPr>
      <w:r>
        <w:t xml:space="preserve">AI-COS — نظام تشغيل ذكي للصيدليات الإلكترونية</w:t>
      </w:r>
    </w:p>
    <w:tbl>
      <w:tblPr>
        <w:tblStyle w:val="Table"/>
        <w:bidiVisual/>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البيان</w:t>
            </w:r>
          </w:p>
        </w:tc>
        <w:tc>
          <w:tcPr/>
          <w:p>
            <w:pPr>
              <w:pStyle w:val="Compact"/>
              <w:jc w:val="left"/>
            </w:pPr>
            <w:r>
              <w:t xml:space="preserve">التفاصيل</w:t>
            </w:r>
          </w:p>
        </w:tc>
      </w:tr>
      <w:tr>
        <w:tc>
          <w:tcPr/>
          <w:p>
            <w:pPr>
              <w:pStyle w:val="Compact"/>
              <w:jc w:val="left"/>
            </w:pPr>
            <w:r>
              <w:rPr>
                <w:bCs/>
                <w:b/>
              </w:rPr>
              <w:t xml:space="preserve">اسم المشروع</w:t>
            </w:r>
          </w:p>
        </w:tc>
        <w:tc>
          <w:tcPr/>
          <w:p>
            <w:pPr>
              <w:pStyle w:val="Compact"/>
              <w:jc w:val="left"/>
            </w:pPr>
            <w:r>
              <w:t xml:space="preserve">AI-COS — Pharmacy Vertical (تطبيق تخصصي فوق منصة AI-COS)</w:t>
            </w:r>
          </w:p>
        </w:tc>
      </w:tr>
      <w:tr>
        <w:tc>
          <w:tcPr/>
          <w:p>
            <w:pPr>
              <w:pStyle w:val="Compact"/>
              <w:jc w:val="left"/>
            </w:pPr>
            <w:r>
              <w:rPr>
                <w:bCs/>
                <w:b/>
              </w:rPr>
              <w:t xml:space="preserve">النوع</w:t>
            </w:r>
          </w:p>
        </w:tc>
        <w:tc>
          <w:tcPr/>
          <w:p>
            <w:pPr>
              <w:pStyle w:val="Compact"/>
              <w:jc w:val="left"/>
            </w:pPr>
            <w:r>
              <w:t xml:space="preserve">مشروع تخرج — تخصص نظم المعلومات الإدارية (Business Information Systems)</w:t>
            </w:r>
          </w:p>
        </w:tc>
      </w:tr>
      <w:tr>
        <w:tc>
          <w:tcPr/>
          <w:p>
            <w:pPr>
              <w:pStyle w:val="Compact"/>
              <w:jc w:val="left"/>
            </w:pPr>
            <w:r>
              <w:rPr>
                <w:bCs/>
                <w:b/>
              </w:rPr>
              <w:t xml:space="preserve">الإصدار</w:t>
            </w:r>
          </w:p>
        </w:tc>
        <w:tc>
          <w:tcPr/>
          <w:p>
            <w:pPr>
              <w:pStyle w:val="Compact"/>
              <w:jc w:val="left"/>
            </w:pPr>
            <w:r>
              <w:t xml:space="preserve">v1.0</w:t>
            </w:r>
          </w:p>
        </w:tc>
      </w:tr>
      <w:tr>
        <w:tc>
          <w:tcPr/>
          <w:p>
            <w:pPr>
              <w:pStyle w:val="Compact"/>
              <w:jc w:val="left"/>
            </w:pPr>
            <w:r>
              <w:rPr>
                <w:bCs/>
                <w:b/>
              </w:rPr>
              <w:t xml:space="preserve">الحالة</w:t>
            </w:r>
          </w:p>
        </w:tc>
        <w:tc>
          <w:tcPr/>
          <w:p>
            <w:pPr>
              <w:pStyle w:val="Compact"/>
              <w:jc w:val="left"/>
            </w:pPr>
            <w:r>
              <w:t xml:space="preserve">مسودة للاعتماد قبل بدء التنفيذ</w:t>
            </w:r>
          </w:p>
        </w:tc>
      </w:tr>
      <w:tr>
        <w:tc>
          <w:tcPr/>
          <w:p>
            <w:pPr>
              <w:pStyle w:val="Compact"/>
              <w:jc w:val="left"/>
            </w:pPr>
            <w:r>
              <w:rPr>
                <w:bCs/>
                <w:b/>
              </w:rPr>
              <w:t xml:space="preserve">الجمهور المستهدف للوثيقة</w:t>
            </w:r>
          </w:p>
        </w:tc>
        <w:tc>
          <w:tcPr/>
          <w:p>
            <w:pPr>
              <w:pStyle w:val="Compact"/>
              <w:jc w:val="left"/>
            </w:pPr>
            <w:r>
              <w:t xml:space="preserve">المشرف الأكاديمي، لجنة المناقشة، الفريق المنفّذ (الطالب)</w:t>
            </w:r>
          </w:p>
        </w:tc>
      </w:tr>
    </w:tbl>
    <w:bookmarkStart w:id="20" w:name="سجل-التحكم-في-الوثيقة-document-control"/>
    <w:p>
      <w:pPr>
        <w:pStyle w:val="Heading3"/>
      </w:pPr>
      <w:r>
        <w:t xml:space="preserve">سجل التحكم في الوثيقة (Document Control)</w:t>
      </w:r>
    </w:p>
    <w:tbl>
      <w:tblPr>
        <w:tblStyle w:val="Table"/>
        <w:bidiVisual/>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الإصدار</w:t>
            </w:r>
          </w:p>
        </w:tc>
        <w:tc>
          <w:tcPr/>
          <w:p>
            <w:pPr>
              <w:pStyle w:val="Compact"/>
              <w:jc w:val="left"/>
            </w:pPr>
            <w:r>
              <w:t xml:space="preserve">التاريخ</w:t>
            </w:r>
          </w:p>
        </w:tc>
        <w:tc>
          <w:tcPr/>
          <w:p>
            <w:pPr>
              <w:pStyle w:val="Compact"/>
              <w:jc w:val="left"/>
            </w:pPr>
            <w:r>
              <w:t xml:space="preserve">التغيير</w:t>
            </w:r>
          </w:p>
        </w:tc>
      </w:tr>
      <w:tr>
        <w:tc>
          <w:tcPr/>
          <w:p>
            <w:pPr>
              <w:pStyle w:val="Compact"/>
              <w:jc w:val="left"/>
            </w:pPr>
            <w:r>
              <w:t xml:space="preserve">v1.0</w:t>
            </w:r>
          </w:p>
        </w:tc>
        <w:tc>
          <w:tcPr/>
          <w:p>
            <w:pPr>
              <w:pStyle w:val="Compact"/>
              <w:jc w:val="left"/>
            </w:pPr>
            <w:r>
              <w:t xml:space="preserve">إصدار أولي</w:t>
            </w:r>
          </w:p>
        </w:tc>
        <w:tc>
          <w:tcPr/>
          <w:p>
            <w:pPr>
              <w:pStyle w:val="Compact"/>
              <w:jc w:val="left"/>
            </w:pPr>
            <w:r>
              <w:t xml:space="preserve">الهيكل الكامل: المشكلة، الأهداف، النطاق، المتطلبات</w:t>
            </w:r>
          </w:p>
        </w:tc>
      </w:tr>
      <w:tr>
        <w:tc>
          <w:tcPr/>
          <w:p>
            <w:pPr>
              <w:pStyle w:val="Compact"/>
              <w:jc w:val="left"/>
            </w:pPr>
            <w:r>
              <w:t xml:space="preserve">v1.1</w:t>
            </w:r>
          </w:p>
        </w:tc>
        <w:tc>
          <w:tcPr/>
          <w:p>
            <w:pPr>
              <w:pStyle w:val="Compact"/>
              <w:jc w:val="left"/>
            </w:pPr>
            <w:r>
              <w:t xml:space="preserve">تحديث</w:t>
            </w:r>
          </w:p>
        </w:tc>
        <w:tc>
          <w:tcPr/>
          <w:p>
            <w:pPr>
              <w:pStyle w:val="Compact"/>
              <w:jc w:val="left"/>
            </w:pPr>
            <w:r>
              <w:t xml:space="preserve">إضافة التحليل الاستراتيجي والتسويقي (SWOT, PESTEL, Porter, 7Ps, RFM, CLV, Balanced Scorecard)</w:t>
            </w:r>
          </w:p>
        </w:tc>
      </w:tr>
      <w:tr>
        <w:tc>
          <w:tcPr/>
          <w:p>
            <w:pPr>
              <w:pStyle w:val="Compact"/>
              <w:jc w:val="left"/>
            </w:pPr>
            <w:r>
              <w:t xml:space="preserve">v1.2</w:t>
            </w:r>
          </w:p>
        </w:tc>
        <w:tc>
          <w:tcPr/>
          <w:p>
            <w:pPr>
              <w:pStyle w:val="Compact"/>
              <w:jc w:val="left"/>
            </w:pPr>
            <w:r>
              <w:t xml:space="preserve">تحديث حالي</w:t>
            </w:r>
          </w:p>
        </w:tc>
        <w:tc>
          <w:tcPr/>
          <w:p>
            <w:pPr>
              <w:pStyle w:val="Compact"/>
              <w:jc w:val="left"/>
            </w:pPr>
            <w:r>
              <w:t xml:space="preserve">إضافة Glossary، Traceability Matrix، تحديث الافتراضات لتعكس فريق التنفيذ الفعلي وربط خارطة الطريق بالـ SAD</w:t>
            </w:r>
          </w:p>
        </w:tc>
      </w:tr>
    </w:tbl>
    <w:p>
      <w:r>
        <w:pict>
          <v:rect style="width:0;height:1.5pt" o:hralign="center" o:hrstd="t" o:hr="t"/>
        </w:pict>
      </w:r>
    </w:p>
    <w:bookmarkEnd w:id="20"/>
    <w:bookmarkEnd w:id="21"/>
    <w:bookmarkStart w:id="22" w:name="الملخص-التنفيذي-executive-summary"/>
    <w:p>
      <w:pPr>
        <w:pStyle w:val="Heading2"/>
      </w:pPr>
      <w:r>
        <w:t xml:space="preserve">1. الملخص التنفيذي (Executive Summary)</w:t>
      </w:r>
    </w:p>
    <w:p>
      <w:pPr>
        <w:pStyle w:val="FirstParagraph"/>
      </w:pPr>
      <w:r>
        <w:t xml:space="preserve">AI-COS هو نظام تشغيل ذكي متعدد المستأجرين (Multi-Tenant SaaS) للتجارة الإلكترونية، يحوّل المتجر من واجهة بيع سلبية إلى نظام يفهم نشاطه التجاري ويتخذ قرارات مؤتمتة وقابلة للتفسير والتدقيق. هذا المستند يوثّق متطلبات</w:t>
      </w:r>
      <w:r>
        <w:t xml:space="preserve"> </w:t>
      </w:r>
      <w:r>
        <w:rPr>
          <w:bCs/>
          <w:b/>
        </w:rPr>
        <w:t xml:space="preserve">أول تطبيق عملي كامل</w:t>
      </w:r>
      <w:r>
        <w:t xml:space="preserve"> </w:t>
      </w:r>
      <w:r>
        <w:t xml:space="preserve">فوق هذه المنصة:</w:t>
      </w:r>
      <w:r>
        <w:t xml:space="preserve"> </w:t>
      </w:r>
      <w:r>
        <w:rPr>
          <w:bCs/>
          <w:b/>
        </w:rPr>
        <w:t xml:space="preserve">صيدلية إلكترونية</w:t>
      </w:r>
      <w:r>
        <w:t xml:space="preserve"> </w:t>
      </w:r>
      <w:r>
        <w:t xml:space="preserve">تستخدم الذكاء الاصطناعي للتنبؤ باحتياجات العملاء الدوائية، وأتمتة التذكير بموعد إعادة الشراء، واقتراح منتجات مكمّلة، مع الحفاظ على حوكمة صارمة تناسب حساسية البيانات الصحية.</w:t>
      </w:r>
    </w:p>
    <w:p>
      <w:pPr>
        <w:pStyle w:val="BodyText"/>
      </w:pPr>
      <w:r>
        <w:rPr>
          <w:bCs/>
          <w:b/>
        </w:rPr>
        <w:t xml:space="preserve">القيمة الجوهرية للمشروع من منظور BIS:</w:t>
      </w:r>
      <w:r>
        <w:t xml:space="preserve"> </w:t>
      </w:r>
      <w:r>
        <w:t xml:space="preserve">المشروع لا يُقيَّم فقط على صحة الكود، بل على قدرته على</w:t>
      </w:r>
      <w:r>
        <w:t xml:space="preserve"> </w:t>
      </w:r>
      <w:r>
        <w:rPr>
          <w:bCs/>
          <w:b/>
        </w:rPr>
        <w:t xml:space="preserve">ربط قرار تقني (نموذج تنبؤي) بقيمة تجارية مقاسة (إيراد إضافي، تقليل هجر الوصفات، تحسين تجربة العميل)</w:t>
      </w:r>
      <w:r>
        <w:t xml:space="preserve"> </w:t>
      </w:r>
      <w:r>
        <w:t xml:space="preserve">ضمن عملية تشغيلية موثقة رسميًا.</w:t>
      </w:r>
    </w:p>
    <w:p>
      <w:r>
        <w:pict>
          <v:rect style="width:0;height:1.5pt" o:hralign="center" o:hrstd="t" o:hr="t"/>
        </w:pict>
      </w:r>
    </w:p>
    <w:bookmarkEnd w:id="22"/>
    <w:bookmarkStart w:id="26" w:name="المشكلة-والدافع-problem-statement"/>
    <w:p>
      <w:pPr>
        <w:pStyle w:val="Heading2"/>
      </w:pPr>
      <w:r>
        <w:t xml:space="preserve">2. المشكلة والدافع (Problem Statement)</w:t>
      </w:r>
    </w:p>
    <w:bookmarkStart w:id="23" w:name="المشكلة"/>
    <w:p>
      <w:pPr>
        <w:pStyle w:val="Heading3"/>
      </w:pPr>
      <w:r>
        <w:t xml:space="preserve">2.1 المشكلة</w:t>
      </w:r>
    </w:p>
    <w:p>
      <w:pPr>
        <w:pStyle w:val="FirstParagraph"/>
      </w:pPr>
      <w:r>
        <w:t xml:space="preserve">مشغلو الصيدليات الإلكترونية يملكون بيانات غنية عن عملائهم وطلباتهم (تكرار الشراء، أنواع الأدوية، مواعيد الشراء)، لكن هذه البيانات:</w:t>
      </w:r>
      <w:r>
        <w:t xml:space="preserve"> </w:t>
      </w:r>
      <w:r>
        <w:t xml:space="preserve">- تبقى</w:t>
      </w:r>
      <w:r>
        <w:t xml:space="preserve"> </w:t>
      </w:r>
      <w:r>
        <w:rPr>
          <w:bCs/>
          <w:b/>
        </w:rPr>
        <w:t xml:space="preserve">منفصلة وغير مستغَلة</w:t>
      </w:r>
      <w:r>
        <w:t xml:space="preserve"> </w:t>
      </w:r>
      <w:r>
        <w:t xml:space="preserve">في اتخاذ قرارات تسويقية أو تشغيلية سريعة.</w:t>
      </w:r>
      <w:r>
        <w:t xml:space="preserve"> </w:t>
      </w:r>
      <w:r>
        <w:t xml:space="preserve">- لا تتحول إلى</w:t>
      </w:r>
      <w:r>
        <w:t xml:space="preserve"> </w:t>
      </w:r>
      <w:r>
        <w:rPr>
          <w:bCs/>
          <w:b/>
        </w:rPr>
        <w:t xml:space="preserve">إجراء استباقي</w:t>
      </w:r>
      <w:r>
        <w:t xml:space="preserve"> </w:t>
      </w:r>
      <w:r>
        <w:t xml:space="preserve">(Proactive Action) — العميل هو من يتحمل عبء تذكّر موعد إعادة الشراء، لا النظام.</w:t>
      </w:r>
      <w:r>
        <w:t xml:space="preserve"> </w:t>
      </w:r>
      <w:r>
        <w:t xml:space="preserve">- تفتقر إلى</w:t>
      </w:r>
      <w:r>
        <w:t xml:space="preserve"> </w:t>
      </w:r>
      <w:r>
        <w:rPr>
          <w:bCs/>
          <w:b/>
        </w:rPr>
        <w:t xml:space="preserve">قناة موحّدة للبيع المرتبط</w:t>
      </w:r>
      <w:r>
        <w:t xml:space="preserve"> </w:t>
      </w:r>
      <w:r>
        <w:t xml:space="preserve">(Cross-sell) المبني على سلوك شرائي فعلي بدل عروض عامة.</w:t>
      </w:r>
    </w:p>
    <w:bookmarkEnd w:id="23"/>
    <w:bookmarkStart w:id="24" w:name="حجم-المشكلة-دليل-من-السوق"/>
    <w:p>
      <w:pPr>
        <w:pStyle w:val="Heading3"/>
      </w:pPr>
      <w:r>
        <w:t xml:space="preserve">2.2 حجم المشكلة (دليل من السوق)</w:t>
      </w:r>
    </w:p>
    <w:p>
      <w:pPr>
        <w:pStyle w:val="FirstParagraph"/>
      </w:pPr>
      <w:r>
        <w:t xml:space="preserve">تشير بيانات صناعية إلى أن نحو</w:t>
      </w:r>
      <w:r>
        <w:t xml:space="preserve"> </w:t>
      </w:r>
      <w:r>
        <w:rPr>
          <w:bCs/>
          <w:b/>
        </w:rPr>
        <w:t xml:space="preserve">110 مليون وصفة طبية</w:t>
      </w:r>
      <w:r>
        <w:t xml:space="preserve"> </w:t>
      </w:r>
      <w:r>
        <w:t xml:space="preserve">تُصرف سنويًا (في السوق الأمريكي وحده) ولا يستلمها المرضى فعليًا، وأن جزءًا كبيرًا من هذا الهجر (44 مليون حالة في 2023) لا يعود لسبب مادي بل للنسيان — وهو ما يؤكد أن</w:t>
      </w:r>
      <w:r>
        <w:t xml:space="preserve"> </w:t>
      </w:r>
      <w:r>
        <w:t xml:space="preserve">“</w:t>
      </w:r>
      <w:r>
        <w:t xml:space="preserve">التذكير الذكي</w:t>
      </w:r>
      <w:r>
        <w:t xml:space="preserve">”</w:t>
      </w:r>
      <w:r>
        <w:t xml:space="preserve"> </w:t>
      </w:r>
      <w:r>
        <w:t xml:space="preserve">يعالج نقطة فقد تجاري حقيقية وليست افتراضًا نظريًا.</w:t>
      </w:r>
    </w:p>
    <w:bookmarkEnd w:id="24"/>
    <w:bookmarkStart w:id="25" w:name="لماذا-الآن"/>
    <w:p>
      <w:pPr>
        <w:pStyle w:val="Heading3"/>
      </w:pPr>
      <w:r>
        <w:t xml:space="preserve">2.3 لماذا الآن؟</w:t>
      </w:r>
    </w:p>
    <w:p>
      <w:pPr>
        <w:pStyle w:val="FirstParagraph"/>
      </w:pPr>
      <w:r>
        <w:t xml:space="preserve">توفّر أدوات مفتوحة المصدر ومجانية (نماذج Embedding خفيفة، نماذج توليد مثل Gemma، أدوات أتمتة مثل n8n) يجعل بناء نظام كهذا</w:t>
      </w:r>
      <w:r>
        <w:t xml:space="preserve"> </w:t>
      </w:r>
      <w:r>
        <w:rPr>
          <w:bCs/>
          <w:b/>
        </w:rPr>
        <w:t xml:space="preserve">قابلاً للتنفيذ بميزانية شبه معدومة</w:t>
      </w:r>
      <w:r>
        <w:t xml:space="preserve">، وهو ما يلائم سياق مشروع تخرج بموارد محدودة دون التضحية بجودة الفكرة.</w:t>
      </w:r>
    </w:p>
    <w:p>
      <w:r>
        <w:pict>
          <v:rect style="width:0;height:1.5pt" o:hralign="center" o:hrstd="t" o:hr="t"/>
        </w:pict>
      </w:r>
    </w:p>
    <w:bookmarkEnd w:id="25"/>
    <w:bookmarkEnd w:id="26"/>
    <w:bookmarkStart w:id="35" w:name="X05562a9b8d2c94d9a5fe9bcfc4a83025633dae6"/>
    <w:p>
      <w:pPr>
        <w:pStyle w:val="Heading2"/>
      </w:pPr>
      <w:r>
        <w:t xml:space="preserve">3. التحليل الاستراتيجي والتسويقي (Strategic &amp; Marketing Analysis)</w:t>
      </w:r>
    </w:p>
    <w:p>
      <w:pPr>
        <w:pStyle w:val="FirstParagraph"/>
      </w:pPr>
      <w:r>
        <w:t xml:space="preserve">هذا القسم يوظّف أدوات تحليل إدارية وتسويقية قياسية (يفترض أن يكون طالب BIS ملمًّا بها) لإثبات أن المشروع ليس حلاً تقنيًا معزولاً، بل قرار عمل مدروس. هذه الأدوات تُستخدم عادة في مرحلة ما قبل كتابة أي متطلب تقني، وتُدرَج هنا لتكتمل حلقة</w:t>
      </w:r>
      <w:r>
        <w:t xml:space="preserve"> </w:t>
      </w:r>
      <w:r>
        <w:t xml:space="preserve">“</w:t>
      </w:r>
      <w:r>
        <w:t xml:space="preserve">من تحليل السوق إلى الكود</w:t>
      </w:r>
      <w:r>
        <w:t xml:space="preserve">”</w:t>
      </w:r>
      <w:r>
        <w:t xml:space="preserve">.</w:t>
      </w:r>
    </w:p>
    <w:bookmarkStart w:id="27" w:name="تحليل-swot"/>
    <w:p>
      <w:pPr>
        <w:pStyle w:val="Heading3"/>
      </w:pPr>
      <w:r>
        <w:t xml:space="preserve">3.1 تحليل SWOT</w:t>
      </w:r>
    </w:p>
    <w:tbl>
      <w:tblPr>
        <w:tblStyle w:val="Table"/>
        <w:bidiVisual/>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إيجابي</w:t>
            </w:r>
          </w:p>
        </w:tc>
        <w:tc>
          <w:tcPr/>
          <w:p>
            <w:pPr>
              <w:pStyle w:val="Compact"/>
              <w:jc w:val="left"/>
            </w:pPr>
            <w:r>
              <w:t xml:space="preserve">سلبي</w:t>
            </w:r>
          </w:p>
        </w:tc>
      </w:tr>
      <w:tr>
        <w:tc>
          <w:tcPr/>
          <w:p>
            <w:pPr>
              <w:pStyle w:val="Compact"/>
              <w:jc w:val="left"/>
            </w:pPr>
            <w:r>
              <w:rPr>
                <w:bCs/>
                <w:b/>
              </w:rPr>
              <w:t xml:space="preserve">داخلي</w:t>
            </w:r>
          </w:p>
        </w:tc>
        <w:tc>
          <w:tcPr/>
          <w:p>
            <w:pPr>
              <w:pStyle w:val="Compact"/>
              <w:jc w:val="left"/>
            </w:pPr>
            <w:r>
              <w:rPr>
                <w:bCs/>
                <w:b/>
              </w:rPr>
              <w:t xml:space="preserve">Strengths (نقاط قوة):</w:t>
            </w:r>
            <w:r>
              <w:t xml:space="preserve"> </w:t>
            </w:r>
            <w:r>
              <w:t xml:space="preserve">بنية Multi-Tenant قابلة لإعادة الاستخدام عبر قطاعات أخرى، تكلفة تشغيل منخفضة (أدوات مفتوحة المصدر)، قرارات مفسَّرة عبر SHAP</w:t>
            </w:r>
          </w:p>
        </w:tc>
        <w:tc>
          <w:tcPr/>
          <w:p>
            <w:pPr>
              <w:pStyle w:val="Compact"/>
              <w:jc w:val="left"/>
            </w:pPr>
            <w:r>
              <w:rPr>
                <w:bCs/>
                <w:b/>
              </w:rPr>
              <w:t xml:space="preserve">Weaknesses (نقاط ضعف):</w:t>
            </w:r>
            <w:r>
              <w:t xml:space="preserve"> </w:t>
            </w:r>
            <w:r>
              <w:t xml:space="preserve">الاعتماد على بيانات اصطناعية (Synthetic Data) بدل بيانات حقيقية، فريق تنفيذ من شخص واحد بموارد حاسوبية محدودة</w:t>
            </w:r>
          </w:p>
        </w:tc>
      </w:tr>
      <w:tr>
        <w:tc>
          <w:tcPr/>
          <w:p>
            <w:pPr>
              <w:pStyle w:val="Compact"/>
              <w:jc w:val="left"/>
            </w:pPr>
            <w:r>
              <w:rPr>
                <w:bCs/>
                <w:b/>
              </w:rPr>
              <w:t xml:space="preserve">خارجي</w:t>
            </w:r>
          </w:p>
        </w:tc>
        <w:tc>
          <w:tcPr/>
          <w:p>
            <w:pPr>
              <w:pStyle w:val="Compact"/>
              <w:jc w:val="left"/>
            </w:pPr>
            <w:r>
              <w:rPr>
                <w:bCs/>
                <w:b/>
              </w:rPr>
              <w:t xml:space="preserve">Opportunities (فرص):</w:t>
            </w:r>
            <w:r>
              <w:t xml:space="preserve"> </w:t>
            </w:r>
            <w:r>
              <w:t xml:space="preserve">حجم مشكلة موثق (110 مليون وصفة مهجورة سنويًا)، نمو الطلب على الصيدليات الإلكترونية، توفر نماذج AI مجانية وخفيفة</w:t>
            </w:r>
          </w:p>
        </w:tc>
        <w:tc>
          <w:tcPr/>
          <w:p>
            <w:pPr>
              <w:pStyle w:val="Compact"/>
              <w:jc w:val="left"/>
            </w:pPr>
            <w:r>
              <w:rPr>
                <w:bCs/>
                <w:b/>
              </w:rPr>
              <w:t xml:space="preserve">Threats (تهديدات):</w:t>
            </w:r>
            <w:r>
              <w:t xml:space="preserve"> </w:t>
            </w:r>
            <w:r>
              <w:t xml:space="preserve">حساسية البيانات الصحية تستوجب حوكمة صارمة، احتمال ظهور منافسين بموارد أكبر، تغيّر تسعير/توفر واجهات LLM المجانية مستقبلًا</w:t>
            </w:r>
          </w:p>
        </w:tc>
      </w:tr>
    </w:tbl>
    <w:bookmarkEnd w:id="27"/>
    <w:bookmarkStart w:id="28" w:name="تحليل-pestel-مختصر"/>
    <w:p>
      <w:pPr>
        <w:pStyle w:val="Heading3"/>
      </w:pPr>
      <w:r>
        <w:t xml:space="preserve">3.2 تحليل PESTEL (مختصر)</w:t>
      </w:r>
    </w:p>
    <w:tbl>
      <w:tblPr>
        <w:tblStyle w:val="Table"/>
        <w:bidiVisual/>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البُعد</w:t>
            </w:r>
          </w:p>
        </w:tc>
        <w:tc>
          <w:tcPr/>
          <w:p>
            <w:pPr>
              <w:pStyle w:val="Compact"/>
              <w:jc w:val="left"/>
            </w:pPr>
            <w:r>
              <w:t xml:space="preserve">الأثر على المشروع</w:t>
            </w:r>
          </w:p>
        </w:tc>
      </w:tr>
      <w:tr>
        <w:tc>
          <w:tcPr/>
          <w:p>
            <w:pPr>
              <w:pStyle w:val="Compact"/>
              <w:jc w:val="left"/>
            </w:pPr>
            <w:r>
              <w:rPr>
                <w:bCs/>
                <w:b/>
              </w:rPr>
              <w:t xml:space="preserve">Political/Legal</w:t>
            </w:r>
          </w:p>
        </w:tc>
        <w:tc>
          <w:tcPr/>
          <w:p>
            <w:pPr>
              <w:pStyle w:val="Compact"/>
              <w:jc w:val="left"/>
            </w:pPr>
            <w:r>
              <w:t xml:space="preserve">قوانين حماية البيانات الصحية تفرض ضوابط خصوصية صارمة (بند</w:t>
            </w:r>
            <w:r>
              <w:t xml:space="preserve"> </w:t>
            </w:r>
            <w:r>
              <w:t xml:space="preserve">“</w:t>
            </w:r>
            <w:r>
              <w:t xml:space="preserve">Privacy by Design</w:t>
            </w:r>
            <w:r>
              <w:t xml:space="preserve">”</w:t>
            </w:r>
            <w:r>
              <w:t xml:space="preserve"> </w:t>
            </w:r>
            <w:r>
              <w:t xml:space="preserve">في مستند الحالة التطبيقية)</w:t>
            </w:r>
          </w:p>
        </w:tc>
      </w:tr>
      <w:tr>
        <w:tc>
          <w:tcPr/>
          <w:p>
            <w:pPr>
              <w:pStyle w:val="Compact"/>
              <w:jc w:val="left"/>
            </w:pPr>
            <w:r>
              <w:rPr>
                <w:bCs/>
                <w:b/>
              </w:rPr>
              <w:t xml:space="preserve">Economic</w:t>
            </w:r>
          </w:p>
        </w:tc>
        <w:tc>
          <w:tcPr/>
          <w:p>
            <w:pPr>
              <w:pStyle w:val="Compact"/>
              <w:jc w:val="left"/>
            </w:pPr>
            <w:r>
              <w:t xml:space="preserve">تكلفة تشغيل منخفضة تجعل النموذج قابلاً للتطبيق حتى على صيدليات صغيرة الحجم</w:t>
            </w:r>
          </w:p>
        </w:tc>
      </w:tr>
      <w:tr>
        <w:tc>
          <w:tcPr/>
          <w:p>
            <w:pPr>
              <w:pStyle w:val="Compact"/>
              <w:jc w:val="left"/>
            </w:pPr>
            <w:r>
              <w:rPr>
                <w:bCs/>
                <w:b/>
              </w:rPr>
              <w:t xml:space="preserve">Social</w:t>
            </w:r>
          </w:p>
        </w:tc>
        <w:tc>
          <w:tcPr/>
          <w:p>
            <w:pPr>
              <w:pStyle w:val="Compact"/>
              <w:jc w:val="left"/>
            </w:pPr>
            <w:r>
              <w:t xml:space="preserve">تزايد ثقة المستهلك في الشراء الإلكتروني للأدوية غير الموصوفة والمكمّلات</w:t>
            </w:r>
          </w:p>
        </w:tc>
      </w:tr>
      <w:tr>
        <w:tc>
          <w:tcPr/>
          <w:p>
            <w:pPr>
              <w:pStyle w:val="Compact"/>
              <w:jc w:val="left"/>
            </w:pPr>
            <w:r>
              <w:rPr>
                <w:bCs/>
                <w:b/>
              </w:rPr>
              <w:t xml:space="preserve">Technological</w:t>
            </w:r>
          </w:p>
        </w:tc>
        <w:tc>
          <w:tcPr/>
          <w:p>
            <w:pPr>
              <w:pStyle w:val="Compact"/>
              <w:jc w:val="left"/>
            </w:pPr>
            <w:r>
              <w:t xml:space="preserve">توفر نماذج ذكاء اصطناعي خفيفة ومجانية (BERT/Gemma) يزيل حاجز الدخول التقني</w:t>
            </w:r>
          </w:p>
        </w:tc>
      </w:tr>
      <w:tr>
        <w:tc>
          <w:tcPr/>
          <w:p>
            <w:pPr>
              <w:pStyle w:val="Compact"/>
              <w:jc w:val="left"/>
            </w:pPr>
            <w:r>
              <w:rPr>
                <w:bCs/>
                <w:b/>
              </w:rPr>
              <w:t xml:space="preserve">Environmental</w:t>
            </w:r>
          </w:p>
        </w:tc>
        <w:tc>
          <w:tcPr/>
          <w:p>
            <w:pPr>
              <w:pStyle w:val="Compact"/>
              <w:jc w:val="left"/>
            </w:pPr>
            <w:r>
              <w:t xml:space="preserve">غير جوهري لهذا المشروع (يُذكر للاكتمال المنهجي فقط)</w:t>
            </w:r>
          </w:p>
        </w:tc>
      </w:tr>
      <w:tr>
        <w:tc>
          <w:tcPr/>
          <w:p>
            <w:pPr>
              <w:pStyle w:val="Compact"/>
              <w:jc w:val="left"/>
            </w:pPr>
            <w:r>
              <w:rPr>
                <w:bCs/>
                <w:b/>
              </w:rPr>
              <w:t xml:space="preserve">Legal</w:t>
            </w:r>
          </w:p>
        </w:tc>
        <w:tc>
          <w:tcPr/>
          <w:p>
            <w:pPr>
              <w:pStyle w:val="Compact"/>
              <w:jc w:val="left"/>
            </w:pPr>
            <w:r>
              <w:t xml:space="preserve">ضرورة تنويه طبي إلزامي مصاحب لأي رد آلي يتعلق بالأدوية (مسؤولية قانونية)</w:t>
            </w:r>
          </w:p>
        </w:tc>
      </w:tr>
    </w:tbl>
    <w:bookmarkEnd w:id="28"/>
    <w:bookmarkStart w:id="29" w:name="X4ec9addaf6f44b3e26a0a4cc586257f081dbd45"/>
    <w:p>
      <w:pPr>
        <w:pStyle w:val="Heading3"/>
      </w:pPr>
      <w:r>
        <w:t xml:space="preserve">3.3 قوى بورتر الخمس (Porter’s Five Forces) — تطبيق مختصر</w:t>
      </w:r>
    </w:p>
    <w:tbl>
      <w:tblPr>
        <w:tblStyle w:val="Table"/>
        <w:bidiVisual/>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القوة</w:t>
            </w:r>
          </w:p>
        </w:tc>
        <w:tc>
          <w:tcPr/>
          <w:p>
            <w:pPr>
              <w:pStyle w:val="Compact"/>
              <w:jc w:val="left"/>
            </w:pPr>
            <w:r>
              <w:t xml:space="preserve">مستوى التأثير</w:t>
            </w:r>
          </w:p>
        </w:tc>
        <w:tc>
          <w:tcPr/>
          <w:p>
            <w:pPr>
              <w:pStyle w:val="Compact"/>
              <w:jc w:val="left"/>
            </w:pPr>
            <w:r>
              <w:t xml:space="preserve">التفسير</w:t>
            </w:r>
          </w:p>
        </w:tc>
      </w:tr>
      <w:tr>
        <w:tc>
          <w:tcPr/>
          <w:p>
            <w:pPr>
              <w:pStyle w:val="Compact"/>
              <w:jc w:val="left"/>
            </w:pPr>
            <w:r>
              <w:t xml:space="preserve">تهديد الداخلين الجدد</w:t>
            </w:r>
          </w:p>
        </w:tc>
        <w:tc>
          <w:tcPr/>
          <w:p>
            <w:pPr>
              <w:pStyle w:val="Compact"/>
              <w:jc w:val="left"/>
            </w:pPr>
            <w:r>
              <w:t xml:space="preserve">متوسط</w:t>
            </w:r>
          </w:p>
        </w:tc>
        <w:tc>
          <w:tcPr/>
          <w:p>
            <w:pPr>
              <w:pStyle w:val="Compact"/>
              <w:jc w:val="left"/>
            </w:pPr>
            <w:r>
              <w:t xml:space="preserve">حاجز الدخول التقني منخفض بفضل الأدوات المجانية، لكن الثقة والترخيص الصحي يبطئان الدخول</w:t>
            </w:r>
          </w:p>
        </w:tc>
      </w:tr>
      <w:tr>
        <w:tc>
          <w:tcPr/>
          <w:p>
            <w:pPr>
              <w:pStyle w:val="Compact"/>
              <w:jc w:val="left"/>
            </w:pPr>
            <w:r>
              <w:t xml:space="preserve">قوة التفاوض للموردين (مزودي LLM/البنية التحتية)</w:t>
            </w:r>
          </w:p>
        </w:tc>
        <w:tc>
          <w:tcPr/>
          <w:p>
            <w:pPr>
              <w:pStyle w:val="Compact"/>
              <w:jc w:val="left"/>
            </w:pPr>
            <w:r>
              <w:t xml:space="preserve">منخفض–متوسط</w:t>
            </w:r>
          </w:p>
        </w:tc>
        <w:tc>
          <w:tcPr/>
          <w:p>
            <w:pPr>
              <w:pStyle w:val="Compact"/>
              <w:jc w:val="left"/>
            </w:pPr>
            <w:r>
              <w:t xml:space="preserve">تعدد البدائل المجانية (Groq, OpenRouter, تشغيل محلي) يقلل الاعتماد على مزود واحد</w:t>
            </w:r>
          </w:p>
        </w:tc>
      </w:tr>
      <w:tr>
        <w:tc>
          <w:tcPr/>
          <w:p>
            <w:pPr>
              <w:pStyle w:val="Compact"/>
              <w:jc w:val="left"/>
            </w:pPr>
            <w:r>
              <w:t xml:space="preserve">قوة التفاوض للعملاء</w:t>
            </w:r>
          </w:p>
        </w:tc>
        <w:tc>
          <w:tcPr/>
          <w:p>
            <w:pPr>
              <w:pStyle w:val="Compact"/>
              <w:jc w:val="left"/>
            </w:pPr>
            <w:r>
              <w:t xml:space="preserve">مرتفع</w:t>
            </w:r>
          </w:p>
        </w:tc>
        <w:tc>
          <w:tcPr/>
          <w:p>
            <w:pPr>
              <w:pStyle w:val="Compact"/>
              <w:jc w:val="left"/>
            </w:pPr>
            <w:r>
              <w:t xml:space="preserve">العميل يملك بدائل صيدليات أخرى بسهولة، لذا التخصيص والتذكير الاستباقي عامل احتفاظ حاسم</w:t>
            </w:r>
          </w:p>
        </w:tc>
      </w:tr>
      <w:tr>
        <w:tc>
          <w:tcPr/>
          <w:p>
            <w:pPr>
              <w:pStyle w:val="Compact"/>
              <w:jc w:val="left"/>
            </w:pPr>
            <w:r>
              <w:t xml:space="preserve">تهديد البدائل</w:t>
            </w:r>
          </w:p>
        </w:tc>
        <w:tc>
          <w:tcPr/>
          <w:p>
            <w:pPr>
              <w:pStyle w:val="Compact"/>
              <w:jc w:val="left"/>
            </w:pPr>
            <w:r>
              <w:t xml:space="preserve">متوسط</w:t>
            </w:r>
          </w:p>
        </w:tc>
        <w:tc>
          <w:tcPr/>
          <w:p>
            <w:pPr>
              <w:pStyle w:val="Compact"/>
              <w:jc w:val="left"/>
            </w:pPr>
            <w:r>
              <w:t xml:space="preserve">الصيدلية التقليدية تبقى بديلاً مباشرًا، لكنها تفتقر للتخصيص الآلي</w:t>
            </w:r>
          </w:p>
        </w:tc>
      </w:tr>
      <w:tr>
        <w:tc>
          <w:tcPr/>
          <w:p>
            <w:pPr>
              <w:pStyle w:val="Compact"/>
              <w:jc w:val="left"/>
            </w:pPr>
            <w:r>
              <w:t xml:space="preserve">شدة المنافسة بين الفاعلين الحاليين</w:t>
            </w:r>
          </w:p>
        </w:tc>
        <w:tc>
          <w:tcPr/>
          <w:p>
            <w:pPr>
              <w:pStyle w:val="Compact"/>
              <w:jc w:val="left"/>
            </w:pPr>
            <w:r>
              <w:t xml:space="preserve">متوسط–مرتفع</w:t>
            </w:r>
          </w:p>
        </w:tc>
        <w:tc>
          <w:tcPr/>
          <w:p>
            <w:pPr>
              <w:pStyle w:val="Compact"/>
              <w:jc w:val="left"/>
            </w:pPr>
            <w:r>
              <w:t xml:space="preserve">يستدعي تمايزًا واضحًا؛ ميزة هذا المشروع هي التخصيص المبني على بيانات فعلية لا العروض العامة</w:t>
            </w:r>
          </w:p>
        </w:tc>
      </w:tr>
    </w:tbl>
    <w:bookmarkEnd w:id="29"/>
    <w:bookmarkStart w:id="30" w:name="X6bc787fbe757503fd670df6b85a571e4a5e74bb"/>
    <w:p>
      <w:pPr>
        <w:pStyle w:val="Heading3"/>
      </w:pPr>
      <w:r>
        <w:t xml:space="preserve">3.4 المزيج التسويقي (Marketing Mix — 7Ps) المطبَّق على النظام</w:t>
      </w:r>
    </w:p>
    <w:tbl>
      <w:tblPr>
        <w:tblStyle w:val="Table"/>
        <w:bidiVisual/>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العنصر</w:t>
            </w:r>
          </w:p>
        </w:tc>
        <w:tc>
          <w:tcPr/>
          <w:p>
            <w:pPr>
              <w:pStyle w:val="Compact"/>
              <w:jc w:val="left"/>
            </w:pPr>
            <w:r>
              <w:t xml:space="preserve">تطبيقه في AI-COS Pharmacy</w:t>
            </w:r>
          </w:p>
        </w:tc>
      </w:tr>
      <w:tr>
        <w:tc>
          <w:tcPr/>
          <w:p>
            <w:pPr>
              <w:pStyle w:val="Compact"/>
              <w:jc w:val="left"/>
            </w:pPr>
            <w:r>
              <w:rPr>
                <w:bCs/>
                <w:b/>
              </w:rPr>
              <w:t xml:space="preserve">Product</w:t>
            </w:r>
          </w:p>
        </w:tc>
        <w:tc>
          <w:tcPr/>
          <w:p>
            <w:pPr>
              <w:pStyle w:val="Compact"/>
              <w:jc w:val="left"/>
            </w:pPr>
            <w:r>
              <w:t xml:space="preserve">تجربة شراء أدوية مدعومة بذكاء اصطناعي: تذكير استباقي + توصيات مخصصة + بوت استشاري</w:t>
            </w:r>
          </w:p>
        </w:tc>
      </w:tr>
      <w:tr>
        <w:tc>
          <w:tcPr/>
          <w:p>
            <w:pPr>
              <w:pStyle w:val="Compact"/>
              <w:jc w:val="left"/>
            </w:pPr>
            <w:r>
              <w:rPr>
                <w:bCs/>
                <w:b/>
              </w:rPr>
              <w:t xml:space="preserve">Price</w:t>
            </w:r>
          </w:p>
        </w:tc>
        <w:tc>
          <w:tcPr/>
          <w:p>
            <w:pPr>
              <w:pStyle w:val="Compact"/>
              <w:jc w:val="left"/>
            </w:pPr>
            <w:r>
              <w:t xml:space="preserve">لا تسعير مباشر للنظام نفسه في هذه المرحلة؛ القيمة تُقاس بالعائد غير المباشر (بند 14 من مستند الحالة التطبيقية — ROI)</w:t>
            </w:r>
          </w:p>
        </w:tc>
      </w:tr>
      <w:tr>
        <w:tc>
          <w:tcPr/>
          <w:p>
            <w:pPr>
              <w:pStyle w:val="Compact"/>
              <w:jc w:val="left"/>
            </w:pPr>
            <w:r>
              <w:rPr>
                <w:bCs/>
                <w:b/>
              </w:rPr>
              <w:t xml:space="preserve">Place</w:t>
            </w:r>
          </w:p>
        </w:tc>
        <w:tc>
          <w:tcPr/>
          <w:p>
            <w:pPr>
              <w:pStyle w:val="Compact"/>
              <w:jc w:val="left"/>
            </w:pPr>
            <w:r>
              <w:t xml:space="preserve">قناة رقمية بالكامل (متجر إلكتروني + واتساب + إيميل)</w:t>
            </w:r>
          </w:p>
        </w:tc>
      </w:tr>
      <w:tr>
        <w:tc>
          <w:tcPr/>
          <w:p>
            <w:pPr>
              <w:pStyle w:val="Compact"/>
              <w:jc w:val="left"/>
            </w:pPr>
            <w:r>
              <w:rPr>
                <w:bCs/>
                <w:b/>
              </w:rPr>
              <w:t xml:space="preserve">Promotion</w:t>
            </w:r>
          </w:p>
        </w:tc>
        <w:tc>
          <w:tcPr/>
          <w:p>
            <w:pPr>
              <w:pStyle w:val="Compact"/>
              <w:jc w:val="left"/>
            </w:pPr>
            <w:r>
              <w:t xml:space="preserve">رسائل تذكير وعروض مخصصة (Cross-sell) بدل ترويج عام موحّد لكل العملاء</w:t>
            </w:r>
          </w:p>
        </w:tc>
      </w:tr>
      <w:tr>
        <w:tc>
          <w:tcPr/>
          <w:p>
            <w:pPr>
              <w:pStyle w:val="Compact"/>
              <w:jc w:val="left"/>
            </w:pPr>
            <w:r>
              <w:rPr>
                <w:bCs/>
                <w:b/>
              </w:rPr>
              <w:t xml:space="preserve">People</w:t>
            </w:r>
          </w:p>
        </w:tc>
        <w:tc>
          <w:tcPr/>
          <w:p>
            <w:pPr>
              <w:pStyle w:val="Compact"/>
              <w:jc w:val="left"/>
            </w:pPr>
            <w:r>
              <w:t xml:space="preserve">فريق الدعم/التسويق كطبقة مراجعة بشرية للحالات متوسطة الثقة (Human-in-the-loop)</w:t>
            </w:r>
          </w:p>
        </w:tc>
      </w:tr>
      <w:tr>
        <w:tc>
          <w:tcPr/>
          <w:p>
            <w:pPr>
              <w:pStyle w:val="Compact"/>
              <w:jc w:val="left"/>
            </w:pPr>
            <w:r>
              <w:rPr>
                <w:bCs/>
                <w:b/>
              </w:rPr>
              <w:t xml:space="preserve">Process</w:t>
            </w:r>
          </w:p>
        </w:tc>
        <w:tc>
          <w:tcPr/>
          <w:p>
            <w:pPr>
              <w:pStyle w:val="Compact"/>
              <w:jc w:val="left"/>
            </w:pPr>
            <w:r>
              <w:t xml:space="preserve">تدفق القرار الموثق في BPMN (بند 15 من مستند الحالة التطبيقية) من التنبؤ إلى الإرسال</w:t>
            </w:r>
          </w:p>
        </w:tc>
      </w:tr>
      <w:tr>
        <w:tc>
          <w:tcPr/>
          <w:p>
            <w:pPr>
              <w:pStyle w:val="Compact"/>
              <w:jc w:val="left"/>
            </w:pPr>
            <w:r>
              <w:rPr>
                <w:bCs/>
                <w:b/>
              </w:rPr>
              <w:t xml:space="preserve">Physical Evidence</w:t>
            </w:r>
          </w:p>
        </w:tc>
        <w:tc>
          <w:tcPr/>
          <w:p>
            <w:pPr>
              <w:pStyle w:val="Compact"/>
              <w:jc w:val="left"/>
            </w:pPr>
            <w:r>
              <w:t xml:space="preserve">Dashboard شفاف + تفسير SHAP لكل قرار، يمنح العميل وصاحب المتجر</w:t>
            </w:r>
            <w:r>
              <w:t xml:space="preserve"> </w:t>
            </w:r>
            <w:r>
              <w:t xml:space="preserve">“</w:t>
            </w:r>
            <w:r>
              <w:t xml:space="preserve">دليلًا ملموسًا</w:t>
            </w:r>
            <w:r>
              <w:t xml:space="preserve">”</w:t>
            </w:r>
            <w:r>
              <w:t xml:space="preserve"> </w:t>
            </w:r>
            <w:r>
              <w:t xml:space="preserve">على منطقية النظام</w:t>
            </w:r>
          </w:p>
        </w:tc>
      </w:tr>
    </w:tbl>
    <w:bookmarkEnd w:id="30"/>
    <w:bookmarkStart w:id="31" w:name="X2109c658d8595845cac29ff22fc926e5f65cc0b"/>
    <w:p>
      <w:pPr>
        <w:pStyle w:val="Heading3"/>
      </w:pPr>
      <w:r>
        <w:t xml:space="preserve">3.5 تجزئة العملاء بمنهج RFM (Recency – Frequency – Monetary)</w:t>
      </w:r>
    </w:p>
    <w:p>
      <w:pPr>
        <w:pStyle w:val="FirstParagraph"/>
      </w:pPr>
      <w:r>
        <w:t xml:space="preserve">يُقترح استخدام إطار RFM القياسي في تسويق البيانات لتصنيف العملاء داخل الـ Feature Store (بند 2.2 من مستند الحالة التطبيقية)، كطبقة تحليلية إضافية فوق</w:t>
      </w:r>
      <w:r>
        <w:t xml:space="preserve"> </w:t>
      </w:r>
      <w:r>
        <w:rPr>
          <w:rStyle w:val="VerbatimChar"/>
        </w:rPr>
        <w:t xml:space="preserve">avg_cycle_days</w:t>
      </w:r>
      <w:r>
        <w:t xml:space="preserve">:</w:t>
      </w:r>
    </w:p>
    <w:tbl>
      <w:tblPr>
        <w:tblStyle w:val="Table"/>
        <w:bidiVisual/>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البُعد</w:t>
            </w:r>
          </w:p>
        </w:tc>
        <w:tc>
          <w:tcPr/>
          <w:p>
            <w:pPr>
              <w:pStyle w:val="Compact"/>
              <w:jc w:val="left"/>
            </w:pPr>
            <w:r>
              <w:t xml:space="preserve">القياس في سياق الصيدلية</w:t>
            </w:r>
          </w:p>
        </w:tc>
      </w:tr>
      <w:tr>
        <w:tc>
          <w:tcPr/>
          <w:p>
            <w:pPr>
              <w:pStyle w:val="Compact"/>
              <w:jc w:val="left"/>
            </w:pPr>
            <w:r>
              <w:rPr>
                <w:bCs/>
                <w:b/>
              </w:rPr>
              <w:t xml:space="preserve">Recency</w:t>
            </w:r>
          </w:p>
        </w:tc>
        <w:tc>
          <w:tcPr/>
          <w:p>
            <w:pPr>
              <w:pStyle w:val="Compact"/>
              <w:jc w:val="left"/>
            </w:pPr>
            <w:r>
              <w:t xml:space="preserve">عدد الأيام منذ آخر عملية شراء (</w:t>
            </w:r>
            <w:r>
              <w:rPr>
                <w:rStyle w:val="VerbatimChar"/>
              </w:rPr>
              <w:t xml:space="preserve">days_since_last_purchase</w:t>
            </w:r>
            <w:r>
              <w:t xml:space="preserve">)</w:t>
            </w:r>
          </w:p>
        </w:tc>
      </w:tr>
      <w:tr>
        <w:tc>
          <w:tcPr/>
          <w:p>
            <w:pPr>
              <w:pStyle w:val="Compact"/>
              <w:jc w:val="left"/>
            </w:pPr>
            <w:r>
              <w:rPr>
                <w:bCs/>
                <w:b/>
              </w:rPr>
              <w:t xml:space="preserve">Frequency</w:t>
            </w:r>
          </w:p>
        </w:tc>
        <w:tc>
          <w:tcPr/>
          <w:p>
            <w:pPr>
              <w:pStyle w:val="Compact"/>
              <w:jc w:val="left"/>
            </w:pPr>
            <w:r>
              <w:t xml:space="preserve">عدد مرات الشراء خلال فترة زمنية محددة</w:t>
            </w:r>
          </w:p>
        </w:tc>
      </w:tr>
      <w:tr>
        <w:tc>
          <w:tcPr/>
          <w:p>
            <w:pPr>
              <w:pStyle w:val="Compact"/>
              <w:jc w:val="left"/>
            </w:pPr>
            <w:r>
              <w:rPr>
                <w:bCs/>
                <w:b/>
              </w:rPr>
              <w:t xml:space="preserve">Monetary</w:t>
            </w:r>
          </w:p>
        </w:tc>
        <w:tc>
          <w:tcPr/>
          <w:p>
            <w:pPr>
              <w:pStyle w:val="Compact"/>
              <w:jc w:val="left"/>
            </w:pPr>
            <w:r>
              <w:t xml:space="preserve">إجمالي الإنفاق التراكمي للعميل</w:t>
            </w:r>
          </w:p>
        </w:tc>
      </w:tr>
    </w:tbl>
    <w:p>
      <w:pPr>
        <w:pStyle w:val="BodyText"/>
      </w:pPr>
      <w:r>
        <w:t xml:space="preserve">نتيجة RFM تُستخدم لتقسيم العملاء إلى شرائح (عملاء أوفياء، عملاء في خطر Churn، عملاء جدد) تغذّي مباشرة قرار</w:t>
      </w:r>
      <w:r>
        <w:t xml:space="preserve"> </w:t>
      </w:r>
      <w:r>
        <w:rPr>
          <w:bCs/>
          <w:b/>
        </w:rPr>
        <w:t xml:space="preserve">Marketing Agent</w:t>
      </w:r>
      <w:r>
        <w:t xml:space="preserve"> </w:t>
      </w:r>
      <w:r>
        <w:t xml:space="preserve">بشأن نوع الرسالة الأنسب لكل شريحة، بدل الاعتماد على</w:t>
      </w:r>
      <w:r>
        <w:t xml:space="preserve"> </w:t>
      </w:r>
      <w:r>
        <w:rPr>
          <w:rStyle w:val="VerbatimChar"/>
        </w:rPr>
        <w:t xml:space="preserve">avg_cycle_days</w:t>
      </w:r>
      <w:r>
        <w:t xml:space="preserve"> </w:t>
      </w:r>
      <w:r>
        <w:t xml:space="preserve">فقط.</w:t>
      </w:r>
    </w:p>
    <w:bookmarkEnd w:id="31"/>
    <w:bookmarkStart w:id="32" w:name="X82f95980dc2c77df0b01bd8d1e8962d8d656235"/>
    <w:p>
      <w:pPr>
        <w:pStyle w:val="Heading3"/>
      </w:pPr>
      <w:r>
        <w:t xml:space="preserve">3.6 القيمة الدائمة للعميل (Customer Lifetime Value — CLV)</w:t>
      </w:r>
    </w:p>
    <w:p>
      <w:pPr>
        <w:pStyle w:val="FirstParagraph"/>
      </w:pPr>
      <w:r>
        <w:t xml:space="preserve">مؤشر إداري إضافي يُستحسن حسابه ضمن KPIs بند 11 (مستند الحالة التطبيقية):</w:t>
      </w:r>
    </w:p>
    <w:p>
      <w:pPr>
        <w:pStyle w:val="SourceCode"/>
      </w:pPr>
      <w:r>
        <w:rPr>
          <w:rStyle w:val="VerbatimChar"/>
        </w:rPr>
        <w:t xml:space="preserve">CLV ≈ متوسط قيمة الطلب × متوسط عدد مرات الشراء سنويًا × متوسط عمر العلاقة بالسنوات</w:t>
      </w:r>
    </w:p>
    <w:p>
      <w:pPr>
        <w:pStyle w:val="FirstParagraph"/>
      </w:pPr>
      <w:r>
        <w:t xml:space="preserve">فائدته: تحويل قرار</w:t>
      </w:r>
      <w:r>
        <w:t xml:space="preserve"> </w:t>
      </w:r>
      <w:r>
        <w:t xml:space="preserve">“</w:t>
      </w:r>
      <w:r>
        <w:t xml:space="preserve">هل نُرسل عرض خصم لهذا العميل؟</w:t>
      </w:r>
      <w:r>
        <w:t xml:space="preserve">”</w:t>
      </w:r>
      <w:r>
        <w:t xml:space="preserve"> </w:t>
      </w:r>
      <w:r>
        <w:t xml:space="preserve">من قرار تكتيكي لحظي إلى قرار مبني على القيمة طويلة المدى للعميل، وهو ما يميّز التفكير الإداري (Managerial Thinking) عن مجرد التفكير التشغيلي.</w:t>
      </w:r>
    </w:p>
    <w:bookmarkEnd w:id="32"/>
    <w:bookmarkStart w:id="33" w:name="X36e40188a1041de089c4066cf9a2abec800bfad"/>
    <w:p>
      <w:pPr>
        <w:pStyle w:val="Heading3"/>
      </w:pPr>
      <w:r>
        <w:t xml:space="preserve">3.7 بطاقة الأداء المتوازن (Balanced Scorecard) — ربط KPIs التقنية بأهداف العمل</w:t>
      </w:r>
    </w:p>
    <w:p>
      <w:pPr>
        <w:pStyle w:val="FirstParagraph"/>
      </w:pPr>
      <w:r>
        <w:t xml:space="preserve">إطار Balanced Scorecard يُستخدم لتجميع كل مؤشرات الأداء (بند 11 في مستند الحالة التطبيقية) ضمن 4 محاور إدارية متوازنة بدل عرضها كأرقام تقنية منفصلة:</w:t>
      </w:r>
    </w:p>
    <w:tbl>
      <w:tblPr>
        <w:tblStyle w:val="Table"/>
        <w:bidiVisual/>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المحور</w:t>
            </w:r>
          </w:p>
        </w:tc>
        <w:tc>
          <w:tcPr/>
          <w:p>
            <w:pPr>
              <w:pStyle w:val="Compact"/>
              <w:jc w:val="left"/>
            </w:pPr>
            <w:r>
              <w:t xml:space="preserve">مؤشرات مرتبطة</w:t>
            </w:r>
          </w:p>
        </w:tc>
      </w:tr>
      <w:tr>
        <w:tc>
          <w:tcPr/>
          <w:p>
            <w:pPr>
              <w:pStyle w:val="Compact"/>
              <w:jc w:val="left"/>
            </w:pPr>
            <w:r>
              <w:rPr>
                <w:bCs/>
                <w:b/>
              </w:rPr>
              <w:t xml:space="preserve">المالي (Financial)</w:t>
            </w:r>
          </w:p>
        </w:tc>
        <w:tc>
          <w:tcPr/>
          <w:p>
            <w:pPr>
              <w:pStyle w:val="Compact"/>
              <w:jc w:val="left"/>
            </w:pPr>
            <w:r>
              <w:t xml:space="preserve">الإيراد الإضافي من التذكير + Cross-sell (بند 14 — ROI)</w:t>
            </w:r>
          </w:p>
        </w:tc>
      </w:tr>
      <w:tr>
        <w:tc>
          <w:tcPr/>
          <w:p>
            <w:pPr>
              <w:pStyle w:val="Compact"/>
              <w:jc w:val="left"/>
            </w:pPr>
            <w:r>
              <w:rPr>
                <w:bCs/>
                <w:b/>
              </w:rPr>
              <w:t xml:space="preserve">العميل (Customer)</w:t>
            </w:r>
          </w:p>
        </w:tc>
        <w:tc>
          <w:tcPr/>
          <w:p>
            <w:pPr>
              <w:pStyle w:val="Compact"/>
              <w:jc w:val="left"/>
            </w:pPr>
            <w:r>
              <w:t xml:space="preserve">Reminder → Purchase Conversion Rate، False Positive Rate (رضا العميل)</w:t>
            </w:r>
          </w:p>
        </w:tc>
      </w:tr>
      <w:tr>
        <w:tc>
          <w:tcPr/>
          <w:p>
            <w:pPr>
              <w:pStyle w:val="Compact"/>
              <w:jc w:val="left"/>
            </w:pPr>
            <w:r>
              <w:rPr>
                <w:bCs/>
                <w:b/>
              </w:rPr>
              <w:t xml:space="preserve">العمليات الداخلية (Internal Process)</w:t>
            </w:r>
          </w:p>
        </w:tc>
        <w:tc>
          <w:tcPr/>
          <w:p>
            <w:pPr>
              <w:pStyle w:val="Compact"/>
              <w:jc w:val="left"/>
            </w:pPr>
            <w:r>
              <w:t xml:space="preserve">Prediction MAE، Model Confidence Distribution، Inventory Forecast Accuracy</w:t>
            </w:r>
          </w:p>
        </w:tc>
      </w:tr>
      <w:tr>
        <w:tc>
          <w:tcPr/>
          <w:p>
            <w:pPr>
              <w:pStyle w:val="Compact"/>
              <w:jc w:val="left"/>
            </w:pPr>
            <w:r>
              <w:rPr>
                <w:bCs/>
                <w:b/>
              </w:rPr>
              <w:t xml:space="preserve">التعلم والنمو (Learning &amp; Growth)</w:t>
            </w:r>
          </w:p>
        </w:tc>
        <w:tc>
          <w:tcPr/>
          <w:p>
            <w:pPr>
              <w:pStyle w:val="Compact"/>
              <w:jc w:val="left"/>
            </w:pPr>
            <w:r>
              <w:t xml:space="preserve">تحسّن دقة النموذج عبر الزمن (Continuous Learning &amp; MLOps)</w:t>
            </w:r>
          </w:p>
        </w:tc>
      </w:tr>
    </w:tbl>
    <w:p>
      <w:pPr>
        <w:pStyle w:val="BodyText"/>
      </w:pPr>
      <w:r>
        <w:t xml:space="preserve">هذا الربط يحوّل قسم KPIs من</w:t>
      </w:r>
      <w:r>
        <w:t xml:space="preserve"> </w:t>
      </w:r>
      <w:r>
        <w:t xml:space="preserve">“</w:t>
      </w:r>
      <w:r>
        <w:t xml:space="preserve">قائمة أرقام</w:t>
      </w:r>
      <w:r>
        <w:t xml:space="preserve">”</w:t>
      </w:r>
      <w:r>
        <w:t xml:space="preserve"> </w:t>
      </w:r>
      <w:r>
        <w:t xml:space="preserve">إلى</w:t>
      </w:r>
      <w:r>
        <w:t xml:space="preserve"> </w:t>
      </w:r>
      <w:r>
        <w:rPr>
          <w:bCs/>
          <w:b/>
        </w:rPr>
        <w:t xml:space="preserve">أداة إدارية متكاملة</w:t>
      </w:r>
      <w:r>
        <w:t xml:space="preserve">، وهو تحديدًا نوع التفكير الذي يُميّز مشروع BIS متفوقًا عن مشروع تقني بحت.</w:t>
      </w:r>
    </w:p>
    <w:bookmarkEnd w:id="33"/>
    <w:bookmarkStart w:id="34" w:name="Xe737dc1401592e6d9a38b32a83112eb52a2c13a"/>
    <w:p>
      <w:pPr>
        <w:pStyle w:val="Heading3"/>
      </w:pPr>
      <w:r>
        <w:t xml:space="preserve">3.8 حجم السوق المستهدف (TAM / SAM / SOM) — تقدير توضيحي</w:t>
      </w:r>
    </w:p>
    <w:tbl>
      <w:tblPr>
        <w:tblStyle w:val="Table"/>
        <w:bidiVisual/>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المستوى</w:t>
            </w:r>
          </w:p>
        </w:tc>
        <w:tc>
          <w:tcPr/>
          <w:p>
            <w:pPr>
              <w:pStyle w:val="Compact"/>
              <w:jc w:val="left"/>
            </w:pPr>
            <w:r>
              <w:t xml:space="preserve">التعريف</w:t>
            </w:r>
          </w:p>
        </w:tc>
        <w:tc>
          <w:tcPr/>
          <w:p>
            <w:pPr>
              <w:pStyle w:val="Compact"/>
              <w:jc w:val="left"/>
            </w:pPr>
            <w:r>
              <w:t xml:space="preserve">تقدير توضيحي</w:t>
            </w:r>
          </w:p>
        </w:tc>
      </w:tr>
      <w:tr>
        <w:tc>
          <w:tcPr/>
          <w:p>
            <w:pPr>
              <w:pStyle w:val="Compact"/>
              <w:jc w:val="left"/>
            </w:pPr>
            <w:r>
              <w:rPr>
                <w:bCs/>
                <w:b/>
              </w:rPr>
              <w:t xml:space="preserve">TAM</w:t>
            </w:r>
            <w:r>
              <w:t xml:space="preserve"> </w:t>
            </w:r>
            <w:r>
              <w:t xml:space="preserve">(Total Addressable Market)</w:t>
            </w:r>
          </w:p>
        </w:tc>
        <w:tc>
          <w:tcPr/>
          <w:p>
            <w:pPr>
              <w:pStyle w:val="Compact"/>
              <w:jc w:val="left"/>
            </w:pPr>
            <w:r>
              <w:t xml:space="preserve">إجمالي سوق الصيدليات الإلكترونية على المستوى الكلي</w:t>
            </w:r>
          </w:p>
        </w:tc>
        <w:tc>
          <w:tcPr/>
          <w:p>
            <w:pPr>
              <w:pStyle w:val="Compact"/>
              <w:jc w:val="left"/>
            </w:pPr>
            <w:r>
              <w:t xml:space="preserve">يُقدَّر بالاعتماد على تقارير سوق التجارة الإلكترونية الصحية (يُستكمل برقم فعلي عند الحاجة لعرض دقيق)</w:t>
            </w:r>
          </w:p>
        </w:tc>
      </w:tr>
      <w:tr>
        <w:tc>
          <w:tcPr/>
          <w:p>
            <w:pPr>
              <w:pStyle w:val="Compact"/>
              <w:jc w:val="left"/>
            </w:pPr>
            <w:r>
              <w:rPr>
                <w:bCs/>
                <w:b/>
              </w:rPr>
              <w:t xml:space="preserve">SAM</w:t>
            </w:r>
            <w:r>
              <w:t xml:space="preserve"> </w:t>
            </w:r>
            <w:r>
              <w:t xml:space="preserve">(Serviceable Available Market)</w:t>
            </w:r>
          </w:p>
        </w:tc>
        <w:tc>
          <w:tcPr/>
          <w:p>
            <w:pPr>
              <w:pStyle w:val="Compact"/>
              <w:jc w:val="left"/>
            </w:pPr>
            <w:r>
              <w:t xml:space="preserve">الصيدليات التي يمكن للنظام خدمتها فعليًا (تمتلك متجرًا إلكترونيًا أو تخطط لذلك)</w:t>
            </w:r>
          </w:p>
        </w:tc>
        <w:tc>
          <w:tcPr/>
          <w:p>
            <w:pPr>
              <w:pStyle w:val="Compact"/>
              <w:jc w:val="left"/>
            </w:pPr>
            <w:r>
              <w:t xml:space="preserve">شريحة أضيق داخل TAM</w:t>
            </w:r>
          </w:p>
        </w:tc>
      </w:tr>
      <w:tr>
        <w:tc>
          <w:tcPr/>
          <w:p>
            <w:pPr>
              <w:pStyle w:val="Compact"/>
              <w:jc w:val="left"/>
            </w:pPr>
            <w:r>
              <w:rPr>
                <w:bCs/>
                <w:b/>
              </w:rPr>
              <w:t xml:space="preserve">SOM</w:t>
            </w:r>
            <w:r>
              <w:t xml:space="preserve"> </w:t>
            </w:r>
            <w:r>
              <w:t xml:space="preserve">(Serviceable Obtainable Market)</w:t>
            </w:r>
          </w:p>
        </w:tc>
        <w:tc>
          <w:tcPr/>
          <w:p>
            <w:pPr>
              <w:pStyle w:val="Compact"/>
              <w:jc w:val="left"/>
            </w:pPr>
            <w:r>
              <w:t xml:space="preserve">الحصة الواقعية القابلة للوصول إليها في مرحلة MVP (صيدلية أو عدد محدود من الصيدليات كنموذج إثبات)</w:t>
            </w:r>
          </w:p>
        </w:tc>
        <w:tc>
          <w:tcPr/>
          <w:p>
            <w:pPr>
              <w:pStyle w:val="Compact"/>
              <w:jc w:val="left"/>
            </w:pPr>
            <w:r>
              <w:t xml:space="preserve">Tenant واحد كحد أدنى لإثبات المفهوم (Proof of Concept)</w:t>
            </w:r>
          </w:p>
        </w:tc>
      </w:tr>
    </w:tbl>
    <w:p>
      <w:pPr>
        <w:pStyle w:val="BlockText"/>
      </w:pPr>
      <w:r>
        <w:t xml:space="preserve">ملاحظة أكاديمية: لا يُشترط رقم دقيق لكل مستوى في مرحلة PRD، لكن ذكر الإطار نفسه (TAM/SAM/SOM) يوضّح للجنة أن حجم السوق دُرس بمنهجية معروفة وليس بتقدير عشوائي.</w:t>
      </w:r>
    </w:p>
    <w:p>
      <w:r>
        <w:pict>
          <v:rect style="width:0;height:1.5pt" o:hralign="center" o:hrstd="t" o:hr="t"/>
        </w:pict>
      </w:r>
    </w:p>
    <w:bookmarkEnd w:id="34"/>
    <w:bookmarkEnd w:id="35"/>
    <w:bookmarkStart w:id="39" w:name="X201acebe66d7725a1ce1a0c6f5e8df3e3f51ca7"/>
    <w:p>
      <w:pPr>
        <w:pStyle w:val="Heading2"/>
      </w:pPr>
      <w:r>
        <w:t xml:space="preserve">4. الأهداف (Goals) ومعايير النجاح (Success Metrics)</w:t>
      </w:r>
    </w:p>
    <w:bookmarkStart w:id="36" w:name="أهداف-العمل-business-goals"/>
    <w:p>
      <w:pPr>
        <w:pStyle w:val="Heading3"/>
      </w:pPr>
      <w:r>
        <w:t xml:space="preserve">4.1 أهداف العمل (Business Goals)</w:t>
      </w:r>
    </w:p>
    <w:tbl>
      <w:tblPr>
        <w:tblStyle w:val="Table"/>
        <w:bidiVisual/>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الهدف</w:t>
            </w:r>
          </w:p>
        </w:tc>
        <w:tc>
          <w:tcPr/>
          <w:p>
            <w:pPr>
              <w:pStyle w:val="Compact"/>
              <w:jc w:val="left"/>
            </w:pPr>
            <w:r>
              <w:t xml:space="preserve">مؤشر النجاح المرتبط</w:t>
            </w:r>
          </w:p>
        </w:tc>
      </w:tr>
      <w:tr>
        <w:tc>
          <w:tcPr/>
          <w:p>
            <w:pPr>
              <w:pStyle w:val="Compact"/>
              <w:jc w:val="left"/>
            </w:pPr>
            <w:r>
              <w:t xml:space="preserve">زيادة معدل تكرار الشراء</w:t>
            </w:r>
          </w:p>
        </w:tc>
        <w:tc>
          <w:tcPr/>
          <w:p>
            <w:pPr>
              <w:pStyle w:val="Compact"/>
              <w:jc w:val="left"/>
            </w:pPr>
            <w:r>
              <w:t xml:space="preserve">Repeat Purchase Rate</w:t>
            </w:r>
          </w:p>
        </w:tc>
      </w:tr>
      <w:tr>
        <w:tc>
          <w:tcPr/>
          <w:p>
            <w:pPr>
              <w:pStyle w:val="Compact"/>
              <w:jc w:val="left"/>
            </w:pPr>
            <w:r>
              <w:t xml:space="preserve">تقليل فقدان العملاء بسبب النسيان</w:t>
            </w:r>
          </w:p>
        </w:tc>
        <w:tc>
          <w:tcPr/>
          <w:p>
            <w:pPr>
              <w:pStyle w:val="Compact"/>
              <w:jc w:val="left"/>
            </w:pPr>
            <w:r>
              <w:t xml:space="preserve">Reminder → Purchase Conversion Rate ≥ 25%</w:t>
            </w:r>
          </w:p>
        </w:tc>
      </w:tr>
      <w:tr>
        <w:tc>
          <w:tcPr/>
          <w:p>
            <w:pPr>
              <w:pStyle w:val="Compact"/>
              <w:jc w:val="left"/>
            </w:pPr>
            <w:r>
              <w:t xml:space="preserve">زيادة قيمة الطلب الواحد عبر البيع المرتبط</w:t>
            </w:r>
          </w:p>
        </w:tc>
        <w:tc>
          <w:tcPr/>
          <w:p>
            <w:pPr>
              <w:pStyle w:val="Compact"/>
              <w:jc w:val="left"/>
            </w:pPr>
            <w:r>
              <w:t xml:space="preserve">Cross-sell Attach Rate ≥ 8%</w:t>
            </w:r>
          </w:p>
        </w:tc>
      </w:tr>
      <w:tr>
        <w:tc>
          <w:tcPr/>
          <w:p>
            <w:pPr>
              <w:pStyle w:val="Compact"/>
              <w:jc w:val="left"/>
            </w:pPr>
            <w:r>
              <w:t xml:space="preserve">تقليل الوقت اللازم لاكتشاف اتجاهات الطلب</w:t>
            </w:r>
          </w:p>
        </w:tc>
        <w:tc>
          <w:tcPr/>
          <w:p>
            <w:pPr>
              <w:pStyle w:val="Compact"/>
              <w:jc w:val="left"/>
            </w:pPr>
            <w:r>
              <w:t xml:space="preserve">تحديث لحظي عبر Dashboard بدل تقارير شهرية</w:t>
            </w:r>
          </w:p>
        </w:tc>
      </w:tr>
    </w:tbl>
    <w:bookmarkEnd w:id="36"/>
    <w:bookmarkStart w:id="37" w:name="X92276dca6405ab36188a8a0e3029f67a6be441d"/>
    <w:p>
      <w:pPr>
        <w:pStyle w:val="Heading3"/>
      </w:pPr>
      <w:r>
        <w:t xml:space="preserve">4.2 أهداف تقنية/أكاديمية (Technical &amp; Academic Goals)</w:t>
      </w:r>
    </w:p>
    <w:tbl>
      <w:tblPr>
        <w:tblStyle w:val="Table"/>
        <w:bidiVisual/>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الهدف</w:t>
            </w:r>
          </w:p>
        </w:tc>
        <w:tc>
          <w:tcPr/>
          <w:p>
            <w:pPr>
              <w:pStyle w:val="Compact"/>
              <w:jc w:val="left"/>
            </w:pPr>
            <w:r>
              <w:t xml:space="preserve">مؤشر النجاح المرتبط</w:t>
            </w:r>
          </w:p>
        </w:tc>
      </w:tr>
      <w:tr>
        <w:tc>
          <w:tcPr/>
          <w:p>
            <w:pPr>
              <w:pStyle w:val="Compact"/>
              <w:jc w:val="left"/>
            </w:pPr>
            <w:r>
              <w:t xml:space="preserve">بناء نموذج تنبؤي دقيق بموعد إعادة الشراء</w:t>
            </w:r>
          </w:p>
        </w:tc>
        <w:tc>
          <w:tcPr/>
          <w:p>
            <w:pPr>
              <w:pStyle w:val="Compact"/>
              <w:jc w:val="left"/>
            </w:pPr>
            <w:r>
              <w:t xml:space="preserve">MAE (متوسط الخطأ المطلق) أقل من 3 أيام على بيانات الاختبار</w:t>
            </w:r>
          </w:p>
        </w:tc>
      </w:tr>
      <w:tr>
        <w:tc>
          <w:tcPr/>
          <w:p>
            <w:pPr>
              <w:pStyle w:val="Compact"/>
              <w:jc w:val="left"/>
            </w:pPr>
            <w:r>
              <w:t xml:space="preserve">ضمان قرارات مفسَّرة وليست Black Box</w:t>
            </w:r>
          </w:p>
        </w:tc>
        <w:tc>
          <w:tcPr/>
          <w:p>
            <w:pPr>
              <w:pStyle w:val="Compact"/>
              <w:jc w:val="left"/>
            </w:pPr>
            <w:r>
              <w:t xml:space="preserve">تفعيل SHAP لكل تنبؤ يُعرض في الـ Dashboard</w:t>
            </w:r>
          </w:p>
        </w:tc>
      </w:tr>
      <w:tr>
        <w:tc>
          <w:tcPr/>
          <w:p>
            <w:pPr>
              <w:pStyle w:val="Compact"/>
              <w:jc w:val="left"/>
            </w:pPr>
            <w:r>
              <w:t xml:space="preserve">إثبات قابلية التوسع المعماري (Multi-Tenant)</w:t>
            </w:r>
          </w:p>
        </w:tc>
        <w:tc>
          <w:tcPr/>
          <w:p>
            <w:pPr>
              <w:pStyle w:val="Compact"/>
              <w:jc w:val="left"/>
            </w:pPr>
            <w:r>
              <w:t xml:space="preserve">فصل بيانات Tenant واحد على الأقل بشكل موثق وقابل للاختبار</w:t>
            </w:r>
          </w:p>
        </w:tc>
      </w:tr>
      <w:tr>
        <w:tc>
          <w:tcPr/>
          <w:p>
            <w:pPr>
              <w:pStyle w:val="Compact"/>
              <w:jc w:val="left"/>
            </w:pPr>
            <w:r>
              <w:t xml:space="preserve">تحقيق حوكمة آلية-بشرية متوازنة</w:t>
            </w:r>
          </w:p>
        </w:tc>
        <w:tc>
          <w:tcPr/>
          <w:p>
            <w:pPr>
              <w:pStyle w:val="Compact"/>
              <w:jc w:val="left"/>
            </w:pPr>
            <w:r>
              <w:t xml:space="preserve">آلية Threshold-Based (تصعيد تلقائي دون ثقة كافية) تعمل فعليًا</w:t>
            </w:r>
          </w:p>
        </w:tc>
      </w:tr>
    </w:tbl>
    <w:bookmarkEnd w:id="37"/>
    <w:bookmarkStart w:id="38" w:name="ما-هو-خارج-نطاق-النجاح-في-هذه-النسخة"/>
    <w:p>
      <w:pPr>
        <w:pStyle w:val="Heading3"/>
      </w:pPr>
      <w:r>
        <w:t xml:space="preserve">4.3 ما هو خارج نطاق</w:t>
      </w:r>
      <w:r>
        <w:t xml:space="preserve"> </w:t>
      </w:r>
      <w:r>
        <w:t xml:space="preserve">“</w:t>
      </w:r>
      <w:r>
        <w:t xml:space="preserve">النجاح</w:t>
      </w:r>
      <w:r>
        <w:t xml:space="preserve">”</w:t>
      </w:r>
      <w:r>
        <w:t xml:space="preserve"> </w:t>
      </w:r>
      <w:r>
        <w:t xml:space="preserve">في هذه النسخة</w:t>
      </w:r>
    </w:p>
    <w:p>
      <w:pPr>
        <w:pStyle w:val="FirstParagraph"/>
      </w:pPr>
      <w:r>
        <w:t xml:space="preserve">دقة تنبؤ 100%، أو دعم عدد غير محدود من الـ Tenants، أو تكامل فعلي مع مزودي دفع حقيقيين — كل هذه ليست معايير نجاح لمشروع التخرج (انظر بند 6.2 لحدود النطاق).</w:t>
      </w:r>
    </w:p>
    <w:p>
      <w:r>
        <w:pict>
          <v:rect style="width:0;height:1.5pt" o:hralign="center" o:hrstd="t" o:hr="t"/>
        </w:pict>
      </w:r>
    </w:p>
    <w:bookmarkEnd w:id="38"/>
    <w:bookmarkEnd w:id="39"/>
    <w:bookmarkStart w:id="40" w:name="المستخدمون-والشخصيات-users-personas"/>
    <w:p>
      <w:pPr>
        <w:pStyle w:val="Heading2"/>
      </w:pPr>
      <w:r>
        <w:t xml:space="preserve">5. المستخدمون والشخصيات (Users &amp; Personas)</w:t>
      </w:r>
    </w:p>
    <w:p>
      <w:pPr>
        <w:pStyle w:val="FirstParagraph"/>
      </w:pPr>
      <w:r>
        <w:t xml:space="preserve">مبنية على Stakeholders وUser Roles الموثقة في مستند AI-COS الأصلي (Phase 1)، مع تركيز على الأدوار الفعّالة في هذا التطبيق تحديدًا:</w:t>
      </w:r>
    </w:p>
    <w:tbl>
      <w:tblPr>
        <w:tblStyle w:val="Table"/>
        <w:bidiVisual/>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الشخصية</w:t>
            </w:r>
          </w:p>
        </w:tc>
        <w:tc>
          <w:tcPr/>
          <w:p>
            <w:pPr>
              <w:pStyle w:val="Compact"/>
              <w:jc w:val="left"/>
            </w:pPr>
            <w:r>
              <w:t xml:space="preserve">الاحتياج الأساسي</w:t>
            </w:r>
          </w:p>
        </w:tc>
        <w:tc>
          <w:tcPr/>
          <w:p>
            <w:pPr>
              <w:pStyle w:val="Compact"/>
              <w:jc w:val="left"/>
            </w:pPr>
            <w:r>
              <w:t xml:space="preserve">نقطة التفاعل الرئيسية</w:t>
            </w:r>
          </w:p>
        </w:tc>
      </w:tr>
      <w:tr>
        <w:tc>
          <w:tcPr/>
          <w:p>
            <w:pPr>
              <w:pStyle w:val="Compact"/>
              <w:jc w:val="left"/>
            </w:pPr>
            <w:r>
              <w:rPr>
                <w:bCs/>
                <w:b/>
              </w:rPr>
              <w:t xml:space="preserve">Store Owner (صاحب الصيدلية)</w:t>
            </w:r>
          </w:p>
        </w:tc>
        <w:tc>
          <w:tcPr/>
          <w:p>
            <w:pPr>
              <w:pStyle w:val="Compact"/>
              <w:jc w:val="left"/>
            </w:pPr>
            <w:r>
              <w:t xml:space="preserve">رؤية شاملة للأداء دون الحاجة لخبرة تقنية</w:t>
            </w:r>
          </w:p>
        </w:tc>
        <w:tc>
          <w:tcPr/>
          <w:p>
            <w:pPr>
              <w:pStyle w:val="Compact"/>
              <w:jc w:val="left"/>
            </w:pPr>
            <w:r>
              <w:t xml:space="preserve">Dashboard + ملخص Executive Copilot عبر واتساب</w:t>
            </w:r>
          </w:p>
        </w:tc>
      </w:tr>
      <w:tr>
        <w:tc>
          <w:tcPr/>
          <w:p>
            <w:pPr>
              <w:pStyle w:val="Compact"/>
              <w:jc w:val="left"/>
            </w:pPr>
            <w:r>
              <w:rPr>
                <w:bCs/>
                <w:b/>
              </w:rPr>
              <w:t xml:space="preserve">Registered Customer (عميل مسجّل)</w:t>
            </w:r>
          </w:p>
        </w:tc>
        <w:tc>
          <w:tcPr/>
          <w:p>
            <w:pPr>
              <w:pStyle w:val="Compact"/>
              <w:jc w:val="left"/>
            </w:pPr>
            <w:r>
              <w:t xml:space="preserve">شراء سلس + تذكير بموعد الدواء + إجابات موثوقة</w:t>
            </w:r>
          </w:p>
        </w:tc>
        <w:tc>
          <w:tcPr/>
          <w:p>
            <w:pPr>
              <w:pStyle w:val="Compact"/>
              <w:jc w:val="left"/>
            </w:pPr>
            <w:r>
              <w:t xml:space="preserve">واجهة المتجر + إشعارات واتساب/إيميل + Chatbot</w:t>
            </w:r>
          </w:p>
        </w:tc>
      </w:tr>
      <w:tr>
        <w:tc>
          <w:tcPr/>
          <w:p>
            <w:pPr>
              <w:pStyle w:val="Compact"/>
              <w:jc w:val="left"/>
            </w:pPr>
            <w:r>
              <w:rPr>
                <w:bCs/>
                <w:b/>
              </w:rPr>
              <w:t xml:space="preserve">Guest / Anonymous Visitor</w:t>
            </w:r>
          </w:p>
        </w:tc>
        <w:tc>
          <w:tcPr/>
          <w:p>
            <w:pPr>
              <w:pStyle w:val="Compact"/>
              <w:jc w:val="left"/>
            </w:pPr>
            <w:r>
              <w:t xml:space="preserve">تصفح بأقل احتكاك</w:t>
            </w:r>
          </w:p>
        </w:tc>
        <w:tc>
          <w:tcPr/>
          <w:p>
            <w:pPr>
              <w:pStyle w:val="Compact"/>
              <w:jc w:val="left"/>
            </w:pPr>
            <w:r>
              <w:t xml:space="preserve">واجهة المتجر (بدون تسجيل إلزامي)</w:t>
            </w:r>
          </w:p>
        </w:tc>
      </w:tr>
      <w:tr>
        <w:tc>
          <w:tcPr/>
          <w:p>
            <w:pPr>
              <w:pStyle w:val="Compact"/>
              <w:jc w:val="left"/>
            </w:pPr>
            <w:r>
              <w:rPr>
                <w:bCs/>
                <w:b/>
              </w:rPr>
              <w:t xml:space="preserve">Support/Marketing Staff</w:t>
            </w:r>
          </w:p>
        </w:tc>
        <w:tc>
          <w:tcPr/>
          <w:p>
            <w:pPr>
              <w:pStyle w:val="Compact"/>
              <w:jc w:val="left"/>
            </w:pPr>
            <w:r>
              <w:t xml:space="preserve">مراجعة الحالات ذات الثقة المتوسطة قبل إرسالها</w:t>
            </w:r>
          </w:p>
        </w:tc>
        <w:tc>
          <w:tcPr/>
          <w:p>
            <w:pPr>
              <w:pStyle w:val="Compact"/>
              <w:jc w:val="left"/>
            </w:pPr>
            <w:r>
              <w:t xml:space="preserve">لوحة مراجعة داخلية (جزء من Workflow الحوكمة)</w:t>
            </w:r>
          </w:p>
        </w:tc>
      </w:tr>
      <w:tr>
        <w:tc>
          <w:tcPr/>
          <w:p>
            <w:pPr>
              <w:pStyle w:val="Compact"/>
              <w:jc w:val="left"/>
            </w:pPr>
            <w:r>
              <w:rPr>
                <w:bCs/>
                <w:b/>
              </w:rPr>
              <w:t xml:space="preserve">AI Decision Engine (فاعل آلي)</w:t>
            </w:r>
          </w:p>
        </w:tc>
        <w:tc>
          <w:tcPr/>
          <w:p>
            <w:pPr>
              <w:pStyle w:val="Compact"/>
              <w:jc w:val="left"/>
            </w:pPr>
            <w:r>
              <w:t xml:space="preserve">اتخاذ قرار مبني على بيانات مع درجة ثقة واضحة</w:t>
            </w:r>
          </w:p>
        </w:tc>
        <w:tc>
          <w:tcPr/>
          <w:p>
            <w:pPr>
              <w:pStyle w:val="Compact"/>
              <w:jc w:val="left"/>
            </w:pPr>
            <w:r>
              <w:t xml:space="preserve">طبقة داخلية غير مرئية للمستخدم النهائي</w:t>
            </w:r>
          </w:p>
        </w:tc>
      </w:tr>
    </w:tbl>
    <w:p>
      <w:r>
        <w:pict>
          <v:rect style="width:0;height:1.5pt" o:hralign="center" o:hrstd="t" o:hr="t"/>
        </w:pict>
      </w:r>
    </w:p>
    <w:bookmarkEnd w:id="40"/>
    <w:bookmarkStart w:id="43" w:name="النطاق-scope"/>
    <w:p>
      <w:pPr>
        <w:pStyle w:val="Heading2"/>
      </w:pPr>
      <w:r>
        <w:t xml:space="preserve">6. النطاق (Scope)</w:t>
      </w:r>
    </w:p>
    <w:bookmarkStart w:id="41" w:name="داخل-النطاق-in-scope-mvp"/>
    <w:p>
      <w:pPr>
        <w:pStyle w:val="Heading3"/>
      </w:pPr>
      <w:r>
        <w:t xml:space="preserve">6.1 داخل النطاق (In-Scope — MVP)</w:t>
      </w:r>
    </w:p>
    <w:p>
      <w:pPr>
        <w:numPr>
          <w:ilvl w:val="0"/>
          <w:numId w:val="1001"/>
        </w:numPr>
        <w:pStyle w:val="Compact"/>
      </w:pPr>
      <w:r>
        <w:t xml:space="preserve">تسجيل دخول عميل (تسجيل عادي + Google OAuth).</w:t>
      </w:r>
    </w:p>
    <w:p>
      <w:pPr>
        <w:numPr>
          <w:ilvl w:val="0"/>
          <w:numId w:val="1001"/>
        </w:numPr>
        <w:pStyle w:val="Compact"/>
      </w:pPr>
      <w:r>
        <w:t xml:space="preserve">تتبع الجلسات والسلوك (Session/Cookie + Event Logging).</w:t>
      </w:r>
    </w:p>
    <w:p>
      <w:pPr>
        <w:numPr>
          <w:ilvl w:val="0"/>
          <w:numId w:val="1001"/>
        </w:numPr>
        <w:pStyle w:val="Compact"/>
      </w:pPr>
      <w:r>
        <w:t xml:space="preserve">كتالوج أدوية مبسّط + عملية شراء أساسية.</w:t>
      </w:r>
    </w:p>
    <w:p>
      <w:pPr>
        <w:numPr>
          <w:ilvl w:val="0"/>
          <w:numId w:val="1001"/>
        </w:numPr>
        <w:pStyle w:val="Compact"/>
      </w:pPr>
      <w:r>
        <w:t xml:space="preserve">حساب دورة الشراء (</w:t>
      </w:r>
      <w:r>
        <w:rPr>
          <w:rStyle w:val="VerbatimChar"/>
        </w:rPr>
        <w:t xml:space="preserve">avg_cycle_days</w:t>
      </w:r>
      <w:r>
        <w:t xml:space="preserve">) وتوليد تذكير تلقائي.</w:t>
      </w:r>
    </w:p>
    <w:p>
      <w:pPr>
        <w:numPr>
          <w:ilvl w:val="0"/>
          <w:numId w:val="1001"/>
        </w:numPr>
        <w:pStyle w:val="Compact"/>
      </w:pPr>
      <w:r>
        <w:t xml:space="preserve">فحص تعارض دوائي بسيط (Lookup Table).</w:t>
      </w:r>
    </w:p>
    <w:p>
      <w:pPr>
        <w:numPr>
          <w:ilvl w:val="0"/>
          <w:numId w:val="1001"/>
        </w:numPr>
        <w:pStyle w:val="Compact"/>
      </w:pPr>
      <w:r>
        <w:t xml:space="preserve">اقتراح بيع مرتبط (Cross-sell) بسيط (Lookup Table، وليس Market Basket كامل في MVP).</w:t>
      </w:r>
    </w:p>
    <w:p>
      <w:pPr>
        <w:numPr>
          <w:ilvl w:val="0"/>
          <w:numId w:val="1001"/>
        </w:numPr>
        <w:pStyle w:val="Compact"/>
      </w:pPr>
      <w:r>
        <w:t xml:space="preserve">نموذج تنبؤي Baseline (Logistic/Linear Regression) + نسخة متقدمة واحدة (XGBoost أو NN) للمقارنة.</w:t>
      </w:r>
    </w:p>
    <w:p>
      <w:pPr>
        <w:numPr>
          <w:ilvl w:val="0"/>
          <w:numId w:val="1001"/>
        </w:numPr>
        <w:pStyle w:val="Compact"/>
      </w:pPr>
      <w:r>
        <w:t xml:space="preserve">محرك قرار بحوكمة الثقة (Threshold-Based).</w:t>
      </w:r>
    </w:p>
    <w:p>
      <w:pPr>
        <w:numPr>
          <w:ilvl w:val="0"/>
          <w:numId w:val="1001"/>
        </w:numPr>
        <w:pStyle w:val="Compact"/>
      </w:pPr>
      <w:r>
        <w:t xml:space="preserve">أتمتة الإرسال عبر n8n (واتساب/إيميل).</w:t>
      </w:r>
    </w:p>
    <w:p>
      <w:pPr>
        <w:numPr>
          <w:ilvl w:val="0"/>
          <w:numId w:val="1001"/>
        </w:numPr>
        <w:pStyle w:val="Compact"/>
      </w:pPr>
      <w:r>
        <w:t xml:space="preserve">Dashboard تحليلي بأهم KPIs (بند 11 من مستند الحالة التطبيقية).</w:t>
      </w:r>
    </w:p>
    <w:p>
      <w:pPr>
        <w:numPr>
          <w:ilvl w:val="0"/>
          <w:numId w:val="1001"/>
        </w:numPr>
        <w:pStyle w:val="Compact"/>
      </w:pPr>
      <w:r>
        <w:t xml:space="preserve">بوت RAG مبسّط للإجابة عن استفسارات الأدوية مع تنويه طبي إلزامي.</w:t>
      </w:r>
    </w:p>
    <w:bookmarkEnd w:id="41"/>
    <w:bookmarkStart w:id="42" w:name="خارج-النطاق-out-of-scope-لهذه-النسخة"/>
    <w:p>
      <w:pPr>
        <w:pStyle w:val="Heading3"/>
      </w:pPr>
      <w:r>
        <w:t xml:space="preserve">6.2 خارج النطاق (Out-of-Scope لهذه النسخة)</w:t>
      </w:r>
    </w:p>
    <w:p>
      <w:pPr>
        <w:numPr>
          <w:ilvl w:val="0"/>
          <w:numId w:val="1002"/>
        </w:numPr>
        <w:pStyle w:val="Compact"/>
      </w:pPr>
      <w:r>
        <w:t xml:space="preserve">دعم أكثر من Tenant واحد فعليًا (يُكتفى بإثبات أن التصميم يدعم التعدد نظريًا).</w:t>
      </w:r>
    </w:p>
    <w:p>
      <w:pPr>
        <w:numPr>
          <w:ilvl w:val="0"/>
          <w:numId w:val="1002"/>
        </w:numPr>
        <w:pStyle w:val="Compact"/>
      </w:pPr>
      <w:r>
        <w:t xml:space="preserve">تكامل حقيقي مع بوابات دفع أو شركات شحن فعلية (يُكتفى بمحاكاة/Mock).</w:t>
      </w:r>
    </w:p>
    <w:p>
      <w:pPr>
        <w:numPr>
          <w:ilvl w:val="0"/>
          <w:numId w:val="1002"/>
        </w:numPr>
        <w:pStyle w:val="Compact"/>
      </w:pPr>
      <w:r>
        <w:t xml:space="preserve">Market Basket Analysis الكامل بالتعلم الآلي (يُكتفى بجدول Lookup يدوي في MVP، مع توثيق أنه قابل للتطوير لاحقًا).</w:t>
      </w:r>
    </w:p>
    <w:p>
      <w:pPr>
        <w:numPr>
          <w:ilvl w:val="0"/>
          <w:numId w:val="1002"/>
        </w:numPr>
        <w:pStyle w:val="Compact"/>
      </w:pPr>
      <w:r>
        <w:t xml:space="preserve">تطبيق موبايل مستقل (الواجهة ويب فقط).</w:t>
      </w:r>
    </w:p>
    <w:p>
      <w:pPr>
        <w:numPr>
          <w:ilvl w:val="0"/>
          <w:numId w:val="1002"/>
        </w:numPr>
        <w:pStyle w:val="Compact"/>
      </w:pPr>
      <w:r>
        <w:t xml:space="preserve">دعم لغات غير العربية والإنجليزية.</w:t>
      </w:r>
    </w:p>
    <w:p>
      <w:r>
        <w:pict>
          <v:rect style="width:0;height:1.5pt" o:hralign="center" o:hrstd="t" o:hr="t"/>
        </w:pict>
      </w:r>
    </w:p>
    <w:bookmarkEnd w:id="42"/>
    <w:bookmarkEnd w:id="43"/>
    <w:bookmarkStart w:id="48" w:name="X57373cc8ca7668f20cc76eb8bb45b2864b415db"/>
    <w:p>
      <w:pPr>
        <w:pStyle w:val="Heading2"/>
      </w:pPr>
      <w:r>
        <w:t xml:space="preserve">7. المتطلبات الوظيفية (Functional Requirements) — بترتيب أولوية MoSCoW</w:t>
      </w:r>
    </w:p>
    <w:bookmarkStart w:id="44" w:name="must-have-لا-غنى-عنها-لإثبات-الفكرة"/>
    <w:p>
      <w:pPr>
        <w:pStyle w:val="Heading3"/>
      </w:pPr>
      <w:r>
        <w:t xml:space="preserve">Must Have (لا غنى عنها لإثبات الفكرة)</w:t>
      </w:r>
    </w:p>
    <w:tbl>
      <w:tblPr>
        <w:tblStyle w:val="Table"/>
        <w:bidiVisual/>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الرمز</w:t>
            </w:r>
          </w:p>
        </w:tc>
        <w:tc>
          <w:tcPr/>
          <w:p>
            <w:pPr>
              <w:pStyle w:val="Compact"/>
              <w:jc w:val="left"/>
            </w:pPr>
            <w:r>
              <w:t xml:space="preserve">المتطلب</w:t>
            </w:r>
          </w:p>
        </w:tc>
      </w:tr>
      <w:tr>
        <w:tc>
          <w:tcPr/>
          <w:p>
            <w:pPr>
              <w:pStyle w:val="Compact"/>
              <w:jc w:val="left"/>
            </w:pPr>
            <w:r>
              <w:t xml:space="preserve">FR-01</w:t>
            </w:r>
          </w:p>
        </w:tc>
        <w:tc>
          <w:tcPr/>
          <w:p>
            <w:pPr>
              <w:pStyle w:val="Compact"/>
              <w:jc w:val="left"/>
            </w:pPr>
            <w:r>
              <w:t xml:space="preserve">يمكن للعميل التسجيل عبر البريد/كلمة مرور أو حساب Google</w:t>
            </w:r>
          </w:p>
        </w:tc>
      </w:tr>
      <w:tr>
        <w:tc>
          <w:tcPr/>
          <w:p>
            <w:pPr>
              <w:pStyle w:val="Compact"/>
              <w:jc w:val="left"/>
            </w:pPr>
            <w:r>
              <w:t xml:space="preserve">FR-02</w:t>
            </w:r>
          </w:p>
        </w:tc>
        <w:tc>
          <w:tcPr/>
          <w:p>
            <w:pPr>
              <w:pStyle w:val="Compact"/>
              <w:jc w:val="left"/>
            </w:pPr>
            <w:r>
              <w:t xml:space="preserve">يُنشأ Session لكل زائر (مسجل أو Guest) ويُسجَّل كل حدث سلوكي مرتبط به</w:t>
            </w:r>
          </w:p>
        </w:tc>
      </w:tr>
      <w:tr>
        <w:tc>
          <w:tcPr/>
          <w:p>
            <w:pPr>
              <w:pStyle w:val="Compact"/>
              <w:jc w:val="left"/>
            </w:pPr>
            <w:r>
              <w:t xml:space="preserve">FR-03</w:t>
            </w:r>
          </w:p>
        </w:tc>
        <w:tc>
          <w:tcPr/>
          <w:p>
            <w:pPr>
              <w:pStyle w:val="Compact"/>
              <w:jc w:val="left"/>
            </w:pPr>
            <w:r>
              <w:t xml:space="preserve">يمكن للعميل تصفح وشراء الأدوية المتاحة في الكتالوج</w:t>
            </w:r>
          </w:p>
        </w:tc>
      </w:tr>
      <w:tr>
        <w:tc>
          <w:tcPr/>
          <w:p>
            <w:pPr>
              <w:pStyle w:val="Compact"/>
              <w:jc w:val="left"/>
            </w:pPr>
            <w:r>
              <w:t xml:space="preserve">FR-04</w:t>
            </w:r>
          </w:p>
        </w:tc>
        <w:tc>
          <w:tcPr/>
          <w:p>
            <w:pPr>
              <w:pStyle w:val="Compact"/>
              <w:jc w:val="left"/>
            </w:pPr>
            <w:r>
              <w:t xml:space="preserve">يحسب النظام</w:t>
            </w:r>
            <w:r>
              <w:t xml:space="preserve"> </w:t>
            </w:r>
            <w:r>
              <w:rPr>
                <w:rStyle w:val="VerbatimChar"/>
              </w:rPr>
              <w:t xml:space="preserve">avg_cycle_days</w:t>
            </w:r>
            <w:r>
              <w:t xml:space="preserve"> </w:t>
            </w:r>
            <w:r>
              <w:t xml:space="preserve">لكل عميل/دواء ويُصدر تذكيرًا عند اقتراب الموعد</w:t>
            </w:r>
          </w:p>
        </w:tc>
      </w:tr>
      <w:tr>
        <w:tc>
          <w:tcPr/>
          <w:p>
            <w:pPr>
              <w:pStyle w:val="Compact"/>
              <w:jc w:val="left"/>
            </w:pPr>
            <w:r>
              <w:t xml:space="preserve">FR-05</w:t>
            </w:r>
          </w:p>
        </w:tc>
        <w:tc>
          <w:tcPr/>
          <w:p>
            <w:pPr>
              <w:pStyle w:val="Compact"/>
              <w:jc w:val="left"/>
            </w:pPr>
            <w:r>
              <w:t xml:space="preserve">يُجرى فحص تعارض دوائي قبل إتمام أي طلب متعدد الأدوية</w:t>
            </w:r>
          </w:p>
        </w:tc>
      </w:tr>
      <w:tr>
        <w:tc>
          <w:tcPr/>
          <w:p>
            <w:pPr>
              <w:pStyle w:val="Compact"/>
              <w:jc w:val="left"/>
            </w:pPr>
            <w:r>
              <w:t xml:space="preserve">FR-06</w:t>
            </w:r>
          </w:p>
        </w:tc>
        <w:tc>
          <w:tcPr/>
          <w:p>
            <w:pPr>
              <w:pStyle w:val="Compact"/>
              <w:jc w:val="left"/>
            </w:pPr>
            <w:r>
              <w:t xml:space="preserve">يُصدر النموذج التنبؤي درجة ثقة (Confidence Score) مصاحبة لكل تنبؤ</w:t>
            </w:r>
          </w:p>
        </w:tc>
      </w:tr>
      <w:tr>
        <w:tc>
          <w:tcPr/>
          <w:p>
            <w:pPr>
              <w:pStyle w:val="Compact"/>
              <w:jc w:val="left"/>
            </w:pPr>
            <w:r>
              <w:t xml:space="preserve">FR-07</w:t>
            </w:r>
          </w:p>
        </w:tc>
        <w:tc>
          <w:tcPr/>
          <w:p>
            <w:pPr>
              <w:pStyle w:val="Compact"/>
              <w:jc w:val="left"/>
            </w:pPr>
            <w:r>
              <w:t xml:space="preserve">تُصعَّد الحالات ذات الثقة المتوسطة لمراجعة بشرية قبل الإرسال</w:t>
            </w:r>
          </w:p>
        </w:tc>
      </w:tr>
      <w:tr>
        <w:tc>
          <w:tcPr/>
          <w:p>
            <w:pPr>
              <w:pStyle w:val="Compact"/>
              <w:jc w:val="left"/>
            </w:pPr>
            <w:r>
              <w:t xml:space="preserve">FR-08</w:t>
            </w:r>
          </w:p>
        </w:tc>
        <w:tc>
          <w:tcPr/>
          <w:p>
            <w:pPr>
              <w:pStyle w:val="Compact"/>
              <w:jc w:val="left"/>
            </w:pPr>
            <w:r>
              <w:t xml:space="preserve">تُرسَل رسائل التذكير تلقائيًا عبر واتساب/إيميل باستخدام n8n</w:t>
            </w:r>
          </w:p>
        </w:tc>
      </w:tr>
      <w:tr>
        <w:tc>
          <w:tcPr/>
          <w:p>
            <w:pPr>
              <w:pStyle w:val="Compact"/>
              <w:jc w:val="left"/>
            </w:pPr>
            <w:r>
              <w:t xml:space="preserve">FR-09</w:t>
            </w:r>
          </w:p>
        </w:tc>
        <w:tc>
          <w:tcPr/>
          <w:p>
            <w:pPr>
              <w:pStyle w:val="Compact"/>
              <w:jc w:val="left"/>
            </w:pPr>
            <w:r>
              <w:t xml:space="preserve">يعرض Dashboard مؤشرات الأداء الأساسية (بند 11 من مستند الحالة التطبيقية) بشكل لحظي</w:t>
            </w:r>
          </w:p>
        </w:tc>
      </w:tr>
      <w:tr>
        <w:tc>
          <w:tcPr/>
          <w:p>
            <w:pPr>
              <w:pStyle w:val="Compact"/>
              <w:jc w:val="left"/>
            </w:pPr>
            <w:r>
              <w:t xml:space="preserve">FR-10</w:t>
            </w:r>
          </w:p>
        </w:tc>
        <w:tc>
          <w:tcPr/>
          <w:p>
            <w:pPr>
              <w:pStyle w:val="Compact"/>
              <w:jc w:val="left"/>
            </w:pPr>
            <w:r>
              <w:t xml:space="preserve">يجيب البوت على استفسارات العملاء بالاعتماد على قاعدة معرفة داخلية (RAG) مع تنويه طبي إلزامي</w:t>
            </w:r>
          </w:p>
        </w:tc>
      </w:tr>
    </w:tbl>
    <w:bookmarkEnd w:id="44"/>
    <w:bookmarkStart w:id="45" w:name="X038cf04338088c8acb009bfa468231028b56605"/>
    <w:p>
      <w:pPr>
        <w:pStyle w:val="Heading3"/>
      </w:pPr>
      <w:r>
        <w:t xml:space="preserve">Should Have (تضيف قيمة واضحة، لكن ليست حرجة لإثبات الفكرة)</w:t>
      </w:r>
    </w:p>
    <w:tbl>
      <w:tblPr>
        <w:tblStyle w:val="Table"/>
        <w:bidiVisual/>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الرمز</w:t>
            </w:r>
          </w:p>
        </w:tc>
        <w:tc>
          <w:tcPr/>
          <w:p>
            <w:pPr>
              <w:pStyle w:val="Compact"/>
              <w:jc w:val="left"/>
            </w:pPr>
            <w:r>
              <w:t xml:space="preserve">المتطلب</w:t>
            </w:r>
          </w:p>
        </w:tc>
      </w:tr>
      <w:tr>
        <w:tc>
          <w:tcPr/>
          <w:p>
            <w:pPr>
              <w:pStyle w:val="Compact"/>
              <w:jc w:val="left"/>
            </w:pPr>
            <w:r>
              <w:t xml:space="preserve">FR-11</w:t>
            </w:r>
          </w:p>
        </w:tc>
        <w:tc>
          <w:tcPr/>
          <w:p>
            <w:pPr>
              <w:pStyle w:val="Compact"/>
              <w:jc w:val="left"/>
            </w:pPr>
            <w:r>
              <w:t xml:space="preserve">اقتراح منتجات مكمّلة (Cross-sell) عند التذكير أو بعد الشراء</w:t>
            </w:r>
          </w:p>
        </w:tc>
      </w:tr>
      <w:tr>
        <w:tc>
          <w:tcPr/>
          <w:p>
            <w:pPr>
              <w:pStyle w:val="Compact"/>
              <w:jc w:val="left"/>
            </w:pPr>
            <w:r>
              <w:t xml:space="preserve">FR-12</w:t>
            </w:r>
          </w:p>
        </w:tc>
        <w:tc>
          <w:tcPr/>
          <w:p>
            <w:pPr>
              <w:pStyle w:val="Compact"/>
              <w:jc w:val="left"/>
            </w:pPr>
            <w:r>
              <w:t xml:space="preserve">عرض تفسير SHAP لكل تنبؤ داخل الـ Dashboard</w:t>
            </w:r>
          </w:p>
        </w:tc>
      </w:tr>
      <w:tr>
        <w:tc>
          <w:tcPr/>
          <w:p>
            <w:pPr>
              <w:pStyle w:val="Compact"/>
              <w:jc w:val="left"/>
            </w:pPr>
            <w:r>
              <w:t xml:space="preserve">FR-13</w:t>
            </w:r>
          </w:p>
        </w:tc>
        <w:tc>
          <w:tcPr/>
          <w:p>
            <w:pPr>
              <w:pStyle w:val="Compact"/>
              <w:jc w:val="left"/>
            </w:pPr>
            <w:r>
              <w:t xml:space="preserve">اختبار A/B بسيط بين نمطي رسالة (بخصم / بدون خصم)</w:t>
            </w:r>
          </w:p>
        </w:tc>
      </w:tr>
      <w:tr>
        <w:tc>
          <w:tcPr/>
          <w:p>
            <w:pPr>
              <w:pStyle w:val="Compact"/>
              <w:jc w:val="left"/>
            </w:pPr>
            <w:r>
              <w:t xml:space="preserve">FR-14</w:t>
            </w:r>
          </w:p>
        </w:tc>
        <w:tc>
          <w:tcPr/>
          <w:p>
            <w:pPr>
              <w:pStyle w:val="Compact"/>
              <w:jc w:val="left"/>
            </w:pPr>
            <w:r>
              <w:t xml:space="preserve">Fallback بديل للعملاء الجدد (Cold-Start) بناءً على فئة الدواء</w:t>
            </w:r>
          </w:p>
        </w:tc>
      </w:tr>
    </w:tbl>
    <w:bookmarkEnd w:id="45"/>
    <w:bookmarkStart w:id="46" w:name="could-have-تحسينات-إضافية-إذا-سمح-الوقت"/>
    <w:p>
      <w:pPr>
        <w:pStyle w:val="Heading3"/>
      </w:pPr>
      <w:r>
        <w:t xml:space="preserve">Could Have (تحسينات إضافية إذا سمح الوقت)</w:t>
      </w:r>
    </w:p>
    <w:tbl>
      <w:tblPr>
        <w:tblStyle w:val="Table"/>
        <w:bidiVisual/>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الرمز</w:t>
            </w:r>
          </w:p>
        </w:tc>
        <w:tc>
          <w:tcPr/>
          <w:p>
            <w:pPr>
              <w:pStyle w:val="Compact"/>
              <w:jc w:val="left"/>
            </w:pPr>
            <w:r>
              <w:t xml:space="preserve">المتطلب</w:t>
            </w:r>
          </w:p>
        </w:tc>
      </w:tr>
      <w:tr>
        <w:tc>
          <w:tcPr/>
          <w:p>
            <w:pPr>
              <w:pStyle w:val="Compact"/>
              <w:jc w:val="left"/>
            </w:pPr>
            <w:r>
              <w:t xml:space="preserve">FR-15</w:t>
            </w:r>
          </w:p>
        </w:tc>
        <w:tc>
          <w:tcPr/>
          <w:p>
            <w:pPr>
              <w:pStyle w:val="Compact"/>
              <w:jc w:val="left"/>
            </w:pPr>
            <w:r>
              <w:t xml:space="preserve">ملخص أسبوعي تلقائي لصاحب المتجر عبر واتساب (Executive Copilot)</w:t>
            </w:r>
          </w:p>
        </w:tc>
      </w:tr>
      <w:tr>
        <w:tc>
          <w:tcPr/>
          <w:p>
            <w:pPr>
              <w:pStyle w:val="Compact"/>
              <w:jc w:val="left"/>
            </w:pPr>
            <w:r>
              <w:t xml:space="preserve">FR-16</w:t>
            </w:r>
          </w:p>
        </w:tc>
        <w:tc>
          <w:tcPr/>
          <w:p>
            <w:pPr>
              <w:pStyle w:val="Compact"/>
              <w:jc w:val="left"/>
            </w:pPr>
            <w:r>
              <w:t xml:space="preserve">تحويل جدول Cross-sell اليدوي إلى Market Basket مبني على البيانات</w:t>
            </w:r>
          </w:p>
        </w:tc>
      </w:tr>
    </w:tbl>
    <w:bookmarkEnd w:id="46"/>
    <w:bookmarkStart w:id="47" w:name="wont-have-هذه-النسخة"/>
    <w:p>
      <w:pPr>
        <w:pStyle w:val="Heading3"/>
      </w:pPr>
      <w:r>
        <w:t xml:space="preserve">Won’t Have (هذه النسخة)</w:t>
      </w:r>
    </w:p>
    <w:p>
      <w:pPr>
        <w:numPr>
          <w:ilvl w:val="0"/>
          <w:numId w:val="1003"/>
        </w:numPr>
        <w:pStyle w:val="Compact"/>
      </w:pPr>
      <w:r>
        <w:t xml:space="preserve">تعدد Tenants فعلي، تكامل دفع حقيقي، تطبيق موبايل (انظر بند 6.2).</w:t>
      </w:r>
    </w:p>
    <w:p>
      <w:r>
        <w:pict>
          <v:rect style="width:0;height:1.5pt" o:hralign="center" o:hrstd="t" o:hr="t"/>
        </w:pict>
      </w:r>
    </w:p>
    <w:bookmarkEnd w:id="47"/>
    <w:bookmarkEnd w:id="48"/>
    <w:bookmarkStart w:id="49" w:name="X616ac1267ac290764551b04592022fc192a94fa"/>
    <w:p>
      <w:pPr>
        <w:pStyle w:val="Heading2"/>
      </w:pPr>
      <w:r>
        <w:t xml:space="preserve">8. المتطلبات غير الوظيفية (Non-Functional Requirements)</w:t>
      </w:r>
    </w:p>
    <w:tbl>
      <w:tblPr>
        <w:tblStyle w:val="Table"/>
        <w:bidiVisual/>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الفئة</w:t>
            </w:r>
          </w:p>
        </w:tc>
        <w:tc>
          <w:tcPr/>
          <w:p>
            <w:pPr>
              <w:pStyle w:val="Compact"/>
              <w:jc w:val="left"/>
            </w:pPr>
            <w:r>
              <w:t xml:space="preserve">المتطلب</w:t>
            </w:r>
          </w:p>
        </w:tc>
      </w:tr>
      <w:tr>
        <w:tc>
          <w:tcPr/>
          <w:p>
            <w:pPr>
              <w:pStyle w:val="Compact"/>
              <w:jc w:val="left"/>
            </w:pPr>
            <w:r>
              <w:rPr>
                <w:bCs/>
                <w:b/>
              </w:rPr>
              <w:t xml:space="preserve">الأمان (Security)</w:t>
            </w:r>
          </w:p>
        </w:tc>
        <w:tc>
          <w:tcPr/>
          <w:p>
            <w:pPr>
              <w:pStyle w:val="Compact"/>
              <w:jc w:val="left"/>
            </w:pPr>
            <w:r>
              <w:t xml:space="preserve">تشفير كلمات المرور، كوكيز الجلسة بخاصية</w:t>
            </w:r>
            <w:r>
              <w:t xml:space="preserve"> </w:t>
            </w:r>
            <w:r>
              <w:rPr>
                <w:rStyle w:val="VerbatimChar"/>
              </w:rPr>
              <w:t xml:space="preserve">HttpOnly</w:t>
            </w:r>
            <w:r>
              <w:t xml:space="preserve"> </w:t>
            </w:r>
            <w:r>
              <w:t xml:space="preserve">و</w:t>
            </w:r>
            <w:r>
              <w:rPr>
                <w:rStyle w:val="VerbatimChar"/>
              </w:rPr>
              <w:t xml:space="preserve">Secure</w:t>
            </w:r>
            <w:r>
              <w:t xml:space="preserve">، فصل صريح بين</w:t>
            </w:r>
            <w:r>
              <w:t xml:space="preserve"> </w:t>
            </w:r>
            <w:r>
              <w:rPr>
                <w:rStyle w:val="VerbatimChar"/>
              </w:rPr>
              <w:t xml:space="preserve">password_hash</w:t>
            </w:r>
            <w:r>
              <w:t xml:space="preserve"> </w:t>
            </w:r>
            <w:r>
              <w:t xml:space="preserve">(nullable) وحسابات Google</w:t>
            </w:r>
          </w:p>
        </w:tc>
      </w:tr>
      <w:tr>
        <w:tc>
          <w:tcPr/>
          <w:p>
            <w:pPr>
              <w:pStyle w:val="Compact"/>
              <w:jc w:val="left"/>
            </w:pPr>
            <w:r>
              <w:rPr>
                <w:bCs/>
                <w:b/>
              </w:rPr>
              <w:t xml:space="preserve">الخصوصية (Privacy)</w:t>
            </w:r>
          </w:p>
        </w:tc>
        <w:tc>
          <w:tcPr/>
          <w:p>
            <w:pPr>
              <w:pStyle w:val="Compact"/>
              <w:jc w:val="left"/>
            </w:pPr>
            <w:r>
              <w:t xml:space="preserve">تخزين تصنيف الدواء العام بدل الاسم التجاري الصريح في الجداول التحليلية (Feature Store)</w:t>
            </w:r>
          </w:p>
        </w:tc>
      </w:tr>
      <w:tr>
        <w:tc>
          <w:tcPr/>
          <w:p>
            <w:pPr>
              <w:pStyle w:val="Compact"/>
              <w:jc w:val="left"/>
            </w:pPr>
            <w:r>
              <w:rPr>
                <w:bCs/>
                <w:b/>
              </w:rPr>
              <w:t xml:space="preserve">قابلية التفسير (Explainability)</w:t>
            </w:r>
          </w:p>
        </w:tc>
        <w:tc>
          <w:tcPr/>
          <w:p>
            <w:pPr>
              <w:pStyle w:val="Compact"/>
              <w:jc w:val="left"/>
            </w:pPr>
            <w:r>
              <w:t xml:space="preserve">كل قرار تلقائي عالي الأثر يجب أن يكون مصحوبًا بدرجة ثقة وسبب واضح (SHAP)</w:t>
            </w:r>
          </w:p>
        </w:tc>
      </w:tr>
      <w:tr>
        <w:tc>
          <w:tcPr/>
          <w:p>
            <w:pPr>
              <w:pStyle w:val="Compact"/>
              <w:jc w:val="left"/>
            </w:pPr>
            <w:r>
              <w:rPr>
                <w:bCs/>
                <w:b/>
              </w:rPr>
              <w:t xml:space="preserve">الأداء (Performance)</w:t>
            </w:r>
          </w:p>
        </w:tc>
        <w:tc>
          <w:tcPr/>
          <w:p>
            <w:pPr>
              <w:pStyle w:val="Compact"/>
              <w:jc w:val="left"/>
            </w:pPr>
            <w:r>
              <w:t xml:space="preserve">فصل طبقة التحليل (Data Warehouse/OLAP) عن طبقة التشغيل (OLTP) لمنع إبطاء تجربة الشراء الحية</w:t>
            </w:r>
          </w:p>
        </w:tc>
      </w:tr>
      <w:tr>
        <w:tc>
          <w:tcPr/>
          <w:p>
            <w:pPr>
              <w:pStyle w:val="Compact"/>
              <w:jc w:val="left"/>
            </w:pPr>
            <w:r>
              <w:rPr>
                <w:bCs/>
                <w:b/>
              </w:rPr>
              <w:t xml:space="preserve">قابلية التتبع (Auditability)</w:t>
            </w:r>
          </w:p>
        </w:tc>
        <w:tc>
          <w:tcPr/>
          <w:p>
            <w:pPr>
              <w:pStyle w:val="Compact"/>
              <w:jc w:val="left"/>
            </w:pPr>
            <w:r>
              <w:t xml:space="preserve">تسجيل كل قرار وإرسال في AuditLog قابل للمراجعة</w:t>
            </w:r>
          </w:p>
        </w:tc>
      </w:tr>
      <w:tr>
        <w:tc>
          <w:tcPr/>
          <w:p>
            <w:pPr>
              <w:pStyle w:val="Compact"/>
              <w:jc w:val="left"/>
            </w:pPr>
            <w:r>
              <w:rPr>
                <w:bCs/>
                <w:b/>
              </w:rPr>
              <w:t xml:space="preserve">قابلية التوسع (Scalability)</w:t>
            </w:r>
          </w:p>
        </w:tc>
        <w:tc>
          <w:tcPr/>
          <w:p>
            <w:pPr>
              <w:pStyle w:val="Compact"/>
              <w:jc w:val="left"/>
            </w:pPr>
            <w:r>
              <w:t xml:space="preserve">تصميم الجداول والـ Domains بحيث يدعم إضافة Tenant جديد دون تعديل بنيوي جوهري</w:t>
            </w:r>
          </w:p>
        </w:tc>
      </w:tr>
      <w:tr>
        <w:tc>
          <w:tcPr/>
          <w:p>
            <w:pPr>
              <w:pStyle w:val="Compact"/>
              <w:jc w:val="left"/>
            </w:pPr>
            <w:r>
              <w:rPr>
                <w:bCs/>
                <w:b/>
              </w:rPr>
              <w:t xml:space="preserve">الموثوقية (Reliability)</w:t>
            </w:r>
          </w:p>
        </w:tc>
        <w:tc>
          <w:tcPr/>
          <w:p>
            <w:pPr>
              <w:pStyle w:val="Compact"/>
              <w:jc w:val="left"/>
            </w:pPr>
            <w:r>
              <w:t xml:space="preserve">فشل أي خطوة في Workflow (مثل فشل إرسال واتساب) يجب ألا يوقف بقية الـ Pipeline، بل يُسجَّل كحالة فاشلة قابلة لإعادة المحاولة</w:t>
            </w:r>
          </w:p>
        </w:tc>
      </w:tr>
    </w:tbl>
    <w:p>
      <w:r>
        <w:pict>
          <v:rect style="width:0;height:1.5pt" o:hralign="center" o:hrstd="t" o:hr="t"/>
        </w:pict>
      </w:r>
    </w:p>
    <w:bookmarkEnd w:id="49"/>
    <w:bookmarkStart w:id="50" w:name="حالات-الاستخدام-الأساسية-core-use-cases"/>
    <w:p>
      <w:pPr>
        <w:pStyle w:val="Heading2"/>
      </w:pPr>
      <w:r>
        <w:t xml:space="preserve">9. حالات الاستخدام الأساسية (Core Use Cases)</w:t>
      </w:r>
    </w:p>
    <w:p>
      <w:pPr>
        <w:pStyle w:val="BlockText"/>
      </w:pPr>
      <w:r>
        <w:t xml:space="preserve">التفصيل الكامل لكل حالة (بالخطوات) موثّق في مستند</w:t>
      </w:r>
      <w:r>
        <w:t xml:space="preserve"> </w:t>
      </w:r>
      <w:r>
        <w:t xml:space="preserve">“</w:t>
      </w:r>
      <w:r>
        <w:t xml:space="preserve">AI-COS_Pharmacy_Use_Case</w:t>
      </w:r>
      <w:r>
        <w:t xml:space="preserve">”</w:t>
      </w:r>
      <w:r>
        <w:t xml:space="preserve"> </w:t>
      </w:r>
      <w:r>
        <w:t xml:space="preserve">المرفق كملحق مرجعي لهذا الـ PRD (قسم 7: Runtime Scenario).</w:t>
      </w:r>
    </w:p>
    <w:tbl>
      <w:tblPr>
        <w:tblStyle w:val="Table"/>
        <w:bidiVisual/>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المعرّف</w:t>
            </w:r>
          </w:p>
        </w:tc>
        <w:tc>
          <w:tcPr/>
          <w:p>
            <w:pPr>
              <w:pStyle w:val="Compact"/>
              <w:jc w:val="left"/>
            </w:pPr>
            <w:r>
              <w:t xml:space="preserve">حالة الاستخدام</w:t>
            </w:r>
          </w:p>
        </w:tc>
        <w:tc>
          <w:tcPr/>
          <w:p>
            <w:pPr>
              <w:pStyle w:val="Compact"/>
              <w:jc w:val="left"/>
            </w:pPr>
            <w:r>
              <w:t xml:space="preserve">الفاعل الرئيسي</w:t>
            </w:r>
          </w:p>
        </w:tc>
      </w:tr>
      <w:tr>
        <w:tc>
          <w:tcPr/>
          <w:p>
            <w:pPr>
              <w:pStyle w:val="Compact"/>
              <w:jc w:val="left"/>
            </w:pPr>
            <w:r>
              <w:t xml:space="preserve">UC-01</w:t>
            </w:r>
          </w:p>
        </w:tc>
        <w:tc>
          <w:tcPr/>
          <w:p>
            <w:pPr>
              <w:pStyle w:val="Compact"/>
              <w:jc w:val="left"/>
            </w:pPr>
            <w:r>
              <w:t xml:space="preserve">تسجيل/دخول عميل جديد</w:t>
            </w:r>
          </w:p>
        </w:tc>
        <w:tc>
          <w:tcPr/>
          <w:p>
            <w:pPr>
              <w:pStyle w:val="Compact"/>
              <w:jc w:val="left"/>
            </w:pPr>
            <w:r>
              <w:t xml:space="preserve">Customer</w:t>
            </w:r>
          </w:p>
        </w:tc>
      </w:tr>
      <w:tr>
        <w:tc>
          <w:tcPr/>
          <w:p>
            <w:pPr>
              <w:pStyle w:val="Compact"/>
              <w:jc w:val="left"/>
            </w:pPr>
            <w:r>
              <w:t xml:space="preserve">UC-02</w:t>
            </w:r>
          </w:p>
        </w:tc>
        <w:tc>
          <w:tcPr/>
          <w:p>
            <w:pPr>
              <w:pStyle w:val="Compact"/>
              <w:jc w:val="left"/>
            </w:pPr>
            <w:r>
              <w:t xml:space="preserve">تصفح وشراء دواء</w:t>
            </w:r>
          </w:p>
        </w:tc>
        <w:tc>
          <w:tcPr/>
          <w:p>
            <w:pPr>
              <w:pStyle w:val="Compact"/>
              <w:jc w:val="left"/>
            </w:pPr>
            <w:r>
              <w:t xml:space="preserve">Customer</w:t>
            </w:r>
          </w:p>
        </w:tc>
      </w:tr>
      <w:tr>
        <w:tc>
          <w:tcPr/>
          <w:p>
            <w:pPr>
              <w:pStyle w:val="Compact"/>
              <w:jc w:val="left"/>
            </w:pPr>
            <w:r>
              <w:t xml:space="preserve">UC-03</w:t>
            </w:r>
          </w:p>
        </w:tc>
        <w:tc>
          <w:tcPr/>
          <w:p>
            <w:pPr>
              <w:pStyle w:val="Compact"/>
              <w:jc w:val="left"/>
            </w:pPr>
            <w:r>
              <w:t xml:space="preserve">استلام تذكير تلقائي بموعد إعادة الشراء</w:t>
            </w:r>
          </w:p>
        </w:tc>
        <w:tc>
          <w:tcPr/>
          <w:p>
            <w:pPr>
              <w:pStyle w:val="Compact"/>
              <w:jc w:val="left"/>
            </w:pPr>
            <w:r>
              <w:t xml:space="preserve">AI Decision Engine → Customer</w:t>
            </w:r>
          </w:p>
        </w:tc>
      </w:tr>
      <w:tr>
        <w:tc>
          <w:tcPr/>
          <w:p>
            <w:pPr>
              <w:pStyle w:val="Compact"/>
              <w:jc w:val="left"/>
            </w:pPr>
            <w:r>
              <w:t xml:space="preserve">UC-04</w:t>
            </w:r>
          </w:p>
        </w:tc>
        <w:tc>
          <w:tcPr/>
          <w:p>
            <w:pPr>
              <w:pStyle w:val="Compact"/>
              <w:jc w:val="left"/>
            </w:pPr>
            <w:r>
              <w:t xml:space="preserve">مراجعة حالة ثقة متوسطة قبل الإرسال</w:t>
            </w:r>
          </w:p>
        </w:tc>
        <w:tc>
          <w:tcPr/>
          <w:p>
            <w:pPr>
              <w:pStyle w:val="Compact"/>
              <w:jc w:val="left"/>
            </w:pPr>
            <w:r>
              <w:t xml:space="preserve">Support/Marketing Staff</w:t>
            </w:r>
          </w:p>
        </w:tc>
      </w:tr>
      <w:tr>
        <w:tc>
          <w:tcPr/>
          <w:p>
            <w:pPr>
              <w:pStyle w:val="Compact"/>
              <w:jc w:val="left"/>
            </w:pPr>
            <w:r>
              <w:t xml:space="preserve">UC-05</w:t>
            </w:r>
          </w:p>
        </w:tc>
        <w:tc>
          <w:tcPr/>
          <w:p>
            <w:pPr>
              <w:pStyle w:val="Compact"/>
              <w:jc w:val="left"/>
            </w:pPr>
            <w:r>
              <w:t xml:space="preserve">فحص تعارض دوائي عند إتمام طلب</w:t>
            </w:r>
          </w:p>
        </w:tc>
        <w:tc>
          <w:tcPr/>
          <w:p>
            <w:pPr>
              <w:pStyle w:val="Compact"/>
              <w:jc w:val="left"/>
            </w:pPr>
            <w:r>
              <w:t xml:space="preserve">AI Decision Engine (Rule Layer)</w:t>
            </w:r>
          </w:p>
        </w:tc>
      </w:tr>
      <w:tr>
        <w:tc>
          <w:tcPr/>
          <w:p>
            <w:pPr>
              <w:pStyle w:val="Compact"/>
              <w:jc w:val="left"/>
            </w:pPr>
            <w:r>
              <w:t xml:space="preserve">UC-06</w:t>
            </w:r>
          </w:p>
        </w:tc>
        <w:tc>
          <w:tcPr/>
          <w:p>
            <w:pPr>
              <w:pStyle w:val="Compact"/>
              <w:jc w:val="left"/>
            </w:pPr>
            <w:r>
              <w:t xml:space="preserve">متابعة الأداء عبر Dashboard</w:t>
            </w:r>
          </w:p>
        </w:tc>
        <w:tc>
          <w:tcPr/>
          <w:p>
            <w:pPr>
              <w:pStyle w:val="Compact"/>
              <w:jc w:val="left"/>
            </w:pPr>
            <w:r>
              <w:t xml:space="preserve">Store Owner</w:t>
            </w:r>
          </w:p>
        </w:tc>
      </w:tr>
      <w:tr>
        <w:tc>
          <w:tcPr/>
          <w:p>
            <w:pPr>
              <w:pStyle w:val="Compact"/>
              <w:jc w:val="left"/>
            </w:pPr>
            <w:r>
              <w:t xml:space="preserve">UC-07</w:t>
            </w:r>
          </w:p>
        </w:tc>
        <w:tc>
          <w:tcPr/>
          <w:p>
            <w:pPr>
              <w:pStyle w:val="Compact"/>
              <w:jc w:val="left"/>
            </w:pPr>
            <w:r>
              <w:t xml:space="preserve">الاستفسار عبر البوت الذكي</w:t>
            </w:r>
          </w:p>
        </w:tc>
        <w:tc>
          <w:tcPr/>
          <w:p>
            <w:pPr>
              <w:pStyle w:val="Compact"/>
              <w:jc w:val="left"/>
            </w:pPr>
            <w:r>
              <w:t xml:space="preserve">Customer</w:t>
            </w:r>
          </w:p>
        </w:tc>
      </w:tr>
      <w:tr>
        <w:tc>
          <w:tcPr/>
          <w:p>
            <w:pPr>
              <w:pStyle w:val="Compact"/>
              <w:jc w:val="left"/>
            </w:pPr>
            <w:r>
              <w:t xml:space="preserve">UC-08</w:t>
            </w:r>
          </w:p>
        </w:tc>
        <w:tc>
          <w:tcPr/>
          <w:p>
            <w:pPr>
              <w:pStyle w:val="Compact"/>
              <w:jc w:val="left"/>
            </w:pPr>
            <w:r>
              <w:t xml:space="preserve">استلام ملخص أداء أسبوعي عبر واتساب</w:t>
            </w:r>
          </w:p>
        </w:tc>
        <w:tc>
          <w:tcPr/>
          <w:p>
            <w:pPr>
              <w:pStyle w:val="Compact"/>
              <w:jc w:val="left"/>
            </w:pPr>
            <w:r>
              <w:t xml:space="preserve">Store Owner</w:t>
            </w:r>
          </w:p>
        </w:tc>
      </w:tr>
    </w:tbl>
    <w:p>
      <w:r>
        <w:pict>
          <v:rect style="width:0;height:1.5pt" o:hralign="center" o:hrstd="t" o:hr="t"/>
        </w:pict>
      </w:r>
    </w:p>
    <w:bookmarkEnd w:id="50"/>
    <w:bookmarkStart w:id="51" w:name="مؤشرات-الأداء-الرئيسية-kpis-ملخص"/>
    <w:p>
      <w:pPr>
        <w:pStyle w:val="Heading2"/>
      </w:pPr>
      <w:r>
        <w:t xml:space="preserve">10. مؤشرات الأداء الرئيسية (KPIs) — ملخص</w:t>
      </w:r>
    </w:p>
    <w:p>
      <w:pPr>
        <w:pStyle w:val="BlockText"/>
      </w:pPr>
      <w:r>
        <w:t xml:space="preserve">القائمة الكاملة (تشغيلية، تقييم نموذج، تسويقية) موثقة بالتفصيل في القسم 11 من مستند الحالة التطبيقية. أهمها هنا كمرجع سريع للـ PRD:</w:t>
      </w:r>
    </w:p>
    <w:p>
      <w:pPr>
        <w:numPr>
          <w:ilvl w:val="0"/>
          <w:numId w:val="1004"/>
        </w:numPr>
        <w:pStyle w:val="Compact"/>
      </w:pPr>
      <w:r>
        <w:rPr>
          <w:bCs/>
          <w:b/>
        </w:rPr>
        <w:t xml:space="preserve">Reminder → Purchase Conversion Rate</w:t>
      </w:r>
      <w:r>
        <w:t xml:space="preserve"> </w:t>
      </w:r>
      <w:r>
        <w:t xml:space="preserve">— قياس مباشر لنجاح فكرة المشروع الجوهرية.</w:t>
      </w:r>
    </w:p>
    <w:p>
      <w:pPr>
        <w:numPr>
          <w:ilvl w:val="0"/>
          <w:numId w:val="1004"/>
        </w:numPr>
        <w:pStyle w:val="Compact"/>
      </w:pPr>
      <w:r>
        <w:rPr>
          <w:bCs/>
          <w:b/>
        </w:rPr>
        <w:t xml:space="preserve">Prediction MAE</w:t>
      </w:r>
      <w:r>
        <w:t xml:space="preserve"> </w:t>
      </w:r>
      <w:r>
        <w:t xml:space="preserve">— قياس جودة النموذج التقني.</w:t>
      </w:r>
    </w:p>
    <w:p>
      <w:pPr>
        <w:numPr>
          <w:ilvl w:val="0"/>
          <w:numId w:val="1004"/>
        </w:numPr>
        <w:pStyle w:val="Compact"/>
      </w:pPr>
      <w:r>
        <w:rPr>
          <w:bCs/>
          <w:b/>
        </w:rPr>
        <w:t xml:space="preserve">Cross-sell Attach Rate</w:t>
      </w:r>
      <w:r>
        <w:t xml:space="preserve"> </w:t>
      </w:r>
      <w:r>
        <w:t xml:space="preserve">— قياس القيمة التجارية الإضافية.</w:t>
      </w:r>
    </w:p>
    <w:p>
      <w:pPr>
        <w:numPr>
          <w:ilvl w:val="0"/>
          <w:numId w:val="1004"/>
        </w:numPr>
        <w:pStyle w:val="Compact"/>
      </w:pPr>
      <w:r>
        <w:rPr>
          <w:bCs/>
          <w:b/>
        </w:rPr>
        <w:t xml:space="preserve">False Positive Rate</w:t>
      </w:r>
      <w:r>
        <w:t xml:space="preserve"> </w:t>
      </w:r>
      <w:r>
        <w:t xml:space="preserve">— قياس مدى إزعاج التنبيهات غير الضرورية للعملاء (مؤشر تجربة مستخدم).</w:t>
      </w:r>
    </w:p>
    <w:p>
      <w:r>
        <w:pict>
          <v:rect style="width:0;height:1.5pt" o:hralign="center" o:hrstd="t" o:hr="t"/>
        </w:pict>
      </w:r>
    </w:p>
    <w:bookmarkEnd w:id="51"/>
    <w:bookmarkStart w:id="54" w:name="X7d20329caa4611163fa3b9dfb3e6a1968913823"/>
    <w:p>
      <w:pPr>
        <w:pStyle w:val="Heading2"/>
      </w:pPr>
      <w:r>
        <w:t xml:space="preserve">11. الافتراضات والقيود (Assumptions &amp; Constraints)</w:t>
      </w:r>
    </w:p>
    <w:bookmarkStart w:id="52" w:name="افتراضات"/>
    <w:p>
      <w:pPr>
        <w:pStyle w:val="Heading3"/>
      </w:pPr>
      <w:r>
        <w:t xml:space="preserve">11.1 افتراضات</w:t>
      </w:r>
    </w:p>
    <w:p>
      <w:pPr>
        <w:numPr>
          <w:ilvl w:val="0"/>
          <w:numId w:val="1005"/>
        </w:numPr>
        <w:pStyle w:val="Compact"/>
      </w:pPr>
      <w:r>
        <w:t xml:space="preserve">لن تتوفر بيانات صيدلية حقيقية؛ سيُستخدم</w:t>
      </w:r>
      <w:r>
        <w:t xml:space="preserve"> </w:t>
      </w:r>
      <w:r>
        <w:rPr>
          <w:bCs/>
          <w:b/>
        </w:rPr>
        <w:t xml:space="preserve">Synthetic Data</w:t>
      </w:r>
      <w:r>
        <w:t xml:space="preserve"> </w:t>
      </w:r>
      <w:r>
        <w:t xml:space="preserve">مُولَّد بناءً على أنماط واقعية (دورات شراء، فئات أدوية) لتدريب واختبار النموذج.</w:t>
      </w:r>
    </w:p>
    <w:p>
      <w:pPr>
        <w:numPr>
          <w:ilvl w:val="0"/>
          <w:numId w:val="1005"/>
        </w:numPr>
        <w:pStyle w:val="Compact"/>
      </w:pPr>
      <w:r>
        <w:t xml:space="preserve">المشروع يُنفَّذ عبر</w:t>
      </w:r>
      <w:r>
        <w:t xml:space="preserve"> </w:t>
      </w:r>
      <w:r>
        <w:rPr>
          <w:bCs/>
          <w:b/>
        </w:rPr>
        <w:t xml:space="preserve">فريق من 8 أشخاص</w:t>
      </w:r>
      <w:r>
        <w:t xml:space="preserve"> </w:t>
      </w:r>
      <w:r>
        <w:t xml:space="preserve">بقيادة مهندس AI (Team Lead)، بجدول زمني أكاديمي مدته سنة كاملة، وفق تنظيم الـ Domains الموثق في مستند SAD المرفق.</w:t>
      </w:r>
    </w:p>
    <w:p>
      <w:pPr>
        <w:numPr>
          <w:ilvl w:val="0"/>
          <w:numId w:val="1005"/>
        </w:numPr>
        <w:pStyle w:val="Compact"/>
      </w:pPr>
      <w:r>
        <w:t xml:space="preserve">الأدوات المستخدمة (n8n, Gemma, BERT-family, Supabase, LangGraph) ستبقى متاحة مجانًا أو بتكلفة منخفضة طوال فترة التنفيذ.</w:t>
      </w:r>
    </w:p>
    <w:bookmarkEnd w:id="52"/>
    <w:bookmarkStart w:id="53" w:name="قيود"/>
    <w:p>
      <w:pPr>
        <w:pStyle w:val="Heading3"/>
      </w:pPr>
      <w:r>
        <w:t xml:space="preserve">11.2 قيود</w:t>
      </w:r>
    </w:p>
    <w:p>
      <w:pPr>
        <w:numPr>
          <w:ilvl w:val="0"/>
          <w:numId w:val="1006"/>
        </w:numPr>
        <w:pStyle w:val="Compact"/>
      </w:pPr>
      <w:r>
        <w:t xml:space="preserve">الموارد الحاسوبية للنماذج المحلية محدودة (كرت شاشة 4GB VRAM)، مما يفرض استخدام نماذج خفيفة أو مُكمَّمة (Quantized) محليًا، مع الاعتماد على مزوّد سحابي واحد للمهام التي تتطلب تفكيرًا أعمق.</w:t>
      </w:r>
    </w:p>
    <w:p>
      <w:pPr>
        <w:numPr>
          <w:ilvl w:val="0"/>
          <w:numId w:val="1006"/>
        </w:numPr>
        <w:pStyle w:val="Compact"/>
      </w:pPr>
      <w:r>
        <w:t xml:space="preserve">رغم توفر فريق من 8 أشخاص، الوقت الأكاديمي محدود بسنة دراسية، لذا يُعطى الأولوية لتغطية Pipeline كامل بعمق متوازن بدل تعميق جزء واحد فقط على حساب باقي الأجزاء.</w:t>
      </w:r>
    </w:p>
    <w:p>
      <w:r>
        <w:pict>
          <v:rect style="width:0;height:1.5pt" o:hralign="center" o:hrstd="t" o:hr="t"/>
        </w:pict>
      </w:r>
    </w:p>
    <w:bookmarkEnd w:id="53"/>
    <w:bookmarkEnd w:id="54"/>
    <w:bookmarkStart w:id="55" w:name="المخاطر-risks-وخطط-التخفيف"/>
    <w:p>
      <w:pPr>
        <w:pStyle w:val="Heading2"/>
      </w:pPr>
      <w:r>
        <w:t xml:space="preserve">12. المخاطر (Risks) وخطط التخفيف</w:t>
      </w:r>
    </w:p>
    <w:tbl>
      <w:tblPr>
        <w:tblStyle w:val="Table"/>
        <w:bidiVisual/>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المخاطرة</w:t>
            </w:r>
          </w:p>
        </w:tc>
        <w:tc>
          <w:tcPr/>
          <w:p>
            <w:pPr>
              <w:pStyle w:val="Compact"/>
              <w:jc w:val="left"/>
            </w:pPr>
            <w:r>
              <w:t xml:space="preserve">الاحتمالية</w:t>
            </w:r>
          </w:p>
        </w:tc>
        <w:tc>
          <w:tcPr/>
          <w:p>
            <w:pPr>
              <w:pStyle w:val="Compact"/>
              <w:jc w:val="left"/>
            </w:pPr>
            <w:r>
              <w:t xml:space="preserve">التأثير</w:t>
            </w:r>
          </w:p>
        </w:tc>
        <w:tc>
          <w:tcPr/>
          <w:p>
            <w:pPr>
              <w:pStyle w:val="Compact"/>
              <w:jc w:val="left"/>
            </w:pPr>
            <w:r>
              <w:t xml:space="preserve">خطة التخفيف</w:t>
            </w:r>
          </w:p>
        </w:tc>
      </w:tr>
      <w:tr>
        <w:tc>
          <w:tcPr/>
          <w:p>
            <w:pPr>
              <w:pStyle w:val="Compact"/>
              <w:jc w:val="left"/>
            </w:pPr>
            <w:r>
              <w:t xml:space="preserve">نقص البيانات الحقيقية يضعف دقة النموذج</w:t>
            </w:r>
          </w:p>
        </w:tc>
        <w:tc>
          <w:tcPr/>
          <w:p>
            <w:pPr>
              <w:pStyle w:val="Compact"/>
              <w:jc w:val="left"/>
            </w:pPr>
            <w:r>
              <w:t xml:space="preserve">مرتفعة</w:t>
            </w:r>
          </w:p>
        </w:tc>
        <w:tc>
          <w:tcPr/>
          <w:p>
            <w:pPr>
              <w:pStyle w:val="Compact"/>
              <w:jc w:val="left"/>
            </w:pPr>
            <w:r>
              <w:t xml:space="preserve">متوسط</w:t>
            </w:r>
          </w:p>
        </w:tc>
        <w:tc>
          <w:tcPr/>
          <w:p>
            <w:pPr>
              <w:pStyle w:val="Compact"/>
              <w:jc w:val="left"/>
            </w:pPr>
            <w:r>
              <w:t xml:space="preserve">استخدام Synthetic Data واضحة المنهجية، مع الإفصاح الصريح عن ذلك أمام اللجنة</w:t>
            </w:r>
          </w:p>
        </w:tc>
      </w:tr>
      <w:tr>
        <w:tc>
          <w:tcPr/>
          <w:p>
            <w:pPr>
              <w:pStyle w:val="Compact"/>
              <w:jc w:val="left"/>
            </w:pPr>
            <w:r>
              <w:t xml:space="preserve">تعقيد تكامل عدة أدوات (n8n + FastAPI + LLM + Vector DB) في وقت محدود</w:t>
            </w:r>
          </w:p>
        </w:tc>
        <w:tc>
          <w:tcPr/>
          <w:p>
            <w:pPr>
              <w:pStyle w:val="Compact"/>
              <w:jc w:val="left"/>
            </w:pPr>
            <w:r>
              <w:t xml:space="preserve">متوسطة</w:t>
            </w:r>
          </w:p>
        </w:tc>
        <w:tc>
          <w:tcPr/>
          <w:p>
            <w:pPr>
              <w:pStyle w:val="Compact"/>
              <w:jc w:val="left"/>
            </w:pPr>
            <w:r>
              <w:t xml:space="preserve">مرتفع</w:t>
            </w:r>
          </w:p>
        </w:tc>
        <w:tc>
          <w:tcPr/>
          <w:p>
            <w:pPr>
              <w:pStyle w:val="Compact"/>
              <w:jc w:val="left"/>
            </w:pPr>
            <w:r>
              <w:t xml:space="preserve">البدء بـ MVP يغطي مسارًا واحدًا كاملاً (End-to-End) قبل التوسع أفقيًا</w:t>
            </w:r>
          </w:p>
        </w:tc>
      </w:tr>
      <w:tr>
        <w:tc>
          <w:tcPr/>
          <w:p>
            <w:pPr>
              <w:pStyle w:val="Compact"/>
              <w:jc w:val="left"/>
            </w:pPr>
            <w:r>
              <w:t xml:space="preserve">بطء نماذج الذكاء الاصطناعي المحلية على موارد محدودة</w:t>
            </w:r>
          </w:p>
        </w:tc>
        <w:tc>
          <w:tcPr/>
          <w:p>
            <w:pPr>
              <w:pStyle w:val="Compact"/>
              <w:jc w:val="left"/>
            </w:pPr>
            <w:r>
              <w:t xml:space="preserve">متوسطة</w:t>
            </w:r>
          </w:p>
        </w:tc>
        <w:tc>
          <w:tcPr/>
          <w:p>
            <w:pPr>
              <w:pStyle w:val="Compact"/>
              <w:jc w:val="left"/>
            </w:pPr>
            <w:r>
              <w:t xml:space="preserve">متوسط</w:t>
            </w:r>
          </w:p>
        </w:tc>
        <w:tc>
          <w:tcPr/>
          <w:p>
            <w:pPr>
              <w:pStyle w:val="Compact"/>
              <w:jc w:val="left"/>
            </w:pPr>
            <w:r>
              <w:t xml:space="preserve">استخدام نماذج صغيرة/مُكمَّمة، أو الاعتماد على واجهات مجانية (Groq/OpenRouter) عند الحاجة</w:t>
            </w:r>
          </w:p>
        </w:tc>
      </w:tr>
      <w:tr>
        <w:tc>
          <w:tcPr/>
          <w:p>
            <w:pPr>
              <w:pStyle w:val="Compact"/>
              <w:jc w:val="left"/>
            </w:pPr>
            <w:r>
              <w:t xml:space="preserve">خلط بيانات صحية حساسة دون ضوابط كافية</w:t>
            </w:r>
          </w:p>
        </w:tc>
        <w:tc>
          <w:tcPr/>
          <w:p>
            <w:pPr>
              <w:pStyle w:val="Compact"/>
              <w:jc w:val="left"/>
            </w:pPr>
            <w:r>
              <w:t xml:space="preserve">منخفضة</w:t>
            </w:r>
          </w:p>
        </w:tc>
        <w:tc>
          <w:tcPr/>
          <w:p>
            <w:pPr>
              <w:pStyle w:val="Compact"/>
              <w:jc w:val="left"/>
            </w:pPr>
            <w:r>
              <w:t xml:space="preserve">مرتفع</w:t>
            </w:r>
          </w:p>
        </w:tc>
        <w:tc>
          <w:tcPr/>
          <w:p>
            <w:pPr>
              <w:pStyle w:val="Compact"/>
              <w:jc w:val="left"/>
            </w:pPr>
            <w:r>
              <w:t xml:space="preserve">تطبيق مبدأ Privacy by Design من بند 6 في مستند الحالة التطبيقية منذ بداية التصميم</w:t>
            </w:r>
          </w:p>
        </w:tc>
      </w:tr>
    </w:tbl>
    <w:p>
      <w:r>
        <w:pict>
          <v:rect style="width:0;height:1.5pt" o:hralign="center" o:hrstd="t" o:hr="t"/>
        </w:pict>
      </w:r>
    </w:p>
    <w:bookmarkEnd w:id="55"/>
    <w:bookmarkStart w:id="56" w:name="X5958dd56cc9559506a99be98ee0045af245aa70"/>
    <w:p>
      <w:pPr>
        <w:pStyle w:val="Heading2"/>
      </w:pPr>
      <w:r>
        <w:t xml:space="preserve">13. خارطة الطريق المقترحة (High-Level Roadmap — سنة أكاديمية كاملة)</w:t>
      </w:r>
    </w:p>
    <w:tbl>
      <w:tblPr>
        <w:tblStyle w:val="Table"/>
        <w:bidiVisual/>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المرحلة</w:t>
            </w:r>
          </w:p>
        </w:tc>
        <w:tc>
          <w:tcPr/>
          <w:p>
            <w:pPr>
              <w:pStyle w:val="Compact"/>
              <w:jc w:val="left"/>
            </w:pPr>
            <w:r>
              <w:t xml:space="preserve">المدة التقريبية</w:t>
            </w:r>
          </w:p>
        </w:tc>
        <w:tc>
          <w:tcPr/>
          <w:p>
            <w:pPr>
              <w:pStyle w:val="Compact"/>
              <w:jc w:val="left"/>
            </w:pPr>
            <w:r>
              <w:t xml:space="preserve">المخرجات الأساسية</w:t>
            </w:r>
          </w:p>
        </w:tc>
      </w:tr>
      <w:tr>
        <w:tc>
          <w:tcPr/>
          <w:p>
            <w:pPr>
              <w:pStyle w:val="Compact"/>
              <w:jc w:val="left"/>
            </w:pPr>
            <w:r>
              <w:rPr>
                <w:bCs/>
                <w:b/>
              </w:rPr>
              <w:t xml:space="preserve">Phase 1 — الأساس (منجز)</w:t>
            </w:r>
          </w:p>
        </w:tc>
        <w:tc>
          <w:tcPr/>
          <w:p>
            <w:pPr>
              <w:pStyle w:val="Compact"/>
              <w:jc w:val="left"/>
            </w:pPr>
            <w:r>
              <w:t xml:space="preserve">—</w:t>
            </w:r>
          </w:p>
        </w:tc>
        <w:tc>
          <w:tcPr/>
          <w:p>
            <w:pPr>
              <w:pStyle w:val="Compact"/>
              <w:jc w:val="left"/>
            </w:pPr>
            <w:r>
              <w:t xml:space="preserve">Business Vision, Domains, Stakeholders, Roles, Runtime Scenario</w:t>
            </w:r>
          </w:p>
        </w:tc>
      </w:tr>
      <w:tr>
        <w:tc>
          <w:tcPr/>
          <w:p>
            <w:pPr>
              <w:pStyle w:val="Compact"/>
              <w:jc w:val="left"/>
            </w:pPr>
            <w:r>
              <w:rPr>
                <w:bCs/>
                <w:b/>
              </w:rPr>
              <w:t xml:space="preserve">Phase 2 — التصميم</w:t>
            </w:r>
          </w:p>
        </w:tc>
        <w:tc>
          <w:tcPr/>
          <w:p>
            <w:pPr>
              <w:pStyle w:val="Compact"/>
              <w:jc w:val="left"/>
            </w:pPr>
            <w:r>
              <w:t xml:space="preserve">الشهر 1–2</w:t>
            </w:r>
          </w:p>
        </w:tc>
        <w:tc>
          <w:tcPr/>
          <w:p>
            <w:pPr>
              <w:pStyle w:val="Compact"/>
              <w:jc w:val="left"/>
            </w:pPr>
            <w:r>
              <w:t xml:space="preserve">PRD (هذا المستند) + Data Model (ERD) + SAD كامل</w:t>
            </w:r>
          </w:p>
        </w:tc>
      </w:tr>
      <w:tr>
        <w:tc>
          <w:tcPr/>
          <w:p>
            <w:pPr>
              <w:pStyle w:val="Compact"/>
              <w:jc w:val="left"/>
            </w:pPr>
            <w:r>
              <w:rPr>
                <w:bCs/>
                <w:b/>
              </w:rPr>
              <w:t xml:space="preserve">Phase 3 — البنية التحتية والبيانات</w:t>
            </w:r>
          </w:p>
        </w:tc>
        <w:tc>
          <w:tcPr/>
          <w:p>
            <w:pPr>
              <w:pStyle w:val="Compact"/>
              <w:jc w:val="left"/>
            </w:pPr>
            <w:r>
              <w:t xml:space="preserve">الشهر 2–3</w:t>
            </w:r>
          </w:p>
        </w:tc>
        <w:tc>
          <w:tcPr/>
          <w:p>
            <w:pPr>
              <w:pStyle w:val="Compact"/>
              <w:jc w:val="left"/>
            </w:pPr>
            <w:r>
              <w:t xml:space="preserve">إعداد Docker Compose (FastAPI, Supabase, Redis, n8n, Ollama) + توليد Synthetic Data</w:t>
            </w:r>
          </w:p>
        </w:tc>
      </w:tr>
      <w:tr>
        <w:tc>
          <w:tcPr/>
          <w:p>
            <w:pPr>
              <w:pStyle w:val="Compact"/>
              <w:jc w:val="left"/>
            </w:pPr>
            <w:r>
              <w:rPr>
                <w:bCs/>
                <w:b/>
              </w:rPr>
              <w:t xml:space="preserve">Phase 4 — النموذج التنبؤي</w:t>
            </w:r>
          </w:p>
        </w:tc>
        <w:tc>
          <w:tcPr/>
          <w:p>
            <w:pPr>
              <w:pStyle w:val="Compact"/>
              <w:jc w:val="left"/>
            </w:pPr>
            <w:r>
              <w:t xml:space="preserve">الشهر 3–5</w:t>
            </w:r>
          </w:p>
        </w:tc>
        <w:tc>
          <w:tcPr/>
          <w:p>
            <w:pPr>
              <w:pStyle w:val="Compact"/>
              <w:jc w:val="left"/>
            </w:pPr>
            <w:r>
              <w:t xml:space="preserve">Baseline ثم نموذج متقدم (XGBoost/NN) + تفعيل SHAP + MLflow</w:t>
            </w:r>
          </w:p>
        </w:tc>
      </w:tr>
      <w:tr>
        <w:tc>
          <w:tcPr/>
          <w:p>
            <w:pPr>
              <w:pStyle w:val="Compact"/>
              <w:jc w:val="left"/>
            </w:pPr>
            <w:r>
              <w:rPr>
                <w:bCs/>
                <w:b/>
              </w:rPr>
              <w:t xml:space="preserve">Phase 5 — الأتمتة ومحرك القرار</w:t>
            </w:r>
          </w:p>
        </w:tc>
        <w:tc>
          <w:tcPr/>
          <w:p>
            <w:pPr>
              <w:pStyle w:val="Compact"/>
              <w:jc w:val="left"/>
            </w:pPr>
            <w:r>
              <w:t xml:space="preserve">الشهر 5–7</w:t>
            </w:r>
          </w:p>
        </w:tc>
        <w:tc>
          <w:tcPr/>
          <w:p>
            <w:pPr>
              <w:pStyle w:val="Compact"/>
              <w:jc w:val="left"/>
            </w:pPr>
            <w:r>
              <w:t xml:space="preserve">AI Decision Engine + Workflows n8n (تذكير، Cross-sell، A/B، KPI Aggregation)</w:t>
            </w:r>
          </w:p>
        </w:tc>
      </w:tr>
      <w:tr>
        <w:tc>
          <w:tcPr/>
          <w:p>
            <w:pPr>
              <w:pStyle w:val="Compact"/>
              <w:jc w:val="left"/>
            </w:pPr>
            <w:r>
              <w:rPr>
                <w:bCs/>
                <w:b/>
              </w:rPr>
              <w:t xml:space="preserve">Phase 6 — طبقة AI Agents والواجهة</w:t>
            </w:r>
          </w:p>
        </w:tc>
        <w:tc>
          <w:tcPr/>
          <w:p>
            <w:pPr>
              <w:pStyle w:val="Compact"/>
              <w:jc w:val="left"/>
            </w:pPr>
            <w:r>
              <w:t xml:space="preserve">الشهر 7–9</w:t>
            </w:r>
          </w:p>
        </w:tc>
        <w:tc>
          <w:tcPr/>
          <w:p>
            <w:pPr>
              <w:pStyle w:val="Compact"/>
              <w:jc w:val="left"/>
            </w:pPr>
            <w:r>
              <w:t xml:space="preserve">LangGraph Orchestration + بوت RAG + Dashboard + واجهة متجر (Next.js)</w:t>
            </w:r>
          </w:p>
        </w:tc>
      </w:tr>
      <w:tr>
        <w:tc>
          <w:tcPr/>
          <w:p>
            <w:pPr>
              <w:pStyle w:val="Compact"/>
              <w:jc w:val="left"/>
            </w:pPr>
            <w:r>
              <w:rPr>
                <w:bCs/>
                <w:b/>
              </w:rPr>
              <w:t xml:space="preserve">Phase 7 — التكامل والاختبار</w:t>
            </w:r>
          </w:p>
        </w:tc>
        <w:tc>
          <w:tcPr/>
          <w:p>
            <w:pPr>
              <w:pStyle w:val="Compact"/>
              <w:jc w:val="left"/>
            </w:pPr>
            <w:r>
              <w:t xml:space="preserve">الشهر 9–10</w:t>
            </w:r>
          </w:p>
        </w:tc>
        <w:tc>
          <w:tcPr/>
          <w:p>
            <w:pPr>
              <w:pStyle w:val="Compact"/>
              <w:jc w:val="left"/>
            </w:pPr>
            <w:r>
              <w:t xml:space="preserve">ربط كل الأجزاء + اختبارات Pytest/Vitest + مراقبة (Prometheus/Grafana)</w:t>
            </w:r>
          </w:p>
        </w:tc>
      </w:tr>
      <w:tr>
        <w:tc>
          <w:tcPr/>
          <w:p>
            <w:pPr>
              <w:pStyle w:val="Compact"/>
              <w:jc w:val="left"/>
            </w:pPr>
            <w:r>
              <w:rPr>
                <w:bCs/>
                <w:b/>
              </w:rPr>
              <w:t xml:space="preserve">Phase 8 — التجهيز للمناقشة</w:t>
            </w:r>
          </w:p>
        </w:tc>
        <w:tc>
          <w:tcPr/>
          <w:p>
            <w:pPr>
              <w:pStyle w:val="Compact"/>
              <w:jc w:val="left"/>
            </w:pPr>
            <w:r>
              <w:t xml:space="preserve">الشهر 10–12</w:t>
            </w:r>
          </w:p>
        </w:tc>
        <w:tc>
          <w:tcPr/>
          <w:p>
            <w:pPr>
              <w:pStyle w:val="Compact"/>
              <w:jc w:val="left"/>
            </w:pPr>
            <w:r>
              <w:t xml:space="preserve">تجهيز خطة العرض الحي (بند 18 من مستند الحالة التطبيقية) + توثيق نهائي + مراجعات تجريبية</w:t>
            </w:r>
          </w:p>
        </w:tc>
      </w:tr>
    </w:tbl>
    <w:p>
      <w:r>
        <w:pict>
          <v:rect style="width:0;height:1.5pt" o:hralign="center" o:hrstd="t" o:hr="t"/>
        </w:pict>
      </w:r>
    </w:p>
    <w:bookmarkEnd w:id="56"/>
    <w:bookmarkStart w:id="57" w:name="جدول-تتبع-المتطلبات-traceability-matrix"/>
    <w:p>
      <w:pPr>
        <w:pStyle w:val="Heading2"/>
      </w:pPr>
      <w:r>
        <w:t xml:space="preserve">14. جدول تتبّع المتطلبات (Traceability Matrix)</w:t>
      </w:r>
    </w:p>
    <w:p>
      <w:pPr>
        <w:pStyle w:val="FirstParagraph"/>
      </w:pPr>
      <w:r>
        <w:t xml:space="preserve">يربط هذا الجدول كل متطلب وظيفي أساسي بالهدف التجاري الذي يخدمه ومؤشر الأداء المرتبط به، لإثبات أن كل سطر كود له مبرر تجاري واضح — وهذا جوهر التفكير في نظم المعلومات الإدارية:</w:t>
      </w:r>
    </w:p>
    <w:tbl>
      <w:tblPr>
        <w:tblStyle w:val="Table"/>
        <w:bidiVisual/>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المتطلب</w:t>
            </w:r>
          </w:p>
        </w:tc>
        <w:tc>
          <w:tcPr/>
          <w:p>
            <w:pPr>
              <w:pStyle w:val="Compact"/>
              <w:jc w:val="left"/>
            </w:pPr>
            <w:r>
              <w:t xml:space="preserve">الهدف التجاري المرتبط (بند 4)</w:t>
            </w:r>
          </w:p>
        </w:tc>
        <w:tc>
          <w:tcPr/>
          <w:p>
            <w:pPr>
              <w:pStyle w:val="Compact"/>
              <w:jc w:val="left"/>
            </w:pPr>
            <w:r>
              <w:t xml:space="preserve">مؤشر القياس (KPI)</w:t>
            </w:r>
          </w:p>
        </w:tc>
      </w:tr>
      <w:tr>
        <w:tc>
          <w:tcPr/>
          <w:p>
            <w:pPr>
              <w:pStyle w:val="Compact"/>
              <w:jc w:val="left"/>
            </w:pPr>
            <w:r>
              <w:t xml:space="preserve">FR-04 (تذكير تلقائي بموعد النفاد)</w:t>
            </w:r>
          </w:p>
        </w:tc>
        <w:tc>
          <w:tcPr/>
          <w:p>
            <w:pPr>
              <w:pStyle w:val="Compact"/>
              <w:jc w:val="left"/>
            </w:pPr>
            <w:r>
              <w:t xml:space="preserve">زيادة معدل تكرار الشراء</w:t>
            </w:r>
          </w:p>
        </w:tc>
        <w:tc>
          <w:tcPr/>
          <w:p>
            <w:pPr>
              <w:pStyle w:val="Compact"/>
              <w:jc w:val="left"/>
            </w:pPr>
            <w:r>
              <w:t xml:space="preserve">Reminder → Purchase Conversion Rate</w:t>
            </w:r>
          </w:p>
        </w:tc>
      </w:tr>
      <w:tr>
        <w:tc>
          <w:tcPr/>
          <w:p>
            <w:pPr>
              <w:pStyle w:val="Compact"/>
              <w:jc w:val="left"/>
            </w:pPr>
            <w:r>
              <w:t xml:space="preserve">FR-05 (فحص تعارض دوائي)</w:t>
            </w:r>
          </w:p>
        </w:tc>
        <w:tc>
          <w:tcPr/>
          <w:p>
            <w:pPr>
              <w:pStyle w:val="Compact"/>
              <w:jc w:val="left"/>
            </w:pPr>
            <w:r>
              <w:t xml:space="preserve">تقليل المخاطر وزيادة ثقة العميل</w:t>
            </w:r>
          </w:p>
        </w:tc>
        <w:tc>
          <w:tcPr/>
          <w:p>
            <w:pPr>
              <w:pStyle w:val="Compact"/>
              <w:jc w:val="left"/>
            </w:pPr>
            <w:r>
              <w:t xml:space="preserve">عدد الحالات المُكتشَفة قبل إتمام الطلب</w:t>
            </w:r>
          </w:p>
        </w:tc>
      </w:tr>
      <w:tr>
        <w:tc>
          <w:tcPr/>
          <w:p>
            <w:pPr>
              <w:pStyle w:val="Compact"/>
              <w:jc w:val="left"/>
            </w:pPr>
            <w:r>
              <w:t xml:space="preserve">FR-06 + FR-07 (ثقة النموذج + التصعيد البشري)</w:t>
            </w:r>
          </w:p>
        </w:tc>
        <w:tc>
          <w:tcPr/>
          <w:p>
            <w:pPr>
              <w:pStyle w:val="Compact"/>
              <w:jc w:val="left"/>
            </w:pPr>
            <w:r>
              <w:t xml:space="preserve">حوكمة قرارات موثوقة</w:t>
            </w:r>
          </w:p>
        </w:tc>
        <w:tc>
          <w:tcPr/>
          <w:p>
            <w:pPr>
              <w:pStyle w:val="Compact"/>
              <w:jc w:val="left"/>
            </w:pPr>
            <w:r>
              <w:t xml:space="preserve">False Positive Rate، Model Confidence Distribution</w:t>
            </w:r>
          </w:p>
        </w:tc>
      </w:tr>
      <w:tr>
        <w:tc>
          <w:tcPr/>
          <w:p>
            <w:pPr>
              <w:pStyle w:val="Compact"/>
              <w:jc w:val="left"/>
            </w:pPr>
            <w:r>
              <w:t xml:space="preserve">FR-09 (Dashboard لحظي)</w:t>
            </w:r>
          </w:p>
        </w:tc>
        <w:tc>
          <w:tcPr/>
          <w:p>
            <w:pPr>
              <w:pStyle w:val="Compact"/>
              <w:jc w:val="left"/>
            </w:pPr>
            <w:r>
              <w:t xml:space="preserve">تقليل زمن اكتشاف الاتجاهات</w:t>
            </w:r>
          </w:p>
        </w:tc>
        <w:tc>
          <w:tcPr/>
          <w:p>
            <w:pPr>
              <w:pStyle w:val="Compact"/>
              <w:jc w:val="left"/>
            </w:pPr>
            <w:r>
              <w:t xml:space="preserve">تحديث لحظي بدل تقارير شهرية</w:t>
            </w:r>
          </w:p>
        </w:tc>
      </w:tr>
      <w:tr>
        <w:tc>
          <w:tcPr/>
          <w:p>
            <w:pPr>
              <w:pStyle w:val="Compact"/>
              <w:jc w:val="left"/>
            </w:pPr>
            <w:r>
              <w:t xml:space="preserve">FR-10 (بوت RAG)</w:t>
            </w:r>
          </w:p>
        </w:tc>
        <w:tc>
          <w:tcPr/>
          <w:p>
            <w:pPr>
              <w:pStyle w:val="Compact"/>
              <w:jc w:val="left"/>
            </w:pPr>
            <w:r>
              <w:t xml:space="preserve">تحسين تجربة العميل ودعمه</w:t>
            </w:r>
          </w:p>
        </w:tc>
        <w:tc>
          <w:tcPr/>
          <w:p>
            <w:pPr>
              <w:pStyle w:val="Compact"/>
              <w:jc w:val="left"/>
            </w:pPr>
            <w:r>
              <w:t xml:space="preserve">معدل الرد الصحيح / رضا العميل</w:t>
            </w:r>
          </w:p>
        </w:tc>
      </w:tr>
      <w:tr>
        <w:tc>
          <w:tcPr/>
          <w:p>
            <w:pPr>
              <w:pStyle w:val="Compact"/>
              <w:jc w:val="left"/>
            </w:pPr>
            <w:r>
              <w:t xml:space="preserve">FR-11 (Cross-sell)</w:t>
            </w:r>
          </w:p>
        </w:tc>
        <w:tc>
          <w:tcPr/>
          <w:p>
            <w:pPr>
              <w:pStyle w:val="Compact"/>
              <w:jc w:val="left"/>
            </w:pPr>
            <w:r>
              <w:t xml:space="preserve">زيادة قيمة الطلب الواحد</w:t>
            </w:r>
          </w:p>
        </w:tc>
        <w:tc>
          <w:tcPr/>
          <w:p>
            <w:pPr>
              <w:pStyle w:val="Compact"/>
              <w:jc w:val="left"/>
            </w:pPr>
            <w:r>
              <w:t xml:space="preserve">Cross-sell Attach Rate</w:t>
            </w:r>
          </w:p>
        </w:tc>
      </w:tr>
      <w:tr>
        <w:tc>
          <w:tcPr/>
          <w:p>
            <w:pPr>
              <w:pStyle w:val="Compact"/>
              <w:jc w:val="left"/>
            </w:pPr>
            <w:r>
              <w:t xml:space="preserve">FR-12 (تفسير SHAP)</w:t>
            </w:r>
          </w:p>
        </w:tc>
        <w:tc>
          <w:tcPr/>
          <w:p>
            <w:pPr>
              <w:pStyle w:val="Compact"/>
              <w:jc w:val="left"/>
            </w:pPr>
            <w:r>
              <w:t xml:space="preserve">شفافية القرار الآلي</w:t>
            </w:r>
          </w:p>
        </w:tc>
        <w:tc>
          <w:tcPr/>
          <w:p>
            <w:pPr>
              <w:pStyle w:val="Compact"/>
              <w:jc w:val="left"/>
            </w:pPr>
            <w:r>
              <w:t xml:space="preserve">نسبة القرارات المصحوبة بتفسير واضح</w:t>
            </w:r>
          </w:p>
        </w:tc>
      </w:tr>
      <w:tr>
        <w:tc>
          <w:tcPr/>
          <w:p>
            <w:pPr>
              <w:pStyle w:val="Compact"/>
              <w:jc w:val="left"/>
            </w:pPr>
            <w:r>
              <w:t xml:space="preserve">FR-13 (اختبار A/B)</w:t>
            </w:r>
          </w:p>
        </w:tc>
        <w:tc>
          <w:tcPr/>
          <w:p>
            <w:pPr>
              <w:pStyle w:val="Compact"/>
              <w:jc w:val="left"/>
            </w:pPr>
            <w:r>
              <w:t xml:space="preserve">تحسين فعالية الرسائل التسويقية</w:t>
            </w:r>
          </w:p>
        </w:tc>
        <w:tc>
          <w:tcPr/>
          <w:p>
            <w:pPr>
              <w:pStyle w:val="Compact"/>
              <w:jc w:val="left"/>
            </w:pPr>
            <w:r>
              <w:t xml:space="preserve">A/B Test Conversion Delta</w:t>
            </w:r>
          </w:p>
        </w:tc>
      </w:tr>
    </w:tbl>
    <w:p>
      <w:r>
        <w:pict>
          <v:rect style="width:0;height:1.5pt" o:hralign="center" o:hrstd="t" o:hr="t"/>
        </w:pict>
      </w:r>
    </w:p>
    <w:bookmarkEnd w:id="57"/>
    <w:bookmarkStart w:id="58" w:name="قاموس-المصطلحات-glossary"/>
    <w:p>
      <w:pPr>
        <w:pStyle w:val="Heading2"/>
      </w:pPr>
      <w:r>
        <w:t xml:space="preserve">15. قاموس المصطلحات (Glossary)</w:t>
      </w:r>
    </w:p>
    <w:tbl>
      <w:tblPr>
        <w:tblStyle w:val="Table"/>
        <w:bidiVisual/>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المصطلح</w:t>
            </w:r>
          </w:p>
        </w:tc>
        <w:tc>
          <w:tcPr/>
          <w:p>
            <w:pPr>
              <w:pStyle w:val="Compact"/>
              <w:jc w:val="left"/>
            </w:pPr>
            <w:r>
              <w:t xml:space="preserve">التعريف المبسّط</w:t>
            </w:r>
          </w:p>
        </w:tc>
      </w:tr>
      <w:tr>
        <w:tc>
          <w:tcPr/>
          <w:p>
            <w:pPr>
              <w:pStyle w:val="Compact"/>
              <w:jc w:val="left"/>
            </w:pPr>
            <w:r>
              <w:rPr>
                <w:bCs/>
                <w:b/>
              </w:rPr>
              <w:t xml:space="preserve">Tenant</w:t>
            </w:r>
          </w:p>
        </w:tc>
        <w:tc>
          <w:tcPr/>
          <w:p>
            <w:pPr>
              <w:pStyle w:val="Compact"/>
              <w:jc w:val="left"/>
            </w:pPr>
            <w:r>
              <w:t xml:space="preserve">متجر/عميل مستقل يستخدم المنصة، مع بيانات معزولة تمامًا عن باقي المتاجر</w:t>
            </w:r>
          </w:p>
        </w:tc>
      </w:tr>
      <w:tr>
        <w:tc>
          <w:tcPr/>
          <w:p>
            <w:pPr>
              <w:pStyle w:val="Compact"/>
              <w:jc w:val="left"/>
            </w:pPr>
            <w:r>
              <w:rPr>
                <w:bCs/>
                <w:b/>
              </w:rPr>
              <w:t xml:space="preserve">RAG (Retrieval-Augmented Generation)</w:t>
            </w:r>
          </w:p>
        </w:tc>
        <w:tc>
          <w:tcPr/>
          <w:p>
            <w:pPr>
              <w:pStyle w:val="Compact"/>
              <w:jc w:val="left"/>
            </w:pPr>
            <w:r>
              <w:t xml:space="preserve">أسلوب يجعل نموذج الذكاء الاصطناعي يجيب بالاعتماد على معرفة موثقة محددة بدل معرفته العامة فقط</w:t>
            </w:r>
          </w:p>
        </w:tc>
      </w:tr>
      <w:tr>
        <w:tc>
          <w:tcPr/>
          <w:p>
            <w:pPr>
              <w:pStyle w:val="Compact"/>
              <w:jc w:val="left"/>
            </w:pPr>
            <w:r>
              <w:rPr>
                <w:bCs/>
                <w:b/>
              </w:rPr>
              <w:t xml:space="preserve">SHAP</w:t>
            </w:r>
          </w:p>
        </w:tc>
        <w:tc>
          <w:tcPr/>
          <w:p>
            <w:pPr>
              <w:pStyle w:val="Compact"/>
              <w:jc w:val="left"/>
            </w:pPr>
            <w:r>
              <w:t xml:space="preserve">أداة تُظهر</w:t>
            </w:r>
            <w:r>
              <w:t xml:space="preserve"> </w:t>
            </w:r>
            <w:r>
              <w:t xml:space="preserve">“</w:t>
            </w:r>
            <w:r>
              <w:t xml:space="preserve">لماذا</w:t>
            </w:r>
            <w:r>
              <w:t xml:space="preserve">”</w:t>
            </w:r>
            <w:r>
              <w:t xml:space="preserve"> </w:t>
            </w:r>
            <w:r>
              <w:t xml:space="preserve">اتخذ النموذج قرارًا معينًا، بعرض تأثير كل عامل على النتيجة</w:t>
            </w:r>
          </w:p>
        </w:tc>
      </w:tr>
      <w:tr>
        <w:tc>
          <w:tcPr/>
          <w:p>
            <w:pPr>
              <w:pStyle w:val="Compact"/>
              <w:jc w:val="left"/>
            </w:pPr>
            <w:r>
              <w:rPr>
                <w:bCs/>
                <w:b/>
              </w:rPr>
              <w:t xml:space="preserve">MAE (Mean Absolute Error)</w:t>
            </w:r>
          </w:p>
        </w:tc>
        <w:tc>
          <w:tcPr/>
          <w:p>
            <w:pPr>
              <w:pStyle w:val="Compact"/>
              <w:jc w:val="left"/>
            </w:pPr>
            <w:r>
              <w:t xml:space="preserve">متوسط مقدار الخطأ في تنبؤات النموذج، مقاسًا بنفس وحدة القيمة المتوقَّعة (هنا: بالأيام)</w:t>
            </w:r>
          </w:p>
        </w:tc>
      </w:tr>
      <w:tr>
        <w:tc>
          <w:tcPr/>
          <w:p>
            <w:pPr>
              <w:pStyle w:val="Compact"/>
              <w:jc w:val="left"/>
            </w:pPr>
            <w:r>
              <w:rPr>
                <w:bCs/>
                <w:b/>
              </w:rPr>
              <w:t xml:space="preserve">Confidence Score</w:t>
            </w:r>
          </w:p>
        </w:tc>
        <w:tc>
          <w:tcPr/>
          <w:p>
            <w:pPr>
              <w:pStyle w:val="Compact"/>
              <w:jc w:val="left"/>
            </w:pPr>
            <w:r>
              <w:t xml:space="preserve">درجة رقمية (0 إلى 1) تعبّر عن مدى ثقة النموذج في تنبؤه</w:t>
            </w:r>
          </w:p>
        </w:tc>
      </w:tr>
      <w:tr>
        <w:tc>
          <w:tcPr/>
          <w:p>
            <w:pPr>
              <w:pStyle w:val="Compact"/>
              <w:jc w:val="left"/>
            </w:pPr>
            <w:r>
              <w:rPr>
                <w:bCs/>
                <w:b/>
              </w:rPr>
              <w:t xml:space="preserve">Modular Monolith</w:t>
            </w:r>
          </w:p>
        </w:tc>
        <w:tc>
          <w:tcPr/>
          <w:p>
            <w:pPr>
              <w:pStyle w:val="Compact"/>
              <w:jc w:val="left"/>
            </w:pPr>
            <w:r>
              <w:t xml:space="preserve">تطبيق واحد مقسّم داخليًا لوحدات مستقلة الحدود، بدل تطبيق واحد غير منظّم أو خدمات منفصلة معقّدة</w:t>
            </w:r>
          </w:p>
        </w:tc>
      </w:tr>
      <w:tr>
        <w:tc>
          <w:tcPr/>
          <w:p>
            <w:pPr>
              <w:pStyle w:val="Compact"/>
              <w:jc w:val="left"/>
            </w:pPr>
            <w:r>
              <w:rPr>
                <w:bCs/>
                <w:b/>
              </w:rPr>
              <w:t xml:space="preserve">Vector DB</w:t>
            </w:r>
          </w:p>
        </w:tc>
        <w:tc>
          <w:tcPr/>
          <w:p>
            <w:pPr>
              <w:pStyle w:val="Compact"/>
              <w:jc w:val="left"/>
            </w:pPr>
            <w:r>
              <w:t xml:space="preserve">قاعدة بيانات مخصصة لتخزين النصوص كمتجهات رقمية، تُستخدم للبحث بالمعنى بدل الكلمة الحرفية</w:t>
            </w:r>
          </w:p>
        </w:tc>
      </w:tr>
      <w:tr>
        <w:tc>
          <w:tcPr/>
          <w:p>
            <w:pPr>
              <w:pStyle w:val="Compact"/>
              <w:jc w:val="left"/>
            </w:pPr>
            <w:r>
              <w:rPr>
                <w:bCs/>
                <w:b/>
              </w:rPr>
              <w:t xml:space="preserve">Cross-sell</w:t>
            </w:r>
          </w:p>
        </w:tc>
        <w:tc>
          <w:tcPr/>
          <w:p>
            <w:pPr>
              <w:pStyle w:val="Compact"/>
              <w:jc w:val="left"/>
            </w:pPr>
            <w:r>
              <w:t xml:space="preserve">اقتراح منتج إضافي مرتبط بما اشتراه العميل بالفعل</w:t>
            </w:r>
          </w:p>
        </w:tc>
      </w:tr>
      <w:tr>
        <w:tc>
          <w:tcPr/>
          <w:p>
            <w:pPr>
              <w:pStyle w:val="Compact"/>
              <w:jc w:val="left"/>
            </w:pPr>
            <w:r>
              <w:rPr>
                <w:bCs/>
                <w:b/>
              </w:rPr>
              <w:t xml:space="preserve">Cold-Start Problem</w:t>
            </w:r>
          </w:p>
        </w:tc>
        <w:tc>
          <w:tcPr/>
          <w:p>
            <w:pPr>
              <w:pStyle w:val="Compact"/>
              <w:jc w:val="left"/>
            </w:pPr>
            <w:r>
              <w:t xml:space="preserve">صعوبة التنبؤ بسلوك عميل جديد لعدم وجود تاريخ شراء كافٍ له</w:t>
            </w:r>
          </w:p>
        </w:tc>
      </w:tr>
    </w:tbl>
    <w:p>
      <w:r>
        <w:pict>
          <v:rect style="width:0;height:1.5pt" o:hralign="center" o:hrstd="t" o:hr="t"/>
        </w:pict>
      </w:r>
    </w:p>
    <w:bookmarkEnd w:id="58"/>
    <w:bookmarkStart w:id="59" w:name="الوثائق-المرجعية-المرتبطة"/>
    <w:p>
      <w:pPr>
        <w:pStyle w:val="Heading2"/>
      </w:pPr>
      <w:r>
        <w:t xml:space="preserve">16. الوثائق المرجعية المرتبطة</w:t>
      </w:r>
    </w:p>
    <w:p>
      <w:pPr>
        <w:pStyle w:val="FirstParagraph"/>
      </w:pPr>
      <w:r>
        <w:t xml:space="preserve">هذا الـ PRD يُكمّل ولا يُكرّر المستندات التالية، ويجب قراءتها معًا:</w:t>
      </w:r>
      <w:r>
        <w:t xml:space="preserve"> </w:t>
      </w:r>
      <w:r>
        <w:t xml:space="preserve">1.</w:t>
      </w:r>
      <w:r>
        <w:t xml:space="preserve"> </w:t>
      </w:r>
      <w:r>
        <w:rPr>
          <w:bCs/>
          <w:b/>
        </w:rPr>
        <w:t xml:space="preserve">مستند AI-COS الأصلي (Phase 1)</w:t>
      </w:r>
      <w:r>
        <w:t xml:space="preserve"> </w:t>
      </w:r>
      <w:r>
        <w:t xml:space="preserve">— Business Vision, Domains, Stakeholders, Roles.</w:t>
      </w:r>
      <w:r>
        <w:t xml:space="preserve"> </w:t>
      </w:r>
      <w:r>
        <w:t xml:space="preserve">2.</w:t>
      </w:r>
      <w:r>
        <w:t xml:space="preserve"> </w:t>
      </w:r>
      <w:r>
        <w:rPr>
          <w:bCs/>
          <w:b/>
        </w:rPr>
        <w:t xml:space="preserve">AI-COS_Pharmacy_Use_Case.md</w:t>
      </w:r>
      <w:r>
        <w:t xml:space="preserve"> </w:t>
      </w:r>
      <w:r>
        <w:t xml:space="preserve">— التفصيل الكامل لسيناريو التشغيل، نموذج البيانات، الـ KPIs، الـ Workflows، دراسة الجدوى، والـ ROI.</w:t>
      </w:r>
      <w:r>
        <w:t xml:space="preserve"> </w:t>
      </w:r>
      <w:r>
        <w:t xml:space="preserve">3.</w:t>
      </w:r>
      <w:r>
        <w:t xml:space="preserve"> </w:t>
      </w:r>
      <w:r>
        <w:rPr>
          <w:bCs/>
          <w:b/>
        </w:rPr>
        <w:t xml:space="preserve">ERD (pharmacy_erd)</w:t>
      </w:r>
      <w:r>
        <w:t xml:space="preserve"> </w:t>
      </w:r>
      <w:r>
        <w:t xml:space="preserve">— المخطط البصري لنموذج البيانات المعتمد.</w:t>
      </w:r>
      <w:r>
        <w:t xml:space="preserve"> </w:t>
      </w:r>
      <w:r>
        <w:t xml:space="preserve">4.</w:t>
      </w:r>
      <w:r>
        <w:t xml:space="preserve"> </w:t>
      </w:r>
      <w:r>
        <w:rPr>
          <w:bCs/>
          <w:b/>
        </w:rPr>
        <w:t xml:space="preserve">SAD_AI-COS_Pharmacy.md</w:t>
      </w:r>
      <w:r>
        <w:t xml:space="preserve"> </w:t>
      </w:r>
      <w:r>
        <w:t xml:space="preserve">— القرار المعماري النهائي: Tech Stack، تنظيم الـ Domains، عقد التكامل بين النموذج ومحرك القرار، استراتيجية Git وSecrets.</w:t>
      </w:r>
    </w:p>
    <w:p>
      <w:pPr>
        <w:pStyle w:val="BlockText"/>
      </w:pPr>
      <w:r>
        <w:t xml:space="preserve">الحالة الحالية: كل من PRD وSAD معتمدان. الخطوة التالية وفق خارطة الطريق (بند 13): بدء Phase 3 (البنية التحتية والبيانات) بالتوازي.</w:t>
      </w:r>
    </w:p>
    <w:bookmarkEnd w:id="59"/>
    <w:bookmarkEnd w:id="60"/>
    <w:sectPr>
      <w:bidi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bidi w:val="1"/>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AI-COS Pharmacy PRD</dc:title>
  <dc:creator/>
  <cp:keywords/>
  <dcterms:created xsi:type="dcterms:W3CDTF">2026-08-01T22:48:40Z</dcterms:created>
  <dcterms:modified xsi:type="dcterms:W3CDTF">2026-08-01T22:48:40Z</dcterms:modified>
</cp:coreProperties>
</file>

<file path=docProps/custom.xml><?xml version="1.0" encoding="utf-8"?>
<Properties xmlns="http://schemas.openxmlformats.org/officeDocument/2006/custom-properties" xmlns:vt="http://schemas.openxmlformats.org/officeDocument/2006/docPropsVTypes"/>
</file>