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0" w:before="700" w:line="460" w:lineRule="atLeast"/>
        <w:jc w:val="center"/>
      </w:pPr>
      <w:r>
        <w:rPr>
          <w:rFonts w:ascii="Times New Roman" w:cs="Simplified Arabic" w:hAnsi="Times New Roman"/>
          <w:b/>
          <w:bCs/>
          <w:color w:val="000000"/>
          <w:sz w:val="40"/>
          <w:szCs w:val="46"/>
          <w:rtl/>
        </w:rPr>
        <w:t xml:space="preserve">جامعة بورسعيد</w:t>
      </w:r>
    </w:p>
    <w:p>
      <w:pPr>
        <w:bidi/>
        <w:spacing w:after="60" w:before="0" w:line="345" w:lineRule="atLeast"/>
        <w:jc w:val="center"/>
      </w:pPr>
      <w:r>
        <w:rPr>
          <w:rFonts w:ascii="Times New Roman" w:cs="Simplified Arabic" w:hAnsi="Times New Roman"/>
          <w:b w:val="false"/>
          <w:bCs w:val="false"/>
          <w:color w:val="000000"/>
          <w:sz w:val="30"/>
          <w:szCs w:val="35"/>
          <w:rtl/>
        </w:rPr>
        <w:t xml:space="preserve">كلية تكنولوجيا الإدارة ونظم المعلومات</w:t>
      </w:r>
    </w:p>
    <w:p>
      <w:pPr>
        <w:bidi/>
        <w:spacing w:after="900" w:before="0" w:line="276" w:lineRule="atLeast"/>
        <w:jc w:val="center"/>
      </w:pPr>
      <w:r>
        <w:rPr>
          <w:rFonts w:ascii="Times New Roman" w:cs="Simplified Arabic" w:hAnsi="Times New Roman"/>
          <w:b w:val="false"/>
          <w:bCs w:val="false"/>
          <w:color w:val="444444"/>
          <w:sz w:val="24"/>
          <w:szCs w:val="28"/>
          <w:rtl/>
        </w:rPr>
        <w:t xml:space="preserve">قسم نظم معلومات الأعمال (Business Information Systems)</w:t>
      </w:r>
    </w:p>
    <w:p>
      <w:pPr>
        <w:spacing w:after="200" w:before="0" w:line="299" w:lineRule="atLeast"/>
        <w:jc w:val="center"/>
      </w:pPr>
      <w:r>
        <w:rPr>
          <w:rFonts w:ascii="Times New Roman" w:eastAsia="Times New Roman" w:hAnsi="Times New Roman"/>
          <w:b/>
          <w:bCs/>
          <w:i w:val="false"/>
          <w:iCs w:val="false"/>
          <w:color w:val="1F3A5F"/>
          <w:sz w:val="26"/>
          <w:szCs w:val="26"/>
        </w:rPr>
        <w:t xml:space="preserve">System Analysis Document</w:t>
      </w:r>
    </w:p>
    <w:p>
      <w:pPr>
        <w:bidi/>
        <w:spacing w:after="700" w:before="0" w:line="345" w:lineRule="atLeast"/>
        <w:jc w:val="center"/>
      </w:pPr>
      <w:r>
        <w:rPr>
          <w:rFonts w:ascii="Times New Roman" w:cs="Simplified Arabic" w:hAnsi="Times New Roman"/>
          <w:b w:val="false"/>
          <w:bCs w:val="false"/>
          <w:color w:val="000000"/>
          <w:sz w:val="30"/>
          <w:szCs w:val="35"/>
          <w:rtl/>
        </w:rPr>
        <w:t xml:space="preserve">وثيقة تحليل النظام</w:t>
      </w:r>
    </w:p>
    <w:p>
      <w:pPr>
        <w:bidi/>
        <w:spacing w:after="160" w:before="0" w:line="598" w:lineRule="atLeast"/>
        <w:jc w:val="center"/>
      </w:pPr>
      <w:r>
        <w:rPr>
          <w:rFonts w:ascii="Times New Roman" w:cs="Simplified Arabic" w:hAnsi="Times New Roman"/>
          <w:b/>
          <w:bCs/>
          <w:color w:val="000000"/>
          <w:sz w:val="52"/>
          <w:szCs w:val="60"/>
          <w:rtl/>
        </w:rPr>
        <w:t xml:space="preserve">AI-COS</w:t>
      </w:r>
    </w:p>
    <w:p>
      <w:pPr>
        <w:bidi/>
        <w:spacing w:after="240" w:before="0" w:line="345" w:lineRule="atLeast"/>
        <w:jc w:val="center"/>
      </w:pPr>
      <w:r>
        <w:rPr>
          <w:rFonts w:ascii="Times New Roman" w:cs="Simplified Arabic" w:hAnsi="Times New Roman"/>
          <w:b w:val="false"/>
          <w:bCs w:val="false"/>
          <w:color w:val="1F3A5F"/>
          <w:sz w:val="30"/>
          <w:szCs w:val="35"/>
          <w:rtl/>
        </w:rPr>
        <w:t xml:space="preserve">Agentic Business Operating System</w:t>
      </w:r>
    </w:p>
    <w:p>
      <w:pPr>
        <w:bidi/>
        <w:spacing w:after="160" w:before="0" w:line="299" w:lineRule="atLeast"/>
        <w:jc w:val="center"/>
      </w:pPr>
      <w:r>
        <w:rPr>
          <w:rFonts w:ascii="Times New Roman" w:cs="Simplified Arabic" w:hAnsi="Times New Roman"/>
          <w:b w:val="false"/>
          <w:bCs w:val="false"/>
          <w:color w:val="000000"/>
          <w:sz w:val="26"/>
          <w:szCs w:val="30"/>
          <w:rtl/>
        </w:rPr>
        <w:t xml:space="preserve">نظام تشغيل الأعمال الوكيل — منصة SaaS متعددة المستأجرين</w:t>
      </w:r>
    </w:p>
    <w:p>
      <w:pPr>
        <w:bidi/>
        <w:spacing w:after="900" w:before="0" w:line="276" w:lineRule="atLeast"/>
        <w:jc w:val="center"/>
      </w:pPr>
      <w:r>
        <w:rPr>
          <w:rFonts w:ascii="Times New Roman" w:cs="Simplified Arabic" w:hAnsi="Times New Roman"/>
          <w:b w:val="false"/>
          <w:bCs w:val="false"/>
          <w:color w:val="444444"/>
          <w:sz w:val="24"/>
          <w:szCs w:val="28"/>
          <w:rtl/>
        </w:rPr>
        <w:t xml:space="preserve">حزم الأعمال العمودية: Pharmacy • Coffee • Apparel</w:t>
      </w:r>
    </w:p>
    <w:tbl>
      <w:tblPr>
        <w:tblW w:type="pct" w:w="78%"/>
        <w:jc w:val="center"/>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cantSplit/>
        </w:trPr>
        <w:tc>
          <w:tcPr>
            <w:tcW w:type="pct" w:w="26%"/>
            <w:tcBorders>
              <w:top w:val="none" w:color="FFFFFF" w:sz="0"/>
              <w:left w:val="none" w:color="FFFFFF" w:sz="0"/>
              <w:bottom w:val="single" w:color="555555" w:sz="2"/>
              <w:right w:val="none" w:color="FFFFFF" w:sz="0"/>
            </w:tcBorders>
            <w:tcMar>
              <w:top w:type="dxa" w:w="70"/>
              <w:left w:type="dxa" w:w="90"/>
              <w:bottom w:type="dxa" w:w="70"/>
              <w:right w:type="dxa" w:w="90"/>
            </w:tcMar>
          </w:tcPr>
          <w:p>
            <w:pPr>
              <w:bidi/>
              <w:jc w:val="right"/>
            </w:pPr>
            <w:r>
              <w:rPr>
                <w:rFonts w:ascii="Times New Roman" w:cs="Simplified Arabic" w:hAnsi="Times New Roman"/>
                <w:b/>
                <w:bCs/>
                <w:sz w:val="26"/>
                <w:szCs w:val="28"/>
                <w:rtl/>
              </w:rPr>
              <w:t xml:space="preserve">إعداد المهندس:</w:t>
            </w:r>
          </w:p>
        </w:tc>
        <w:tc>
          <w:tcPr>
            <w:tcW w:type="pct" w:w="74%"/>
            <w:tcBorders>
              <w:top w:val="none" w:color="FFFFFF" w:sz="0"/>
              <w:left w:val="none" w:color="FFFFFF" w:sz="0"/>
              <w:bottom w:val="single" w:color="555555" w:sz="2"/>
              <w:right w:val="none" w:color="FFFFFF" w:sz="0"/>
            </w:tcBorders>
            <w:tcMar>
              <w:top w:type="dxa" w:w="70"/>
              <w:left w:type="dxa" w:w="90"/>
              <w:bottom w:type="dxa" w:w="70"/>
              <w:right w:type="dxa" w:w="90"/>
            </w:tcMar>
          </w:tcPr>
          <w:p>
            <w:pPr>
              <w:bidi/>
              <w:jc w:val="right"/>
            </w:pPr>
            <w:r>
              <w:rPr>
                <w:rFonts w:ascii="Times New Roman" w:cs="Traditional Arabic" w:hAnsi="Times New Roman"/>
                <w:sz w:val="24"/>
                <w:szCs w:val="26"/>
                <w:rtl/>
              </w:rPr>
              <w:t xml:space="preserve">محمد ياسر سعد نقودي — AI Lead &amp; Engineer</w:t>
            </w:r>
          </w:p>
        </w:tc>
      </w:tr>
      <w:tr>
        <w:trPr>
          <w:cantSplit/>
        </w:trPr>
        <w:tc>
          <w:tcPr>
            <w:tcW w:type="pct" w:w="26%"/>
            <w:tcBorders>
              <w:top w:val="none" w:color="FFFFFF" w:sz="0"/>
              <w:left w:val="none" w:color="FFFFFF" w:sz="0"/>
              <w:bottom w:val="single" w:color="555555" w:sz="2"/>
              <w:right w:val="none" w:color="FFFFFF" w:sz="0"/>
            </w:tcBorders>
            <w:tcMar>
              <w:top w:type="dxa" w:w="70"/>
              <w:left w:type="dxa" w:w="90"/>
              <w:bottom w:type="dxa" w:w="70"/>
              <w:right w:type="dxa" w:w="90"/>
            </w:tcMar>
          </w:tcPr>
          <w:p>
            <w:pPr>
              <w:bidi/>
              <w:jc w:val="right"/>
            </w:pPr>
            <w:r>
              <w:rPr>
                <w:rFonts w:ascii="Times New Roman" w:cs="Simplified Arabic" w:hAnsi="Times New Roman"/>
                <w:b/>
                <w:bCs/>
                <w:sz w:val="26"/>
                <w:szCs w:val="28"/>
                <w:rtl/>
              </w:rPr>
              <w:t xml:space="preserve">فريق العمل:</w:t>
            </w:r>
          </w:p>
        </w:tc>
        <w:tc>
          <w:tcPr>
            <w:tcW w:type="pct" w:w="74%"/>
            <w:tcBorders>
              <w:top w:val="none" w:color="FFFFFF" w:sz="0"/>
              <w:left w:val="none" w:color="FFFFFF" w:sz="0"/>
              <w:bottom w:val="single" w:color="555555" w:sz="2"/>
              <w:right w:val="none" w:color="FFFFFF" w:sz="0"/>
            </w:tcBorders>
            <w:tcMar>
              <w:top w:type="dxa" w:w="70"/>
              <w:left w:type="dxa" w:w="90"/>
              <w:bottom w:type="dxa" w:w="70"/>
              <w:right w:type="dxa" w:w="90"/>
            </w:tcMar>
          </w:tcPr>
          <w:p>
            <w:pPr>
              <w:bidi/>
              <w:jc w:val="right"/>
            </w:pPr>
            <w:r>
              <w:rPr>
                <w:rFonts w:ascii="Times New Roman" w:cs="Traditional Arabic" w:hAnsi="Times New Roman"/>
                <w:sz w:val="24"/>
                <w:szCs w:val="26"/>
                <w:rtl/>
              </w:rPr>
              <w:t xml:space="preserve">سهيله شريف • يوسف نوفل • زياد محمد جودة • محمود طنطاوي • حسن حسين مخلص • مصطفى هاشم</w:t>
            </w:r>
          </w:p>
        </w:tc>
      </w:tr>
      <w:tr>
        <w:trPr>
          <w:cantSplit/>
        </w:trPr>
        <w:tc>
          <w:tcPr>
            <w:tcW w:type="pct" w:w="26%"/>
            <w:tcBorders>
              <w:top w:val="none" w:color="FFFFFF" w:sz="0"/>
              <w:left w:val="none" w:color="FFFFFF" w:sz="0"/>
              <w:bottom w:val="single" w:color="555555" w:sz="2"/>
              <w:right w:val="none" w:color="FFFFFF" w:sz="0"/>
            </w:tcBorders>
            <w:tcMar>
              <w:top w:type="dxa" w:w="70"/>
              <w:left w:type="dxa" w:w="90"/>
              <w:bottom w:type="dxa" w:w="70"/>
              <w:right w:type="dxa" w:w="90"/>
            </w:tcMar>
          </w:tcPr>
          <w:p>
            <w:pPr>
              <w:bidi/>
              <w:jc w:val="right"/>
            </w:pPr>
            <w:r>
              <w:rPr>
                <w:rFonts w:ascii="Times New Roman" w:cs="Simplified Arabic" w:hAnsi="Times New Roman"/>
                <w:b/>
                <w:bCs/>
                <w:sz w:val="26"/>
                <w:szCs w:val="28"/>
                <w:rtl/>
              </w:rPr>
              <w:t xml:space="preserve">تحت إشراف:</w:t>
            </w:r>
          </w:p>
        </w:tc>
        <w:tc>
          <w:tcPr>
            <w:tcW w:type="pct" w:w="74%"/>
            <w:tcBorders>
              <w:top w:val="none" w:color="FFFFFF" w:sz="0"/>
              <w:left w:val="none" w:color="FFFFFF" w:sz="0"/>
              <w:bottom w:val="single" w:color="555555" w:sz="2"/>
              <w:right w:val="none" w:color="FFFFFF" w:sz="0"/>
            </w:tcBorders>
            <w:tcMar>
              <w:top w:type="dxa" w:w="70"/>
              <w:left w:type="dxa" w:w="90"/>
              <w:bottom w:type="dxa" w:w="70"/>
              <w:right w:type="dxa" w:w="90"/>
            </w:tcMar>
          </w:tcPr>
          <w:p>
            <w:pPr>
              <w:bidi/>
              <w:jc w:val="right"/>
            </w:pPr>
            <w:r>
              <w:rPr>
                <w:rFonts w:ascii="Times New Roman" w:cs="Traditional Arabic" w:hAnsi="Times New Roman"/>
                <w:sz w:val="24"/>
                <w:szCs w:val="26"/>
                <w:rtl/>
              </w:rPr>
              <w:t xml:space="preserve">الدكتورة / نسمة حسن</w:t>
            </w:r>
          </w:p>
        </w:tc>
      </w:tr>
      <w:tr>
        <w:trPr>
          <w:cantSplit/>
        </w:trPr>
        <w:tc>
          <w:tcPr>
            <w:tcW w:type="pct" w:w="26%"/>
            <w:tcBorders>
              <w:top w:val="none" w:color="FFFFFF" w:sz="0"/>
              <w:left w:val="none" w:color="FFFFFF" w:sz="0"/>
              <w:bottom w:val="single" w:color="555555" w:sz="2"/>
              <w:right w:val="none" w:color="FFFFFF" w:sz="0"/>
            </w:tcBorders>
            <w:tcMar>
              <w:top w:type="dxa" w:w="70"/>
              <w:left w:type="dxa" w:w="90"/>
              <w:bottom w:type="dxa" w:w="70"/>
              <w:right w:type="dxa" w:w="90"/>
            </w:tcMar>
          </w:tcPr>
          <w:p>
            <w:pPr>
              <w:bidi/>
              <w:jc w:val="right"/>
            </w:pPr>
            <w:r>
              <w:rPr>
                <w:rFonts w:ascii="Times New Roman" w:cs="Simplified Arabic" w:hAnsi="Times New Roman"/>
                <w:b/>
                <w:bCs/>
                <w:sz w:val="26"/>
                <w:szCs w:val="28"/>
                <w:rtl/>
              </w:rPr>
              <w:t xml:space="preserve">القسم:</w:t>
            </w:r>
          </w:p>
        </w:tc>
        <w:tc>
          <w:tcPr>
            <w:tcW w:type="pct" w:w="74%"/>
            <w:tcBorders>
              <w:top w:val="none" w:color="FFFFFF" w:sz="0"/>
              <w:left w:val="none" w:color="FFFFFF" w:sz="0"/>
              <w:bottom w:val="single" w:color="555555" w:sz="2"/>
              <w:right w:val="none" w:color="FFFFFF" w:sz="0"/>
            </w:tcBorders>
            <w:tcMar>
              <w:top w:type="dxa" w:w="70"/>
              <w:left w:type="dxa" w:w="90"/>
              <w:bottom w:type="dxa" w:w="70"/>
              <w:right w:type="dxa" w:w="90"/>
            </w:tcMar>
          </w:tcPr>
          <w:p>
            <w:pPr>
              <w:bidi/>
              <w:jc w:val="right"/>
            </w:pPr>
            <w:r>
              <w:rPr>
                <w:rFonts w:ascii="Times New Roman" w:cs="Traditional Arabic" w:hAnsi="Times New Roman"/>
                <w:sz w:val="24"/>
                <w:szCs w:val="26"/>
                <w:rtl/>
              </w:rPr>
              <w:t xml:space="preserve">نظم معلومات الأعمال (Business Information Systems)</w:t>
            </w:r>
          </w:p>
        </w:tc>
      </w:tr>
      <w:tr>
        <w:trPr>
          <w:cantSplit/>
        </w:trPr>
        <w:tc>
          <w:tcPr>
            <w:tcW w:type="pct" w:w="26%"/>
            <w:tcBorders>
              <w:top w:val="none" w:color="FFFFFF" w:sz="0"/>
              <w:left w:val="none" w:color="FFFFFF" w:sz="0"/>
              <w:bottom w:val="single" w:color="555555" w:sz="2"/>
              <w:right w:val="none" w:color="FFFFFF" w:sz="0"/>
            </w:tcBorders>
            <w:tcMar>
              <w:top w:type="dxa" w:w="70"/>
              <w:left w:type="dxa" w:w="90"/>
              <w:bottom w:type="dxa" w:w="70"/>
              <w:right w:type="dxa" w:w="90"/>
            </w:tcMar>
          </w:tcPr>
          <w:p>
            <w:pPr>
              <w:bidi/>
              <w:jc w:val="right"/>
            </w:pPr>
            <w:r>
              <w:rPr>
                <w:rFonts w:ascii="Times New Roman" w:cs="Simplified Arabic" w:hAnsi="Times New Roman"/>
                <w:b/>
                <w:bCs/>
                <w:sz w:val="26"/>
                <w:szCs w:val="28"/>
                <w:rtl/>
              </w:rPr>
              <w:t xml:space="preserve">العام الجامعي:</w:t>
            </w:r>
          </w:p>
        </w:tc>
        <w:tc>
          <w:tcPr>
            <w:tcW w:type="pct" w:w="74%"/>
            <w:tcBorders>
              <w:top w:val="none" w:color="FFFFFF" w:sz="0"/>
              <w:left w:val="none" w:color="FFFFFF" w:sz="0"/>
              <w:bottom w:val="single" w:color="555555" w:sz="2"/>
              <w:right w:val="none" w:color="FFFFFF" w:sz="0"/>
            </w:tcBorders>
            <w:tcMar>
              <w:top w:type="dxa" w:w="70"/>
              <w:left w:type="dxa" w:w="90"/>
              <w:bottom w:type="dxa" w:w="70"/>
              <w:right w:type="dxa" w:w="90"/>
            </w:tcMar>
          </w:tcPr>
          <w:p>
            <w:pPr>
              <w:bidi/>
              <w:jc w:val="right"/>
            </w:pPr>
            <w:r>
              <w:rPr>
                <w:rFonts w:ascii="Times New Roman" w:cs="Traditional Arabic" w:hAnsi="Times New Roman"/>
                <w:sz w:val="24"/>
                <w:szCs w:val="26"/>
                <w:rtl/>
              </w:rPr>
              <w:t xml:space="preserve">2026 / 2027</w:t>
            </w:r>
          </w:p>
        </w:tc>
      </w:tr>
    </w:tbl>
    <w:p>
      <w:pPr>
        <w:bidi/>
        <w:spacing w:after="0" w:before="800" w:line="299" w:lineRule="atLeast"/>
        <w:jc w:val="center"/>
      </w:pPr>
      <w:r>
        <w:rPr>
          <w:rFonts w:ascii="Times New Roman" w:cs="Simplified Arabic" w:hAnsi="Times New Roman"/>
          <w:b w:val="false"/>
          <w:bCs w:val="false"/>
          <w:color w:val="444444"/>
          <w:sz w:val="26"/>
          <w:szCs w:val="30"/>
          <w:rtl/>
        </w:rPr>
        <w:t xml:space="preserve">سبتمبر 2026</w:t>
      </w:r>
    </w:p>
    <w:p>
      <w:r>
        <w:rPr>
          <w:sz w:val="2"/>
          <w:szCs w:val="2"/>
        </w:rPr>
        <w:t xml:space="preserve"> </w:t>
      </w:r>
    </w:p>
    <w:p>
      <w:pPr>
        <w:sectPr>
          <w:pgSz w:w="11906" w:h="16838" w:orient="portrait"/>
          <w:pgMar w:top="1360" w:right="1500" w:bottom="1360" w:left="1500" w:header="708" w:footer="708" w:gutter="0"/>
          <w:docGrid w:linePitch="360"/>
        </w:sectPr>
      </w:pPr>
    </w:p>
    <w:p>
      <w:pPr>
        <w:bidi/>
        <w:spacing w:after="300" w:before="300"/>
        <w:jc w:val="center"/>
      </w:pPr>
      <w:r>
        <w:rPr>
          <w:rFonts w:ascii="Times New Roman" w:cs="Simplified Arabic" w:hAnsi="Times New Roman"/>
          <w:b/>
          <w:bCs/>
          <w:sz w:val="34"/>
          <w:szCs w:val="38"/>
          <w:rtl/>
        </w:rPr>
        <w:t xml:space="preserve">قائمة المحتويات</w:t>
      </w:r>
    </w:p>
    <w:p>
      <w:pPr>
        <w:jc w:val="center"/>
      </w:pPr>
      <w:r>
        <w:rPr>
          <w:rFonts w:ascii="Times New Roman" w:eastAsia="Times New Roman" w:hAnsi="Times New Roman"/>
          <w:color w:val="555555"/>
          <w:sz w:val="24"/>
          <w:szCs w:val="24"/>
        </w:rPr>
        <w:t xml:space="preserve">Table of Contents</w:t>
      </w:r>
    </w:p>
    <w:p>
      <w:pPr>
        <w:spacing w:after="150"/>
      </w:pP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3. المقدمة (Introduction)</w:t>
            </w:r>
            <w:r>
              <w:tab/>
            </w:r>
            <w:r>
              <w:fldChar w:fldCharType="begin"/>
            </w:r>
            <w:r>
              <w:instrText xml:space="preserve"> PAGEREF _Toc100000 \h </w:instrText>
            </w:r>
            <w:r>
              <w:fldChar w:fldCharType="separate"/>
            </w:r>
            <w:r>
              <w:t>3</w:t>
            </w:r>
            <w:r>
              <w:fldChar w:fldCharType="end"/>
            </w:r>
          </w:hyperlink>
        </w:p>
        <w:p>
          <w:pPr>
            <w:pStyle w:val="9"/>
            <w:tabs>
              <w:tab w:val="right" w:leader="dot" w:pos="9026"/>
            </w:tabs>
            <w:spacing w:before="120" w:after="60"/>
          </w:pPr>
          <w:hyperlink w:anchor="_Toc100001" w:history="1">
            <w:r>
              <w:rPr>
                <w:rStyle w:val="Hyperlink"/>
              </w:rPr>
              <w:t>4. نظرة عامة على النظام (System Overview)</w:t>
            </w:r>
            <w:r>
              <w:tab/>
            </w:r>
            <w:r>
              <w:fldChar w:fldCharType="begin"/>
            </w:r>
            <w:r>
              <w:instrText xml:space="preserve"> PAGEREF _Toc100001 \h </w:instrText>
            </w:r>
            <w:r>
              <w:fldChar w:fldCharType="separate"/>
            </w:r>
            <w:r>
              <w:t>3</w:t>
            </w:r>
            <w:r>
              <w:fldChar w:fldCharType="end"/>
            </w:r>
          </w:hyperlink>
        </w:p>
        <w:p>
          <w:pPr>
            <w:pStyle w:val="9"/>
            <w:tabs>
              <w:tab w:val="right" w:leader="dot" w:pos="9026"/>
            </w:tabs>
            <w:spacing w:before="120" w:after="60"/>
          </w:pPr>
          <w:hyperlink w:anchor="_Toc100002" w:history="1">
            <w:r>
              <w:rPr>
                <w:rStyle w:val="Hyperlink"/>
              </w:rPr>
              <w:t>5. الخلفية (Background)</w:t>
            </w:r>
            <w:r>
              <w:tab/>
            </w:r>
            <w:r>
              <w:fldChar w:fldCharType="begin"/>
            </w:r>
            <w:r>
              <w:instrText xml:space="preserve"> PAGEREF _Toc100002 \h </w:instrText>
            </w:r>
            <w:r>
              <w:fldChar w:fldCharType="separate"/>
            </w:r>
            <w:r>
              <w:t>4</w:t>
            </w:r>
            <w:r>
              <w:fldChar w:fldCharType="end"/>
            </w:r>
          </w:hyperlink>
        </w:p>
        <w:p>
          <w:pPr>
            <w:pStyle w:val="9"/>
            <w:tabs>
              <w:tab w:val="right" w:leader="dot" w:pos="9026"/>
            </w:tabs>
            <w:spacing w:before="120" w:after="60"/>
          </w:pPr>
          <w:hyperlink w:anchor="_Toc100003" w:history="1">
            <w:r>
              <w:rPr>
                <w:rStyle w:val="Hyperlink"/>
              </w:rPr>
              <w:t>6. مشكلة البحث (Problem Statement)</w:t>
            </w:r>
            <w:r>
              <w:tab/>
            </w:r>
            <w:r>
              <w:fldChar w:fldCharType="begin"/>
            </w:r>
            <w:r>
              <w:instrText xml:space="preserve"> PAGEREF _Toc100003 \h </w:instrText>
            </w:r>
            <w:r>
              <w:fldChar w:fldCharType="separate"/>
            </w:r>
            <w:r>
              <w:t>4</w:t>
            </w:r>
            <w:r>
              <w:fldChar w:fldCharType="end"/>
            </w:r>
          </w:hyperlink>
        </w:p>
        <w:p>
          <w:pPr>
            <w:pStyle w:val="9"/>
            <w:tabs>
              <w:tab w:val="right" w:leader="dot" w:pos="9026"/>
            </w:tabs>
            <w:spacing w:before="120" w:after="60"/>
          </w:pPr>
          <w:hyperlink w:anchor="_Toc100004" w:history="1">
            <w:r>
              <w:rPr>
                <w:rStyle w:val="Hyperlink"/>
              </w:rPr>
              <w:t>7. الحاجة التجارية (Business Need)</w:t>
            </w:r>
            <w:r>
              <w:tab/>
            </w:r>
            <w:r>
              <w:fldChar w:fldCharType="begin"/>
            </w:r>
            <w:r>
              <w:instrText xml:space="preserve"> PAGEREF _Toc100004 \h </w:instrText>
            </w:r>
            <w:r>
              <w:fldChar w:fldCharType="separate"/>
            </w:r>
            <w:r>
              <w:t>5</w:t>
            </w:r>
            <w:r>
              <w:fldChar w:fldCharType="end"/>
            </w:r>
          </w:hyperlink>
        </w:p>
        <w:p>
          <w:pPr>
            <w:pStyle w:val="9"/>
            <w:tabs>
              <w:tab w:val="right" w:leader="dot" w:pos="9026"/>
            </w:tabs>
            <w:spacing w:before="120" w:after="60"/>
          </w:pPr>
          <w:hyperlink w:anchor="_Toc100005" w:history="1">
            <w:r>
              <w:rPr>
                <w:rStyle w:val="Hyperlink"/>
              </w:rPr>
              <w:t>8. أهداف النظام (Objectives)</w:t>
            </w:r>
            <w:r>
              <w:tab/>
            </w:r>
            <w:r>
              <w:fldChar w:fldCharType="begin"/>
            </w:r>
            <w:r>
              <w:instrText xml:space="preserve"> PAGEREF _Toc100005 \h </w:instrText>
            </w:r>
            <w:r>
              <w:fldChar w:fldCharType="separate"/>
            </w:r>
            <w:r>
              <w:t>6</w:t>
            </w:r>
            <w:r>
              <w:fldChar w:fldCharType="end"/>
            </w:r>
          </w:hyperlink>
        </w:p>
        <w:p>
          <w:pPr>
            <w:pStyle w:val="9"/>
            <w:tabs>
              <w:tab w:val="right" w:leader="dot" w:pos="9026"/>
            </w:tabs>
            <w:spacing w:before="120" w:after="60"/>
          </w:pPr>
          <w:hyperlink w:anchor="_Toc100006" w:history="1">
            <w:r>
              <w:rPr>
                <w:rStyle w:val="Hyperlink"/>
              </w:rPr>
              <w:t>9. نطاق النظام (System Scope)</w:t>
            </w:r>
            <w:r>
              <w:tab/>
            </w:r>
            <w:r>
              <w:fldChar w:fldCharType="begin"/>
            </w:r>
            <w:r>
              <w:instrText xml:space="preserve"> PAGEREF _Toc100006 \h </w:instrText>
            </w:r>
            <w:r>
              <w:fldChar w:fldCharType="separate"/>
            </w:r>
            <w:r>
              <w:t>7</w:t>
            </w:r>
            <w:r>
              <w:fldChar w:fldCharType="end"/>
            </w:r>
          </w:hyperlink>
        </w:p>
        <w:p>
          <w:pPr>
            <w:pStyle w:val="9"/>
            <w:tabs>
              <w:tab w:val="right" w:leader="dot" w:pos="9026"/>
            </w:tabs>
            <w:spacing w:before="120" w:after="60"/>
          </w:pPr>
          <w:hyperlink w:anchor="_Toc100007" w:history="1">
            <w:r>
              <w:rPr>
                <w:rStyle w:val="Hyperlink"/>
              </w:rPr>
              <w:t>10. أصحاب المصلحة والفاعلون (Stakeholders &amp; Actors)</w:t>
            </w:r>
            <w:r>
              <w:tab/>
            </w:r>
            <w:r>
              <w:fldChar w:fldCharType="begin"/>
            </w:r>
            <w:r>
              <w:instrText xml:space="preserve"> PAGEREF _Toc100007 \h </w:instrText>
            </w:r>
            <w:r>
              <w:fldChar w:fldCharType="separate"/>
            </w:r>
            <w:r>
              <w:t>8</w:t>
            </w:r>
            <w:r>
              <w:fldChar w:fldCharType="end"/>
            </w:r>
          </w:hyperlink>
        </w:p>
        <w:p>
          <w:pPr>
            <w:pStyle w:val="9"/>
            <w:tabs>
              <w:tab w:val="right" w:leader="dot" w:pos="9026"/>
            </w:tabs>
            <w:spacing w:before="120" w:after="60"/>
          </w:pPr>
          <w:hyperlink w:anchor="_Toc100008" w:history="1">
            <w:r>
              <w:rPr>
                <w:rStyle w:val="Hyperlink"/>
              </w:rPr>
              <w:t>11. العملية القائمة والمشكلات الحالية (Existing Process &amp; Problems)</w:t>
            </w:r>
            <w:r>
              <w:tab/>
            </w:r>
            <w:r>
              <w:fldChar w:fldCharType="begin"/>
            </w:r>
            <w:r>
              <w:instrText xml:space="preserve"> PAGEREF _Toc100008 \h </w:instrText>
            </w:r>
            <w:r>
              <w:fldChar w:fldCharType="separate"/>
            </w:r>
            <w:r>
              <w:t>8</w:t>
            </w:r>
            <w:r>
              <w:fldChar w:fldCharType="end"/>
            </w:r>
          </w:hyperlink>
        </w:p>
        <w:p>
          <w:pPr>
            <w:pStyle w:val="9"/>
            <w:tabs>
              <w:tab w:val="right" w:leader="dot" w:pos="9026"/>
            </w:tabs>
            <w:spacing w:before="120" w:after="60"/>
          </w:pPr>
          <w:hyperlink w:anchor="_Toc100009" w:history="1">
            <w:r>
              <w:rPr>
                <w:rStyle w:val="Hyperlink"/>
              </w:rPr>
              <w:t>12. النظام المقترح (Proposed System)</w:t>
            </w:r>
            <w:r>
              <w:tab/>
            </w:r>
            <w:r>
              <w:fldChar w:fldCharType="begin"/>
            </w:r>
            <w:r>
              <w:instrText xml:space="preserve"> PAGEREF _Toc100009 \h </w:instrText>
            </w:r>
            <w:r>
              <w:fldChar w:fldCharType="separate"/>
            </w:r>
            <w:r>
              <w:t>8</w:t>
            </w:r>
            <w:r>
              <w:fldChar w:fldCharType="end"/>
            </w:r>
          </w:hyperlink>
        </w:p>
        <w:p>
          <w:pPr>
            <w:pStyle w:val="9"/>
            <w:tabs>
              <w:tab w:val="right" w:leader="dot" w:pos="9026"/>
            </w:tabs>
            <w:spacing w:before="120" w:after="60"/>
          </w:pPr>
          <w:hyperlink w:anchor="_Toc100010" w:history="1">
            <w:r>
              <w:rPr>
                <w:rStyle w:val="Hyperlink"/>
              </w:rPr>
              <w:t>13. المتطلبات الوظيفية (Functional Requirements)</w:t>
            </w:r>
            <w:r>
              <w:tab/>
            </w:r>
            <w:r>
              <w:fldChar w:fldCharType="begin"/>
            </w:r>
            <w:r>
              <w:instrText xml:space="preserve"> PAGEREF _Toc100010 \h </w:instrText>
            </w:r>
            <w:r>
              <w:fldChar w:fldCharType="separate"/>
            </w:r>
            <w:r>
              <w:t>9</w:t>
            </w:r>
            <w:r>
              <w:fldChar w:fldCharType="end"/>
            </w:r>
          </w:hyperlink>
        </w:p>
        <w:p>
          <w:pPr>
            <w:pStyle w:val="9"/>
            <w:tabs>
              <w:tab w:val="right" w:leader="dot" w:pos="9026"/>
            </w:tabs>
            <w:spacing w:before="120" w:after="60"/>
          </w:pPr>
          <w:hyperlink w:anchor="_Toc100011" w:history="1">
            <w:r>
              <w:rPr>
                <w:rStyle w:val="Hyperlink"/>
              </w:rPr>
              <w:t>14. المتطلبات غير الوظيفية (Non-Functional Requirements)</w:t>
            </w:r>
            <w:r>
              <w:tab/>
            </w:r>
            <w:r>
              <w:fldChar w:fldCharType="begin"/>
            </w:r>
            <w:r>
              <w:instrText xml:space="preserve"> PAGEREF _Toc100011 \h </w:instrText>
            </w:r>
            <w:r>
              <w:fldChar w:fldCharType="separate"/>
            </w:r>
            <w:r>
              <w:t>9</w:t>
            </w:r>
            <w:r>
              <w:fldChar w:fldCharType="end"/>
            </w:r>
          </w:hyperlink>
        </w:p>
        <w:p>
          <w:pPr>
            <w:pStyle w:val="9"/>
            <w:tabs>
              <w:tab w:val="right" w:leader="dot" w:pos="9026"/>
            </w:tabs>
            <w:spacing w:before="120" w:after="60"/>
          </w:pPr>
          <w:hyperlink w:anchor="_Toc100012" w:history="1">
            <w:r>
              <w:rPr>
                <w:rStyle w:val="Hyperlink"/>
              </w:rPr>
              <w:t>15. قواعد الأعمال (Business Rules)</w:t>
            </w:r>
            <w:r>
              <w:tab/>
            </w:r>
            <w:r>
              <w:fldChar w:fldCharType="begin"/>
            </w:r>
            <w:r>
              <w:instrText xml:space="preserve"> PAGEREF _Toc100012 \h </w:instrText>
            </w:r>
            <w:r>
              <w:fldChar w:fldCharType="separate"/>
            </w:r>
            <w:r>
              <w:t>10</w:t>
            </w:r>
            <w:r>
              <w:fldChar w:fldCharType="end"/>
            </w:r>
          </w:hyperlink>
        </w:p>
        <w:p>
          <w:pPr>
            <w:pStyle w:val="9"/>
            <w:tabs>
              <w:tab w:val="right" w:leader="dot" w:pos="9026"/>
            </w:tabs>
            <w:spacing w:before="120" w:after="60"/>
          </w:pPr>
          <w:hyperlink w:anchor="_Toc100013" w:history="1">
            <w:r>
              <w:rPr>
                <w:rStyle w:val="Hyperlink"/>
              </w:rPr>
              <w:t>16. تحليل عمليات الأعمال (Business Process Analysis)</w:t>
            </w:r>
            <w:r>
              <w:tab/>
            </w:r>
            <w:r>
              <w:fldChar w:fldCharType="begin"/>
            </w:r>
            <w:r>
              <w:instrText xml:space="preserve"> PAGEREF _Toc100013 \h </w:instrText>
            </w:r>
            <w:r>
              <w:fldChar w:fldCharType="separate"/>
            </w:r>
            <w:r>
              <w:t>10</w:t>
            </w:r>
            <w:r>
              <w:fldChar w:fldCharType="end"/>
            </w:r>
          </w:hyperlink>
        </w:p>
        <w:p>
          <w:pPr>
            <w:pStyle w:val="9"/>
            <w:tabs>
              <w:tab w:val="right" w:leader="dot" w:pos="9026"/>
            </w:tabs>
            <w:spacing w:before="120" w:after="60"/>
          </w:pPr>
          <w:hyperlink w:anchor="_Toc100014" w:history="1">
            <w:r>
              <w:rPr>
                <w:rStyle w:val="Hyperlink"/>
              </w:rPr>
              <w:t>17. سياق النظام (System Context)</w:t>
            </w:r>
            <w:r>
              <w:tab/>
            </w:r>
            <w:r>
              <w:fldChar w:fldCharType="begin"/>
            </w:r>
            <w:r>
              <w:instrText xml:space="preserve"> PAGEREF _Toc100014 \h </w:instrText>
            </w:r>
            <w:r>
              <w:fldChar w:fldCharType="separate"/>
            </w:r>
            <w:r>
              <w:t>11</w:t>
            </w:r>
            <w:r>
              <w:fldChar w:fldCharType="end"/>
            </w:r>
          </w:hyperlink>
        </w:p>
        <w:p>
          <w:pPr>
            <w:pStyle w:val="9"/>
            <w:tabs>
              <w:tab w:val="right" w:leader="dot" w:pos="9026"/>
            </w:tabs>
            <w:spacing w:before="120" w:after="60"/>
          </w:pPr>
          <w:hyperlink w:anchor="_Toc100015" w:history="1">
            <w:r>
              <w:rPr>
                <w:rStyle w:val="Hyperlink"/>
              </w:rPr>
              <w:t>18. مخطط تدفق البيانات — المستوى صفر (DFD Level 0)</w:t>
            </w:r>
            <w:r>
              <w:tab/>
            </w:r>
            <w:r>
              <w:fldChar w:fldCharType="begin"/>
            </w:r>
            <w:r>
              <w:instrText xml:space="preserve"> PAGEREF _Toc100015 \h </w:instrText>
            </w:r>
            <w:r>
              <w:fldChar w:fldCharType="separate"/>
            </w:r>
            <w:r>
              <w:t>11</w:t>
            </w:r>
            <w:r>
              <w:fldChar w:fldCharType="end"/>
            </w:r>
          </w:hyperlink>
        </w:p>
        <w:p>
          <w:pPr>
            <w:pStyle w:val="9"/>
            <w:tabs>
              <w:tab w:val="right" w:leader="dot" w:pos="9026"/>
            </w:tabs>
            <w:spacing w:before="120" w:after="60"/>
          </w:pPr>
          <w:hyperlink w:anchor="_Toc100016" w:history="1">
            <w:r>
              <w:rPr>
                <w:rStyle w:val="Hyperlink"/>
              </w:rPr>
              <w:t>19. مخطط تدفق البيانات — المستوى الأول (DFD Level 1)</w:t>
            </w:r>
            <w:r>
              <w:tab/>
            </w:r>
            <w:r>
              <w:fldChar w:fldCharType="begin"/>
            </w:r>
            <w:r>
              <w:instrText xml:space="preserve"> PAGEREF _Toc100016 \h </w:instrText>
            </w:r>
            <w:r>
              <w:fldChar w:fldCharType="separate"/>
            </w:r>
            <w:r>
              <w:t>12</w:t>
            </w:r>
            <w:r>
              <w:fldChar w:fldCharType="end"/>
            </w:r>
          </w:hyperlink>
        </w:p>
        <w:p>
          <w:pPr>
            <w:pStyle w:val="9"/>
            <w:tabs>
              <w:tab w:val="right" w:leader="dot" w:pos="9026"/>
            </w:tabs>
            <w:spacing w:before="120" w:after="60"/>
          </w:pPr>
          <w:hyperlink w:anchor="_Toc100017" w:history="1">
            <w:r>
              <w:rPr>
                <w:rStyle w:val="Hyperlink"/>
              </w:rPr>
              <w:t>20. مخطط تدفق البيانات — المستوى الثاني (DFD Level 2)</w:t>
            </w:r>
            <w:r>
              <w:tab/>
            </w:r>
            <w:r>
              <w:fldChar w:fldCharType="begin"/>
            </w:r>
            <w:r>
              <w:instrText xml:space="preserve"> PAGEREF _Toc100017 \h </w:instrText>
            </w:r>
            <w:r>
              <w:fldChar w:fldCharType="separate"/>
            </w:r>
            <w:r>
              <w:t>13</w:t>
            </w:r>
            <w:r>
              <w:fldChar w:fldCharType="end"/>
            </w:r>
          </w:hyperlink>
        </w:p>
        <w:p>
          <w:pPr>
            <w:pStyle w:val="9"/>
            <w:tabs>
              <w:tab w:val="right" w:leader="dot" w:pos="9026"/>
            </w:tabs>
            <w:spacing w:before="120" w:after="60"/>
          </w:pPr>
          <w:hyperlink w:anchor="_Toc100018" w:history="1">
            <w:r>
              <w:rPr>
                <w:rStyle w:val="Hyperlink"/>
              </w:rPr>
              <w:t>21. مخطط تدفق البيانات — المستوى الثالث (DFD Level 3)</w:t>
            </w:r>
            <w:r>
              <w:tab/>
            </w:r>
            <w:r>
              <w:fldChar w:fldCharType="begin"/>
            </w:r>
            <w:r>
              <w:instrText xml:space="preserve"> PAGEREF _Toc100018 \h </w:instrText>
            </w:r>
            <w:r>
              <w:fldChar w:fldCharType="separate"/>
            </w:r>
            <w:r>
              <w:t>13</w:t>
            </w:r>
            <w:r>
              <w:fldChar w:fldCharType="end"/>
            </w:r>
          </w:hyperlink>
        </w:p>
        <w:p>
          <w:pPr>
            <w:pStyle w:val="9"/>
            <w:tabs>
              <w:tab w:val="right" w:leader="dot" w:pos="9026"/>
            </w:tabs>
            <w:spacing w:before="120" w:after="60"/>
          </w:pPr>
          <w:hyperlink w:anchor="_Toc100019" w:history="1">
            <w:r>
              <w:rPr>
                <w:rStyle w:val="Hyperlink"/>
              </w:rPr>
              <w:t>22. تحليل حالات الاستخدام (Use Case Analysis)</w:t>
            </w:r>
            <w:r>
              <w:tab/>
            </w:r>
            <w:r>
              <w:fldChar w:fldCharType="begin"/>
            </w:r>
            <w:r>
              <w:instrText xml:space="preserve"> PAGEREF _Toc100019 \h </w:instrText>
            </w:r>
            <w:r>
              <w:fldChar w:fldCharType="separate"/>
            </w:r>
            <w:r>
              <w:t>14</w:t>
            </w:r>
            <w:r>
              <w:fldChar w:fldCharType="end"/>
            </w:r>
          </w:hyperlink>
        </w:p>
        <w:p>
          <w:pPr>
            <w:pStyle w:val="9"/>
            <w:tabs>
              <w:tab w:val="right" w:leader="dot" w:pos="9026"/>
            </w:tabs>
            <w:spacing w:before="120" w:after="60"/>
          </w:pPr>
          <w:hyperlink w:anchor="_Toc100020" w:history="1">
            <w:r>
              <w:rPr>
                <w:rStyle w:val="Hyperlink"/>
              </w:rPr>
              <w:t>23. مخطط حالات الاستخدام (Use Case Diagram)</w:t>
            </w:r>
            <w:r>
              <w:tab/>
            </w:r>
            <w:r>
              <w:fldChar w:fldCharType="begin"/>
            </w:r>
            <w:r>
              <w:instrText xml:space="preserve"> PAGEREF _Toc100020 \h </w:instrText>
            </w:r>
            <w:r>
              <w:fldChar w:fldCharType="separate"/>
            </w:r>
            <w:r>
              <w:t>15</w:t>
            </w:r>
            <w:r>
              <w:fldChar w:fldCharType="end"/>
            </w:r>
          </w:hyperlink>
        </w:p>
        <w:p>
          <w:pPr>
            <w:pStyle w:val="9"/>
            <w:tabs>
              <w:tab w:val="right" w:leader="dot" w:pos="9026"/>
            </w:tabs>
            <w:spacing w:before="120" w:after="60"/>
          </w:pPr>
          <w:hyperlink w:anchor="_Toc100021" w:history="1">
            <w:r>
              <w:rPr>
                <w:rStyle w:val="Hyperlink"/>
              </w:rPr>
              <w:t>24. مخططات النشاط (Activity Diagrams)</w:t>
            </w:r>
            <w:r>
              <w:tab/>
            </w:r>
            <w:r>
              <w:fldChar w:fldCharType="begin"/>
            </w:r>
            <w:r>
              <w:instrText xml:space="preserve"> PAGEREF _Toc100021 \h </w:instrText>
            </w:r>
            <w:r>
              <w:fldChar w:fldCharType="separate"/>
            </w:r>
            <w:r>
              <w:t>16</w:t>
            </w:r>
            <w:r>
              <w:fldChar w:fldCharType="end"/>
            </w:r>
          </w:hyperlink>
        </w:p>
        <w:p>
          <w:pPr>
            <w:pStyle w:val="11"/>
            <w:ind w:left="360"/>
            <w:tabs>
              <w:tab w:val="right" w:leader="dot" w:pos="9026"/>
            </w:tabs>
            <w:spacing w:before="120" w:after="60"/>
          </w:pPr>
          <w:hyperlink w:anchor="_Toc100022" w:history="1">
            <w:r>
              <w:rPr>
                <w:rStyle w:val="Hyperlink"/>
              </w:rPr>
              <w:t>24.1 نشاط قرار الذكاء الاصطناعي (AI Decision)</w:t>
            </w:r>
            <w:r>
              <w:tab/>
            </w:r>
            <w:r>
              <w:fldChar w:fldCharType="begin"/>
            </w:r>
            <w:r>
              <w:instrText xml:space="preserve"> PAGEREF _Toc100022 \h </w:instrText>
            </w:r>
            <w:r>
              <w:fldChar w:fldCharType="separate"/>
            </w:r>
            <w:r>
              <w:t>16</w:t>
            </w:r>
            <w:r>
              <w:fldChar w:fldCharType="end"/>
            </w:r>
          </w:hyperlink>
        </w:p>
        <w:p>
          <w:pPr>
            <w:pStyle w:val="11"/>
            <w:ind w:left="360"/>
            <w:tabs>
              <w:tab w:val="right" w:leader="dot" w:pos="9026"/>
            </w:tabs>
            <w:spacing w:before="120" w:after="60"/>
          </w:pPr>
          <w:hyperlink w:anchor="_Toc100023" w:history="1">
            <w:r>
              <w:rPr>
                <w:rStyle w:val="Hyperlink"/>
              </w:rPr>
              <w:t>24.2 نشاط المشتريات (Procurement)</w:t>
            </w:r>
            <w:r>
              <w:tab/>
            </w:r>
            <w:r>
              <w:fldChar w:fldCharType="begin"/>
            </w:r>
            <w:r>
              <w:instrText xml:space="preserve"> PAGEREF _Toc100023 \h </w:instrText>
            </w:r>
            <w:r>
              <w:fldChar w:fldCharType="separate"/>
            </w:r>
            <w:r>
              <w:t>16</w:t>
            </w:r>
            <w:r>
              <w:fldChar w:fldCharType="end"/>
            </w:r>
          </w:hyperlink>
        </w:p>
        <w:p>
          <w:pPr>
            <w:pStyle w:val="11"/>
            <w:ind w:left="360"/>
            <w:tabs>
              <w:tab w:val="right" w:leader="dot" w:pos="9026"/>
            </w:tabs>
            <w:spacing w:before="120" w:after="60"/>
          </w:pPr>
          <w:hyperlink w:anchor="_Toc100024" w:history="1">
            <w:r>
              <w:rPr>
                <w:rStyle w:val="Hyperlink"/>
              </w:rPr>
              <w:t>24.3 نشاط الطلب (Order)</w:t>
            </w:r>
            <w:r>
              <w:tab/>
            </w:r>
            <w:r>
              <w:fldChar w:fldCharType="begin"/>
            </w:r>
            <w:r>
              <w:instrText xml:space="preserve"> PAGEREF _Toc100024 \h </w:instrText>
            </w:r>
            <w:r>
              <w:fldChar w:fldCharType="separate"/>
            </w:r>
            <w:r>
              <w:t>17</w:t>
            </w:r>
            <w:r>
              <w:fldChar w:fldCharType="end"/>
            </w:r>
          </w:hyperlink>
        </w:p>
        <w:p>
          <w:pPr>
            <w:pStyle w:val="11"/>
            <w:ind w:left="360"/>
            <w:tabs>
              <w:tab w:val="right" w:leader="dot" w:pos="9026"/>
            </w:tabs>
            <w:spacing w:before="120" w:after="60"/>
          </w:pPr>
          <w:hyperlink w:anchor="_Toc100025" w:history="1">
            <w:r>
              <w:rPr>
                <w:rStyle w:val="Hyperlink"/>
              </w:rPr>
              <w:t>24.4 نشاط الأتمتة (Automation)</w:t>
            </w:r>
            <w:r>
              <w:tab/>
            </w:r>
            <w:r>
              <w:fldChar w:fldCharType="begin"/>
            </w:r>
            <w:r>
              <w:instrText xml:space="preserve"> PAGEREF _Toc100025 \h </w:instrText>
            </w:r>
            <w:r>
              <w:fldChar w:fldCharType="separate"/>
            </w:r>
            <w:r>
              <w:t>17</w:t>
            </w:r>
            <w:r>
              <w:fldChar w:fldCharType="end"/>
            </w:r>
          </w:hyperlink>
        </w:p>
        <w:p>
          <w:pPr>
            <w:pStyle w:val="11"/>
            <w:ind w:left="360"/>
            <w:tabs>
              <w:tab w:val="right" w:leader="dot" w:pos="9026"/>
            </w:tabs>
            <w:spacing w:before="120" w:after="60"/>
          </w:pPr>
          <w:hyperlink w:anchor="_Toc100026" w:history="1">
            <w:r>
              <w:rPr>
                <w:rStyle w:val="Hyperlink"/>
              </w:rPr>
              <w:t>24.5 نشاط تهيئة الحزمة العمودية (Vertical Configuration)</w:t>
            </w:r>
            <w:r>
              <w:tab/>
            </w:r>
            <w:r>
              <w:fldChar w:fldCharType="begin"/>
            </w:r>
            <w:r>
              <w:instrText xml:space="preserve"> PAGEREF _Toc100026 \h </w:instrText>
            </w:r>
            <w:r>
              <w:fldChar w:fldCharType="separate"/>
            </w:r>
            <w:r>
              <w:t>18</w:t>
            </w:r>
            <w:r>
              <w:fldChar w:fldCharType="end"/>
            </w:r>
          </w:hyperlink>
        </w:p>
        <w:p>
          <w:pPr>
            <w:pStyle w:val="9"/>
            <w:tabs>
              <w:tab w:val="right" w:leader="dot" w:pos="9026"/>
            </w:tabs>
            <w:spacing w:before="120" w:after="60"/>
          </w:pPr>
          <w:hyperlink w:anchor="_Toc100027" w:history="1">
            <w:r>
              <w:rPr>
                <w:rStyle w:val="Hyperlink"/>
              </w:rPr>
              <w:t>25. مخططات التسلسل (Sequence Diagrams)</w:t>
            </w:r>
            <w:r>
              <w:tab/>
            </w:r>
            <w:r>
              <w:fldChar w:fldCharType="begin"/>
            </w:r>
            <w:r>
              <w:instrText xml:space="preserve"> PAGEREF _Toc100027 \h </w:instrText>
            </w:r>
            <w:r>
              <w:fldChar w:fldCharType="separate"/>
            </w:r>
            <w:r>
              <w:t>18</w:t>
            </w:r>
            <w:r>
              <w:fldChar w:fldCharType="end"/>
            </w:r>
          </w:hyperlink>
        </w:p>
        <w:p>
          <w:pPr>
            <w:pStyle w:val="11"/>
            <w:ind w:left="360"/>
            <w:tabs>
              <w:tab w:val="right" w:leader="dot" w:pos="9026"/>
            </w:tabs>
            <w:spacing w:before="120" w:after="60"/>
          </w:pPr>
          <w:hyperlink w:anchor="_Toc100028" w:history="1">
            <w:r>
              <w:rPr>
                <w:rStyle w:val="Hyperlink"/>
              </w:rPr>
              <w:t>25.1 قرار الذكاء الاصطناعي (AI Decision)</w:t>
            </w:r>
            <w:r>
              <w:tab/>
            </w:r>
            <w:r>
              <w:fldChar w:fldCharType="begin"/>
            </w:r>
            <w:r>
              <w:instrText xml:space="preserve"> PAGEREF _Toc100028 \h </w:instrText>
            </w:r>
            <w:r>
              <w:fldChar w:fldCharType="separate"/>
            </w:r>
            <w:r>
              <w:t>18</w:t>
            </w:r>
            <w:r>
              <w:fldChar w:fldCharType="end"/>
            </w:r>
          </w:hyperlink>
        </w:p>
        <w:p>
          <w:pPr>
            <w:pStyle w:val="11"/>
            <w:ind w:left="360"/>
            <w:tabs>
              <w:tab w:val="right" w:leader="dot" w:pos="9026"/>
            </w:tabs>
            <w:spacing w:before="120" w:after="60"/>
          </w:pPr>
          <w:hyperlink w:anchor="_Toc100029" w:history="1">
            <w:r>
              <w:rPr>
                <w:rStyle w:val="Hyperlink"/>
              </w:rPr>
              <w:t>25.2 المشتريات واعتماد أفعال السوق (Procurement)</w:t>
            </w:r>
            <w:r>
              <w:tab/>
            </w:r>
            <w:r>
              <w:fldChar w:fldCharType="begin"/>
            </w:r>
            <w:r>
              <w:instrText xml:space="preserve"> PAGEREF _Toc100029 \h </w:instrText>
            </w:r>
            <w:r>
              <w:fldChar w:fldCharType="separate"/>
            </w:r>
            <w:r>
              <w:t>19</w:t>
            </w:r>
            <w:r>
              <w:fldChar w:fldCharType="end"/>
            </w:r>
          </w:hyperlink>
        </w:p>
        <w:p>
          <w:pPr>
            <w:pStyle w:val="11"/>
            <w:ind w:left="360"/>
            <w:tabs>
              <w:tab w:val="right" w:leader="dot" w:pos="9026"/>
            </w:tabs>
            <w:spacing w:before="120" w:after="60"/>
          </w:pPr>
          <w:hyperlink w:anchor="_Toc100030" w:history="1">
            <w:r>
              <w:rPr>
                <w:rStyle w:val="Hyperlink"/>
              </w:rPr>
              <w:t>25.3 الأتمتة والاستدعاء الراجع (n8n Callback)</w:t>
            </w:r>
            <w:r>
              <w:tab/>
            </w:r>
            <w:r>
              <w:fldChar w:fldCharType="begin"/>
            </w:r>
            <w:r>
              <w:instrText xml:space="preserve"> PAGEREF _Toc100030 \h </w:instrText>
            </w:r>
            <w:r>
              <w:fldChar w:fldCharType="separate"/>
            </w:r>
            <w:r>
              <w:t>19</w:t>
            </w:r>
            <w:r>
              <w:fldChar w:fldCharType="end"/>
            </w:r>
          </w:hyperlink>
        </w:p>
        <w:p>
          <w:pPr>
            <w:pStyle w:val="11"/>
            <w:ind w:left="360"/>
            <w:tabs>
              <w:tab w:val="right" w:leader="dot" w:pos="9026"/>
            </w:tabs>
            <w:spacing w:before="120" w:after="60"/>
          </w:pPr>
          <w:hyperlink w:anchor="_Toc100031" w:history="1">
            <w:r>
              <w:rPr>
                <w:rStyle w:val="Hyperlink"/>
              </w:rPr>
              <w:t>25.4 المساعد المحادثي (Chatbot / RAG)</w:t>
            </w:r>
            <w:r>
              <w:tab/>
            </w:r>
            <w:r>
              <w:fldChar w:fldCharType="begin"/>
            </w:r>
            <w:r>
              <w:instrText xml:space="preserve"> PAGEREF _Toc100031 \h </w:instrText>
            </w:r>
            <w:r>
              <w:fldChar w:fldCharType="separate"/>
            </w:r>
            <w:r>
              <w:t>19</w:t>
            </w:r>
            <w:r>
              <w:fldChar w:fldCharType="end"/>
            </w:r>
          </w:hyperlink>
        </w:p>
        <w:p>
          <w:pPr>
            <w:pStyle w:val="9"/>
            <w:tabs>
              <w:tab w:val="right" w:leader="dot" w:pos="9026"/>
            </w:tabs>
            <w:spacing w:before="120" w:after="60"/>
          </w:pPr>
          <w:hyperlink w:anchor="_Toc100032" w:history="1">
            <w:r>
              <w:rPr>
                <w:rStyle w:val="Hyperlink"/>
              </w:rPr>
              <w:t>26. مخطط الكيانات والعلاقات (ERD)</w:t>
            </w:r>
            <w:r>
              <w:tab/>
            </w:r>
            <w:r>
              <w:fldChar w:fldCharType="begin"/>
            </w:r>
            <w:r>
              <w:instrText xml:space="preserve"> PAGEREF _Toc100032 \h </w:instrText>
            </w:r>
            <w:r>
              <w:fldChar w:fldCharType="separate"/>
            </w:r>
            <w:r>
              <w:t>20</w:t>
            </w:r>
            <w:r>
              <w:fldChar w:fldCharType="end"/>
            </w:r>
          </w:hyperlink>
        </w:p>
        <w:p>
          <w:pPr>
            <w:pStyle w:val="9"/>
            <w:tabs>
              <w:tab w:val="right" w:leader="dot" w:pos="9026"/>
            </w:tabs>
            <w:spacing w:before="120" w:after="60"/>
          </w:pPr>
          <w:hyperlink w:anchor="_Toc100033" w:history="1">
            <w:r>
              <w:rPr>
                <w:rStyle w:val="Hyperlink"/>
              </w:rPr>
              <w:t>27. تحليل البيانات (Data Analysis)</w:t>
            </w:r>
            <w:r>
              <w:tab/>
            </w:r>
            <w:r>
              <w:fldChar w:fldCharType="begin"/>
            </w:r>
            <w:r>
              <w:instrText xml:space="preserve"> PAGEREF _Toc100033 \h </w:instrText>
            </w:r>
            <w:r>
              <w:fldChar w:fldCharType="separate"/>
            </w:r>
            <w:r>
              <w:t>20</w:t>
            </w:r>
            <w:r>
              <w:fldChar w:fldCharType="end"/>
            </w:r>
          </w:hyperlink>
        </w:p>
        <w:p>
          <w:pPr>
            <w:pStyle w:val="9"/>
            <w:tabs>
              <w:tab w:val="right" w:leader="dot" w:pos="9026"/>
            </w:tabs>
            <w:spacing w:before="120" w:after="60"/>
          </w:pPr>
          <w:hyperlink w:anchor="_Toc100034" w:history="1">
            <w:r>
              <w:rPr>
                <w:rStyle w:val="Hyperlink"/>
              </w:rPr>
              <w:t>28. قاموس البيانات (Data Dictionary)</w:t>
            </w:r>
            <w:r>
              <w:tab/>
            </w:r>
            <w:r>
              <w:fldChar w:fldCharType="begin"/>
            </w:r>
            <w:r>
              <w:instrText xml:space="preserve"> PAGEREF _Toc100034 \h </w:instrText>
            </w:r>
            <w:r>
              <w:fldChar w:fldCharType="separate"/>
            </w:r>
            <w:r>
              <w:t>21</w:t>
            </w:r>
            <w:r>
              <w:fldChar w:fldCharType="end"/>
            </w:r>
          </w:hyperlink>
        </w:p>
        <w:p>
          <w:pPr>
            <w:pStyle w:val="9"/>
            <w:tabs>
              <w:tab w:val="right" w:leader="dot" w:pos="9026"/>
            </w:tabs>
            <w:spacing w:before="120" w:after="60"/>
          </w:pPr>
          <w:hyperlink w:anchor="_Toc100035" w:history="1">
            <w:r>
              <w:rPr>
                <w:rStyle w:val="Hyperlink"/>
              </w:rPr>
              <w:t>29. تحليل دعم القرار بالذكاء الاصطناعي الوكيل (AI / Agentic Decision Support)</w:t>
            </w:r>
            <w:r>
              <w:tab/>
            </w:r>
            <w:r>
              <w:fldChar w:fldCharType="begin"/>
            </w:r>
            <w:r>
              <w:instrText xml:space="preserve"> PAGEREF _Toc100035 \h </w:instrText>
            </w:r>
            <w:r>
              <w:fldChar w:fldCharType="separate"/>
            </w:r>
            <w:r>
              <w:t>22</w:t>
            </w:r>
            <w:r>
              <w:fldChar w:fldCharType="end"/>
            </w:r>
          </w:hyperlink>
        </w:p>
        <w:p>
          <w:pPr>
            <w:pStyle w:val="9"/>
            <w:tabs>
              <w:tab w:val="right" w:leader="dot" w:pos="9026"/>
            </w:tabs>
            <w:spacing w:before="120" w:after="60"/>
          </w:pPr>
          <w:hyperlink w:anchor="_Toc100036" w:history="1">
            <w:r>
              <w:rPr>
                <w:rStyle w:val="Hyperlink"/>
              </w:rPr>
              <w:t>30. تحليل الإشراف والتنسيق (Supervisor / Orchestration Analysis)</w:t>
            </w:r>
            <w:r>
              <w:tab/>
            </w:r>
            <w:r>
              <w:fldChar w:fldCharType="begin"/>
            </w:r>
            <w:r>
              <w:instrText xml:space="preserve"> PAGEREF _Toc100036 \h </w:instrText>
            </w:r>
            <w:r>
              <w:fldChar w:fldCharType="separate"/>
            </w:r>
            <w:r>
              <w:t>22</w:t>
            </w:r>
            <w:r>
              <w:fldChar w:fldCharType="end"/>
            </w:r>
          </w:hyperlink>
        </w:p>
        <w:p>
          <w:pPr>
            <w:pStyle w:val="9"/>
            <w:tabs>
              <w:tab w:val="right" w:leader="dot" w:pos="9026"/>
            </w:tabs>
            <w:spacing w:before="120" w:after="60"/>
          </w:pPr>
          <w:hyperlink w:anchor="_Toc100037" w:history="1">
            <w:r>
              <w:rPr>
                <w:rStyle w:val="Hyperlink"/>
              </w:rPr>
              <w:t>31. تحليل المساعد المحادثي والاسترجاع (Chatbot / RAG Analysis)</w:t>
            </w:r>
            <w:r>
              <w:tab/>
            </w:r>
            <w:r>
              <w:fldChar w:fldCharType="begin"/>
            </w:r>
            <w:r>
              <w:instrText xml:space="preserve"> PAGEREF _Toc100037 \h </w:instrText>
            </w:r>
            <w:r>
              <w:fldChar w:fldCharType="separate"/>
            </w:r>
            <w:r>
              <w:t>23</w:t>
            </w:r>
            <w:r>
              <w:fldChar w:fldCharType="end"/>
            </w:r>
          </w:hyperlink>
        </w:p>
        <w:p>
          <w:pPr>
            <w:pStyle w:val="9"/>
            <w:tabs>
              <w:tab w:val="right" w:leader="dot" w:pos="9026"/>
            </w:tabs>
            <w:spacing w:before="120" w:after="60"/>
          </w:pPr>
          <w:hyperlink w:anchor="_Toc100038" w:history="1">
            <w:r>
              <w:rPr>
                <w:rStyle w:val="Hyperlink"/>
              </w:rPr>
              <w:t>32. تحليل الأتمتة (n8n Automation Analysis)</w:t>
            </w:r>
            <w:r>
              <w:tab/>
            </w:r>
            <w:r>
              <w:fldChar w:fldCharType="begin"/>
            </w:r>
            <w:r>
              <w:instrText xml:space="preserve"> PAGEREF _Toc100038 \h </w:instrText>
            </w:r>
            <w:r>
              <w:fldChar w:fldCharType="separate"/>
            </w:r>
            <w:r>
              <w:t>23</w:t>
            </w:r>
            <w:r>
              <w:fldChar w:fldCharType="end"/>
            </w:r>
          </w:hyperlink>
        </w:p>
        <w:p>
          <w:pPr>
            <w:pStyle w:val="9"/>
            <w:tabs>
              <w:tab w:val="right" w:leader="dot" w:pos="9026"/>
            </w:tabs>
            <w:spacing w:before="120" w:after="60"/>
          </w:pPr>
          <w:hyperlink w:anchor="_Toc100039" w:history="1">
            <w:r>
              <w:rPr>
                <w:rStyle w:val="Hyperlink"/>
              </w:rPr>
              <w:t>33. تحليل الواجهة وتفاعل المستخدم (Frontend / User Interaction)</w:t>
            </w:r>
            <w:r>
              <w:tab/>
            </w:r>
            <w:r>
              <w:fldChar w:fldCharType="begin"/>
            </w:r>
            <w:r>
              <w:instrText xml:space="preserve"> PAGEREF _Toc100039 \h </w:instrText>
            </w:r>
            <w:r>
              <w:fldChar w:fldCharType="separate"/>
            </w:r>
            <w:r>
              <w:t>24</w:t>
            </w:r>
            <w:r>
              <w:fldChar w:fldCharType="end"/>
            </w:r>
          </w:hyperlink>
        </w:p>
        <w:p>
          <w:pPr>
            <w:pStyle w:val="9"/>
            <w:tabs>
              <w:tab w:val="right" w:leader="dot" w:pos="9026"/>
            </w:tabs>
            <w:spacing w:before="120" w:after="60"/>
          </w:pPr>
          <w:hyperlink w:anchor="_Toc100040" w:history="1">
            <w:r>
              <w:rPr>
                <w:rStyle w:val="Hyperlink"/>
              </w:rPr>
              <w:t>34. تحليل الصور والملفات والـ OCR (Image / File / OCR Analysis)</w:t>
            </w:r>
            <w:r>
              <w:tab/>
            </w:r>
            <w:r>
              <w:fldChar w:fldCharType="begin"/>
            </w:r>
            <w:r>
              <w:instrText xml:space="preserve"> PAGEREF _Toc100040 \h </w:instrText>
            </w:r>
            <w:r>
              <w:fldChar w:fldCharType="separate"/>
            </w:r>
            <w:r>
              <w:t>24</w:t>
            </w:r>
            <w:r>
              <w:fldChar w:fldCharType="end"/>
            </w:r>
          </w:hyperlink>
        </w:p>
        <w:p>
          <w:pPr>
            <w:pStyle w:val="9"/>
            <w:tabs>
              <w:tab w:val="right" w:leader="dot" w:pos="9026"/>
            </w:tabs>
            <w:spacing w:before="120" w:after="60"/>
          </w:pPr>
          <w:hyperlink w:anchor="_Toc100041" w:history="1">
            <w:r>
              <w:rPr>
                <w:rStyle w:val="Hyperlink"/>
              </w:rPr>
              <w:t>35. معمارية النظام (System Architecture)</w:t>
            </w:r>
            <w:r>
              <w:tab/>
            </w:r>
            <w:r>
              <w:fldChar w:fldCharType="begin"/>
            </w:r>
            <w:r>
              <w:instrText xml:space="preserve"> PAGEREF _Toc100041 \h </w:instrText>
            </w:r>
            <w:r>
              <w:fldChar w:fldCharType="separate"/>
            </w:r>
            <w:r>
              <w:t>25</w:t>
            </w:r>
            <w:r>
              <w:fldChar w:fldCharType="end"/>
            </w:r>
          </w:hyperlink>
        </w:p>
        <w:p>
          <w:pPr>
            <w:pStyle w:val="9"/>
            <w:tabs>
              <w:tab w:val="right" w:leader="dot" w:pos="9026"/>
            </w:tabs>
            <w:spacing w:before="120" w:after="60"/>
          </w:pPr>
          <w:hyperlink w:anchor="_Toc100042" w:history="1">
            <w:r>
              <w:rPr>
                <w:rStyle w:val="Hyperlink"/>
              </w:rPr>
              <w:t>36. الأمن والحوكمة (Security &amp; Governance)</w:t>
            </w:r>
            <w:r>
              <w:tab/>
            </w:r>
            <w:r>
              <w:fldChar w:fldCharType="begin"/>
            </w:r>
            <w:r>
              <w:instrText xml:space="preserve"> PAGEREF _Toc100042 \h </w:instrText>
            </w:r>
            <w:r>
              <w:fldChar w:fldCharType="separate"/>
            </w:r>
            <w:r>
              <w:t>25</w:t>
            </w:r>
            <w:r>
              <w:fldChar w:fldCharType="end"/>
            </w:r>
          </w:hyperlink>
        </w:p>
        <w:p>
          <w:pPr>
            <w:pStyle w:val="11"/>
            <w:ind w:left="360"/>
            <w:tabs>
              <w:tab w:val="right" w:leader="dot" w:pos="9026"/>
            </w:tabs>
            <w:spacing w:before="120" w:after="60"/>
          </w:pPr>
          <w:hyperlink w:anchor="_Toc100043" w:history="1">
            <w:r>
              <w:rPr>
                <w:rStyle w:val="Hyperlink"/>
              </w:rPr>
              <w:t>36.1 المصادقة والتفويض</w:t>
            </w:r>
            <w:r>
              <w:tab/>
            </w:r>
            <w:r>
              <w:fldChar w:fldCharType="begin"/>
            </w:r>
            <w:r>
              <w:instrText xml:space="preserve"> PAGEREF _Toc100043 \h </w:instrText>
            </w:r>
            <w:r>
              <w:fldChar w:fldCharType="separate"/>
            </w:r>
            <w:r>
              <w:t>25</w:t>
            </w:r>
            <w:r>
              <w:fldChar w:fldCharType="end"/>
            </w:r>
          </w:hyperlink>
        </w:p>
        <w:p>
          <w:pPr>
            <w:pStyle w:val="11"/>
            <w:ind w:left="360"/>
            <w:tabs>
              <w:tab w:val="right" w:leader="dot" w:pos="9026"/>
            </w:tabs>
            <w:spacing w:before="120" w:after="60"/>
          </w:pPr>
          <w:hyperlink w:anchor="_Toc100044" w:history="1">
            <w:r>
              <w:rPr>
                <w:rStyle w:val="Hyperlink"/>
              </w:rPr>
              <w:t>36.2 حوكمة WORM</w:t>
            </w:r>
            <w:r>
              <w:tab/>
            </w:r>
            <w:r>
              <w:fldChar w:fldCharType="begin"/>
            </w:r>
            <w:r>
              <w:instrText xml:space="preserve"> PAGEREF _Toc100044 \h </w:instrText>
            </w:r>
            <w:r>
              <w:fldChar w:fldCharType="separate"/>
            </w:r>
            <w:r>
              <w:t>26</w:t>
            </w:r>
            <w:r>
              <w:fldChar w:fldCharType="end"/>
            </w:r>
          </w:hyperlink>
        </w:p>
        <w:p>
          <w:pPr>
            <w:pStyle w:val="11"/>
            <w:ind w:left="360"/>
            <w:tabs>
              <w:tab w:val="right" w:leader="dot" w:pos="9026"/>
            </w:tabs>
            <w:spacing w:before="120" w:after="60"/>
          </w:pPr>
          <w:hyperlink w:anchor="_Toc100045" w:history="1">
            <w:r>
              <w:rPr>
                <w:rStyle w:val="Hyperlink"/>
              </w:rPr>
              <w:t>36.3 ضوابط مكملة</w:t>
            </w:r>
            <w:r>
              <w:tab/>
            </w:r>
            <w:r>
              <w:fldChar w:fldCharType="begin"/>
            </w:r>
            <w:r>
              <w:instrText xml:space="preserve"> PAGEREF _Toc100045 \h </w:instrText>
            </w:r>
            <w:r>
              <w:fldChar w:fldCharType="separate"/>
            </w:r>
            <w:r>
              <w:t>26</w:t>
            </w:r>
            <w:r>
              <w:fldChar w:fldCharType="end"/>
            </w:r>
          </w:hyperlink>
        </w:p>
        <w:p>
          <w:pPr>
            <w:pStyle w:val="9"/>
            <w:tabs>
              <w:tab w:val="right" w:leader="dot" w:pos="9026"/>
            </w:tabs>
            <w:spacing w:before="120" w:after="60"/>
          </w:pPr>
          <w:hyperlink w:anchor="_Toc100046" w:history="1">
            <w:r>
              <w:rPr>
                <w:rStyle w:val="Hyperlink"/>
              </w:rPr>
              <w:t>37. تحليل العمودية (Verticalization Analysis)</w:t>
            </w:r>
            <w:r>
              <w:tab/>
            </w:r>
            <w:r>
              <w:fldChar w:fldCharType="begin"/>
            </w:r>
            <w:r>
              <w:instrText xml:space="preserve"> PAGEREF _Toc100046 \h </w:instrText>
            </w:r>
            <w:r>
              <w:fldChar w:fldCharType="separate"/>
            </w:r>
            <w:r>
              <w:t>27</w:t>
            </w:r>
            <w:r>
              <w:fldChar w:fldCharType="end"/>
            </w:r>
          </w:hyperlink>
        </w:p>
        <w:p>
          <w:pPr>
            <w:pStyle w:val="9"/>
            <w:tabs>
              <w:tab w:val="right" w:leader="dot" w:pos="9026"/>
            </w:tabs>
            <w:spacing w:before="120" w:after="60"/>
          </w:pPr>
          <w:hyperlink w:anchor="_Toc100047" w:history="1">
            <w:r>
              <w:rPr>
                <w:rStyle w:val="Hyperlink"/>
              </w:rPr>
              <w:t>38. تحليل التكامل (Integration Analysis)</w:t>
            </w:r>
            <w:r>
              <w:tab/>
            </w:r>
            <w:r>
              <w:fldChar w:fldCharType="begin"/>
            </w:r>
            <w:r>
              <w:instrText xml:space="preserve"> PAGEREF _Toc100047 \h </w:instrText>
            </w:r>
            <w:r>
              <w:fldChar w:fldCharType="separate"/>
            </w:r>
            <w:r>
              <w:t>27</w:t>
            </w:r>
            <w:r>
              <w:fldChar w:fldCharType="end"/>
            </w:r>
          </w:hyperlink>
        </w:p>
        <w:p>
          <w:pPr>
            <w:pStyle w:val="9"/>
            <w:tabs>
              <w:tab w:val="right" w:leader="dot" w:pos="9026"/>
            </w:tabs>
            <w:spacing w:before="120" w:after="60"/>
          </w:pPr>
          <w:hyperlink w:anchor="_Toc100048" w:history="1">
            <w:r>
              <w:rPr>
                <w:rStyle w:val="Hyperlink"/>
              </w:rPr>
              <w:t>39. دراسة الجدوى (Feasibility Study)</w:t>
            </w:r>
            <w:r>
              <w:tab/>
            </w:r>
            <w:r>
              <w:fldChar w:fldCharType="begin"/>
            </w:r>
            <w:r>
              <w:instrText xml:space="preserve"> PAGEREF _Toc100048 \h </w:instrText>
            </w:r>
            <w:r>
              <w:fldChar w:fldCharType="separate"/>
            </w:r>
            <w:r>
              <w:t>27</w:t>
            </w:r>
            <w:r>
              <w:fldChar w:fldCharType="end"/>
            </w:r>
          </w:hyperlink>
        </w:p>
        <w:p>
          <w:pPr>
            <w:pStyle w:val="11"/>
            <w:ind w:left="360"/>
            <w:tabs>
              <w:tab w:val="right" w:leader="dot" w:pos="9026"/>
            </w:tabs>
            <w:spacing w:before="120" w:after="60"/>
          </w:pPr>
          <w:hyperlink w:anchor="_Toc100049" w:history="1">
            <w:r>
              <w:rPr>
                <w:rStyle w:val="Hyperlink"/>
              </w:rPr>
              <w:t>39.1 الجدوى التقنية (Technical)</w:t>
            </w:r>
            <w:r>
              <w:tab/>
            </w:r>
            <w:r>
              <w:fldChar w:fldCharType="begin"/>
            </w:r>
            <w:r>
              <w:instrText xml:space="preserve"> PAGEREF _Toc100049 \h </w:instrText>
            </w:r>
            <w:r>
              <w:fldChar w:fldCharType="separate"/>
            </w:r>
            <w:r>
              <w:t>27</w:t>
            </w:r>
            <w:r>
              <w:fldChar w:fldCharType="end"/>
            </w:r>
          </w:hyperlink>
        </w:p>
        <w:p>
          <w:pPr>
            <w:pStyle w:val="11"/>
            <w:ind w:left="360"/>
            <w:tabs>
              <w:tab w:val="right" w:leader="dot" w:pos="9026"/>
            </w:tabs>
            <w:spacing w:before="120" w:after="60"/>
          </w:pPr>
          <w:hyperlink w:anchor="_Toc100050" w:history="1">
            <w:r>
              <w:rPr>
                <w:rStyle w:val="Hyperlink"/>
              </w:rPr>
              <w:t>39.2 الجدوى التشغيلية (Operational)</w:t>
            </w:r>
            <w:r>
              <w:tab/>
            </w:r>
            <w:r>
              <w:fldChar w:fldCharType="begin"/>
            </w:r>
            <w:r>
              <w:instrText xml:space="preserve"> PAGEREF _Toc100050 \h </w:instrText>
            </w:r>
            <w:r>
              <w:fldChar w:fldCharType="separate"/>
            </w:r>
            <w:r>
              <w:t>27</w:t>
            </w:r>
            <w:r>
              <w:fldChar w:fldCharType="end"/>
            </w:r>
          </w:hyperlink>
        </w:p>
        <w:p>
          <w:pPr>
            <w:pStyle w:val="11"/>
            <w:ind w:left="360"/>
            <w:tabs>
              <w:tab w:val="right" w:leader="dot" w:pos="9026"/>
            </w:tabs>
            <w:spacing w:before="120" w:after="60"/>
          </w:pPr>
          <w:hyperlink w:anchor="_Toc100051" w:history="1">
            <w:r>
              <w:rPr>
                <w:rStyle w:val="Hyperlink"/>
              </w:rPr>
              <w:t>39.3 الجدوى الاقتصادية (Economic)</w:t>
            </w:r>
            <w:r>
              <w:tab/>
            </w:r>
            <w:r>
              <w:fldChar w:fldCharType="begin"/>
            </w:r>
            <w:r>
              <w:instrText xml:space="preserve"> PAGEREF _Toc100051 \h </w:instrText>
            </w:r>
            <w:r>
              <w:fldChar w:fldCharType="separate"/>
            </w:r>
            <w:r>
              <w:t>28</w:t>
            </w:r>
            <w:r>
              <w:fldChar w:fldCharType="end"/>
            </w:r>
          </w:hyperlink>
        </w:p>
        <w:p>
          <w:pPr>
            <w:pStyle w:val="11"/>
            <w:ind w:left="360"/>
            <w:tabs>
              <w:tab w:val="right" w:leader="dot" w:pos="9026"/>
            </w:tabs>
            <w:spacing w:before="120" w:after="60"/>
          </w:pPr>
          <w:hyperlink w:anchor="_Toc100052" w:history="1">
            <w:r>
              <w:rPr>
                <w:rStyle w:val="Hyperlink"/>
              </w:rPr>
              <w:t>39.4 جدوى الجدول الزمني (Schedule)</w:t>
            </w:r>
            <w:r>
              <w:tab/>
            </w:r>
            <w:r>
              <w:fldChar w:fldCharType="begin"/>
            </w:r>
            <w:r>
              <w:instrText xml:space="preserve"> PAGEREF _Toc100052 \h </w:instrText>
            </w:r>
            <w:r>
              <w:fldChar w:fldCharType="separate"/>
            </w:r>
            <w:r>
              <w:t>28</w:t>
            </w:r>
            <w:r>
              <w:fldChar w:fldCharType="end"/>
            </w:r>
          </w:hyperlink>
        </w:p>
        <w:p>
          <w:pPr>
            <w:pStyle w:val="9"/>
            <w:tabs>
              <w:tab w:val="right" w:leader="dot" w:pos="9026"/>
            </w:tabs>
            <w:spacing w:before="120" w:after="60"/>
          </w:pPr>
          <w:hyperlink w:anchor="_Toc100053" w:history="1">
            <w:r>
              <w:rPr>
                <w:rStyle w:val="Hyperlink"/>
              </w:rPr>
              <w:t>40. القيود والحدود (Constraints and Limitations)</w:t>
            </w:r>
            <w:r>
              <w:tab/>
            </w:r>
            <w:r>
              <w:fldChar w:fldCharType="begin"/>
            </w:r>
            <w:r>
              <w:instrText xml:space="preserve"> PAGEREF _Toc100053 \h </w:instrText>
            </w:r>
            <w:r>
              <w:fldChar w:fldCharType="separate"/>
            </w:r>
            <w:r>
              <w:t>28</w:t>
            </w:r>
            <w:r>
              <w:fldChar w:fldCharType="end"/>
            </w:r>
          </w:hyperlink>
        </w:p>
        <w:p>
          <w:pPr>
            <w:pStyle w:val="9"/>
            <w:tabs>
              <w:tab w:val="right" w:leader="dot" w:pos="9026"/>
            </w:tabs>
            <w:spacing w:before="120" w:after="60"/>
          </w:pPr>
          <w:hyperlink w:anchor="_Toc100054" w:history="1">
            <w:r>
              <w:rPr>
                <w:rStyle w:val="Hyperlink"/>
              </w:rPr>
              <w:t>41. التوسع المستقبلي (Future Expansion)</w:t>
            </w:r>
            <w:r>
              <w:tab/>
            </w:r>
            <w:r>
              <w:fldChar w:fldCharType="begin"/>
            </w:r>
            <w:r>
              <w:instrText xml:space="preserve"> PAGEREF _Toc100054 \h </w:instrText>
            </w:r>
            <w:r>
              <w:fldChar w:fldCharType="separate"/>
            </w:r>
            <w:r>
              <w:t>28</w:t>
            </w:r>
            <w:r>
              <w:fldChar w:fldCharType="end"/>
            </w:r>
          </w:hyperlink>
        </w:p>
        <w:p>
          <w:pPr>
            <w:pStyle w:val="9"/>
            <w:tabs>
              <w:tab w:val="right" w:leader="dot" w:pos="9026"/>
            </w:tabs>
            <w:spacing w:before="120" w:after="60"/>
          </w:pPr>
          <w:hyperlink w:anchor="_Toc100055" w:history="1">
            <w:r>
              <w:rPr>
                <w:rStyle w:val="Hyperlink"/>
              </w:rPr>
              <w:t>42. مصفوفة التتبع (Traceability Matrix)</w:t>
            </w:r>
            <w:r>
              <w:tab/>
            </w:r>
            <w:r>
              <w:fldChar w:fldCharType="begin"/>
            </w:r>
            <w:r>
              <w:instrText xml:space="preserve"> PAGEREF _Toc100055 \h </w:instrText>
            </w:r>
            <w:r>
              <w:fldChar w:fldCharType="separate"/>
            </w:r>
            <w:r>
              <w:t>29</w:t>
            </w:r>
            <w:r>
              <w:fldChar w:fldCharType="end"/>
            </w:r>
          </w:hyperlink>
        </w:p>
        <w:p>
          <w:pPr>
            <w:pStyle w:val="9"/>
            <w:tabs>
              <w:tab w:val="right" w:leader="dot" w:pos="9026"/>
            </w:tabs>
            <w:spacing w:before="120" w:after="60"/>
          </w:pPr>
          <w:hyperlink w:anchor="_Toc100056" w:history="1">
            <w:r>
              <w:rPr>
                <w:rStyle w:val="Hyperlink"/>
              </w:rPr>
              <w:t>43. الخاتمة (Conclusion)</w:t>
            </w:r>
            <w:r>
              <w:tab/>
            </w:r>
            <w:r>
              <w:fldChar w:fldCharType="begin"/>
            </w:r>
            <w:r>
              <w:instrText xml:space="preserve"> PAGEREF _Toc100056 \h </w:instrText>
            </w:r>
            <w:r>
              <w:fldChar w:fldCharType="separate"/>
            </w:r>
            <w:r>
              <w:t>30</w:t>
            </w:r>
            <w:r>
              <w:fldChar w:fldCharType="end"/>
            </w:r>
          </w:hyperlink>
        </w:p>
        <w:p>
          <w:r>
            <w:fldChar w:fldCharType="end"/>
          </w:r>
        </w:p>
      </w:sdtContent>
    </w:sdt>
    <w:p>
      <w:pPr>
        <w:bidi/>
        <w:spacing w:before="220"/>
      </w:pPr>
      <w:r>
        <w:rPr>
          <w:rFonts w:ascii="Times New Roman" w:cs="Traditional Arabic" w:hAnsi="Times New Roman"/>
          <w:i/>
          <w:iCs/>
          <w:color w:val="888888"/>
          <w:sz w:val="20"/>
          <w:szCs w:val="24"/>
          <w:rtl/>
        </w:rPr>
        <w:t xml:space="preserve">ملاحظة: قائمة المحتويات مبنية على حقول آلية — بعد أي تعديل، انقر بزر الفأرة الأيمن على القائمة واختر «Update Field» لتحديث أرقام الصفحات.</w:t>
      </w:r>
    </w:p>
    <w:p>
      <w:r>
        <w:br w:type="page"/>
      </w:r>
    </w:p>
    <w:p>
      <w:pPr>
        <w:sectPr>
          <w:headerReference w:type="default" r:id="rId7"/>
          <w:footerReference w:type="default" r:id="rId8"/>
          <w:type w:val="nextPage"/>
          <w:pgSz w:w="11906" w:h="16838" w:orient="portrait"/>
          <w:pgMar w:top="1360" w:right="1500" w:bottom="1360" w:left="1500" w:header="708" w:footer="708" w:gutter="0"/>
          <w:pgNumType w:start="1" w:fmt="upperRoman"/>
          <w:docGrid w:linePitch="360"/>
        </w:sectPr>
      </w:pPr>
    </w:p>
    <w:p>
      <w:pPr>
        <w:pStyle w:val="Heading1"/>
        <w:pageBreakBefore/>
        <w:bidi/>
        <w:spacing w:after="200" w:before="400" w:line="340"/>
        <w:jc w:val="right"/>
      </w:pPr>
      <w:bookmarkStart w:id="100000" w:name="_Toc100000"/>
      <w:r>
        <w:rPr>
          <w:rFonts w:ascii="Times New Roman" w:cs="Simplified Arabic" w:hAnsi="Times New Roman"/>
          <w:b/>
          <w:bCs/>
          <w:color w:val="1F3A5F"/>
          <w:sz w:val="32"/>
          <w:szCs w:val="36"/>
          <w:rtl/>
        </w:rPr>
        <w:t xml:space="preserve">3. المقدمة (Introduction)</w:t>
      </w:r>
      <w:bookmarkEnd w:id="100000"/>
    </w:p>
    <w:p>
      <w:pPr>
        <w:bidi/>
        <w:spacing w:after="120" w:line="312"/>
        <w:ind w:firstLine="340"/>
        <w:jc w:val="both"/>
      </w:pPr>
      <w:r>
        <w:rPr>
          <w:rFonts w:ascii="Times New Roman" w:cs="Traditional Arabic" w:hAnsi="Times New Roman"/>
          <w:b w:val="false"/>
          <w:i w:val="false"/>
          <w:iCs w:val="false"/>
          <w:color w:val="000000"/>
          <w:sz w:val="26"/>
          <w:szCs w:val="30"/>
          <w:rtl/>
        </w:rPr>
        <w:t xml:space="preserve">تقدّم هذه الوثيقة التحليل الأكاديمي الشامل لنظام </w:t>
      </w:r>
      <w:r>
        <w:rPr>
          <w:rFonts w:ascii="Times New Roman" w:eastAsia="Times New Roman" w:hAnsi="Times New Roman"/>
          <w:b w:val="false"/>
          <w:bCs w:val="false"/>
          <w:i w:val="false"/>
          <w:iCs w:val="false"/>
          <w:color w:val="000000"/>
          <w:sz w:val="24"/>
          <w:szCs w:val="24"/>
        </w:rPr>
        <w:t xml:space="preserve">AI-COS — Agentic Business Operating System</w:t>
      </w:r>
      <w:r>
        <w:rPr>
          <w:rFonts w:ascii="Times New Roman" w:cs="Traditional Arabic" w:hAnsi="Times New Roman"/>
          <w:b w:val="false"/>
          <w:i w:val="false"/>
          <w:iCs w:val="false"/>
          <w:color w:val="000000"/>
          <w:sz w:val="26"/>
          <w:szCs w:val="30"/>
          <w:rtl/>
        </w:rPr>
        <w:t xml:space="preserve">، وهو مشروع تخرج معتمد بقسم نظم معلومات الأعمال (Business Information Systems) بكلية تكنولوجيا الإدارة ونظم المعلومات — جامعة بورسعيد. الوثيقة مبنية بالكامل على المستودع الفعلي للكود المصدري: نماذج قاعدة البيانات، مسارات الـ API، واجهات المستخدم، الاختبارات، ومخرجات التشغيل الحي، وليس على افتراضات نظرية.</w:t>
      </w:r>
    </w:p>
    <w:p>
      <w:pPr>
        <w:bidi/>
        <w:spacing w:after="120" w:line="312"/>
        <w:ind w:firstLine="340"/>
        <w:jc w:val="both"/>
      </w:pPr>
      <w:r>
        <w:rPr>
          <w:rFonts w:ascii="Times New Roman" w:cs="Traditional Arabic" w:hAnsi="Times New Roman"/>
          <w:b w:val="false"/>
          <w:i w:val="false"/>
          <w:iCs w:val="false"/>
          <w:color w:val="000000"/>
          <w:sz w:val="26"/>
          <w:szCs w:val="30"/>
          <w:rtl/>
        </w:rPr>
        <w:t xml:space="preserve">الفكرة المحورية للنظام أنه ليس تطبيق صيدلية تقليدياً، بل نواة </w:t>
      </w:r>
      <w:r>
        <w:rPr>
          <w:rFonts w:ascii="Times New Roman" w:eastAsia="Times New Roman" w:hAnsi="Times New Roman"/>
          <w:b w:val="false"/>
          <w:bCs w:val="false"/>
          <w:i w:val="false"/>
          <w:iCs w:val="false"/>
          <w:color w:val="000000"/>
          <w:sz w:val="24"/>
          <w:szCs w:val="24"/>
        </w:rPr>
        <w:t xml:space="preserve">Core Business Operating System</w:t>
      </w:r>
      <w:r>
        <w:rPr>
          <w:rFonts w:ascii="Times New Roman" w:cs="Traditional Arabic" w:hAnsi="Times New Roman"/>
          <w:b w:val="false"/>
          <w:i w:val="false"/>
          <w:iCs w:val="false"/>
          <w:color w:val="000000"/>
          <w:sz w:val="26"/>
          <w:szCs w:val="30"/>
          <w:rtl/>
        </w:rPr>
        <w:t xml:space="preserve"> قابلة للتوسع عبر حزم أعمال عمودية (</w:t>
      </w:r>
      <w:r>
        <w:rPr>
          <w:rFonts w:ascii="Times New Roman" w:eastAsia="Times New Roman" w:hAnsi="Times New Roman"/>
          <w:b w:val="false"/>
          <w:bCs w:val="false"/>
          <w:i w:val="false"/>
          <w:iCs w:val="false"/>
          <w:color w:val="000000"/>
          <w:sz w:val="24"/>
          <w:szCs w:val="24"/>
        </w:rPr>
        <w:t xml:space="preserve">Vertical Packs</w:t>
      </w:r>
      <w:r>
        <w:rPr>
          <w:rFonts w:ascii="Times New Roman" w:cs="Traditional Arabic" w:hAnsi="Times New Roman"/>
          <w:b w:val="false"/>
          <w:i w:val="false"/>
          <w:iCs w:val="false"/>
          <w:color w:val="000000"/>
          <w:sz w:val="26"/>
          <w:szCs w:val="30"/>
          <w:rtl/>
        </w:rPr>
        <w:t xml:space="preserve">)؛ صيدلية (</w:t>
      </w:r>
      <w:r>
        <w:rPr>
          <w:rFonts w:ascii="Times New Roman" w:eastAsia="Times New Roman" w:hAnsi="Times New Roman"/>
          <w:b w:val="false"/>
          <w:bCs w:val="false"/>
          <w:i w:val="false"/>
          <w:iCs w:val="false"/>
          <w:color w:val="000000"/>
          <w:sz w:val="24"/>
          <w:szCs w:val="24"/>
        </w:rPr>
        <w:t xml:space="preserve">Pharmacy</w:t>
      </w:r>
      <w:r>
        <w:rPr>
          <w:rFonts w:ascii="Times New Roman" w:cs="Traditional Arabic" w:hAnsi="Times New Roman"/>
          <w:b w:val="false"/>
          <w:i w:val="false"/>
          <w:iCs w:val="false"/>
          <w:color w:val="000000"/>
          <w:sz w:val="26"/>
          <w:szCs w:val="30"/>
          <w:rtl/>
        </w:rPr>
        <w:t xml:space="preserve">) أول تنفيذ عمودي مكتمل، ثم مقهى (</w:t>
      </w:r>
      <w:r>
        <w:rPr>
          <w:rFonts w:ascii="Times New Roman" w:eastAsia="Times New Roman" w:hAnsi="Times New Roman"/>
          <w:b w:val="false"/>
          <w:bCs w:val="false"/>
          <w:i w:val="false"/>
          <w:iCs w:val="false"/>
          <w:color w:val="000000"/>
          <w:sz w:val="24"/>
          <w:szCs w:val="24"/>
        </w:rPr>
        <w:t xml:space="preserve">Coffee</w:t>
      </w:r>
      <w:r>
        <w:rPr>
          <w:rFonts w:ascii="Times New Roman" w:cs="Traditional Arabic" w:hAnsi="Times New Roman"/>
          <w:b w:val="false"/>
          <w:i w:val="false"/>
          <w:iCs w:val="false"/>
          <w:color w:val="000000"/>
          <w:sz w:val="26"/>
          <w:szCs w:val="30"/>
          <w:rtl/>
        </w:rPr>
        <w:t xml:space="preserve">) وملابس (</w:t>
      </w:r>
      <w:r>
        <w:rPr>
          <w:rFonts w:ascii="Times New Roman" w:eastAsia="Times New Roman" w:hAnsi="Times New Roman"/>
          <w:b w:val="false"/>
          <w:bCs w:val="false"/>
          <w:i w:val="false"/>
          <w:iCs w:val="false"/>
          <w:color w:val="000000"/>
          <w:sz w:val="24"/>
          <w:szCs w:val="24"/>
        </w:rPr>
        <w:t xml:space="preserve">Apparel</w:t>
      </w:r>
      <w:r>
        <w:rPr>
          <w:rFonts w:ascii="Times New Roman" w:cs="Traditional Arabic" w:hAnsi="Times New Roman"/>
          <w:b w:val="false"/>
          <w:i w:val="false"/>
          <w:iCs w:val="false"/>
          <w:color w:val="000000"/>
          <w:sz w:val="26"/>
          <w:szCs w:val="30"/>
          <w:rtl/>
        </w:rPr>
        <w:t xml:space="preserve">) كتطبيقَين إضافيين مثبتين في المستودع. وطبقة الذكاء فيها مبنية على مبدأ صارم: </w:t>
      </w:r>
      <w:r>
        <w:rPr>
          <w:rFonts w:ascii="Times New Roman" w:eastAsia="Times New Roman" w:hAnsi="Times New Roman"/>
          <w:b w:val="false"/>
          <w:bCs w:val="false"/>
          <w:i w:val="false"/>
          <w:iCs w:val="false"/>
          <w:color w:val="000000"/>
          <w:sz w:val="24"/>
          <w:szCs w:val="24"/>
        </w:rPr>
        <w:t xml:space="preserve">«Code Calculates, LLM Articulates»</w:t>
      </w:r>
      <w:r>
        <w:rPr>
          <w:rFonts w:ascii="Times New Roman" w:cs="Traditional Arabic" w:hAnsi="Times New Roman"/>
          <w:b w:val="false"/>
          <w:i w:val="false"/>
          <w:iCs w:val="false"/>
          <w:color w:val="000000"/>
          <w:sz w:val="26"/>
          <w:szCs w:val="30"/>
          <w:rtl/>
        </w:rPr>
        <w:t xml:space="preserve"> — المحركات الحتمية تحسب وتقرر، ونماذج اللغة تصيغ وتشرح فقط، مع طبقة حوكمة وتدقيق تشفيري (</w:t>
      </w:r>
      <w:r>
        <w:rPr>
          <w:rFonts w:ascii="Times New Roman" w:eastAsia="Times New Roman" w:hAnsi="Times New Roman"/>
          <w:b w:val="false"/>
          <w:bCs w:val="false"/>
          <w:i w:val="false"/>
          <w:iCs w:val="false"/>
          <w:color w:val="000000"/>
          <w:sz w:val="24"/>
          <w:szCs w:val="24"/>
        </w:rPr>
        <w:t xml:space="preserve">WORM Ledger</w:t>
      </w:r>
      <w:r>
        <w:rPr>
          <w:rFonts w:ascii="Times New Roman" w:cs="Traditional Arabic" w:hAnsi="Times New Roman"/>
          <w:b w:val="false"/>
          <w:i w:val="false"/>
          <w:iCs w:val="false"/>
          <w:color w:val="000000"/>
          <w:sz w:val="26"/>
          <w:szCs w:val="30"/>
          <w:rtl/>
        </w:rPr>
        <w:t xml:space="preserve">) تقاوم التلاعب.</w:t>
      </w:r>
    </w:p>
    <w:p>
      <w:pPr>
        <w:bidi/>
        <w:spacing w:after="120" w:line="312"/>
        <w:ind w:firstLine="340"/>
        <w:jc w:val="both"/>
      </w:pPr>
      <w:r>
        <w:rPr>
          <w:rFonts w:ascii="Times New Roman" w:cs="Traditional Arabic" w:hAnsi="Times New Roman"/>
          <w:b w:val="false"/>
          <w:i w:val="false"/>
          <w:iCs w:val="false"/>
          <w:color w:val="000000"/>
          <w:sz w:val="26"/>
          <w:szCs w:val="30"/>
          <w:rtl/>
        </w:rPr>
        <w:t xml:space="preserve">أُعدت هذه الوثيقة وفق منهجية تحليل النظم القياسية: جمع الأدلة من المصدر، تحديد الفاعلين والعمليات، نمذجة تدفق البيانات على أربعة مستويات، تحليل حالات الاستخدام، ثم المتطلبات والقواعد والجداول والدراسات المتممة، مع جدول تتبع يربط الأهداف بالمتطلبات بالأدلة بالاختبارات.</w:t>
      </w:r>
    </w:p>
    <w:p>
      <w:pPr>
        <w:pStyle w:val="Heading1"/>
        <w:pageBreakBefore/>
        <w:bidi/>
        <w:spacing w:after="200" w:before="400" w:line="340"/>
        <w:jc w:val="right"/>
      </w:pPr>
      <w:bookmarkStart w:id="100001" w:name="_Toc100001"/>
      <w:r>
        <w:rPr>
          <w:rFonts w:ascii="Times New Roman" w:cs="Simplified Arabic" w:hAnsi="Times New Roman"/>
          <w:b/>
          <w:bCs/>
          <w:color w:val="1F3A5F"/>
          <w:sz w:val="32"/>
          <w:szCs w:val="36"/>
          <w:rtl/>
        </w:rPr>
        <w:t xml:space="preserve">4. نظرة عامة على النظام (System Overview)</w:t>
      </w:r>
      <w:bookmarkEnd w:id="100001"/>
    </w:p>
    <w:p>
      <w:pPr>
        <w:bidi/>
        <w:spacing w:after="120" w:line="312"/>
        <w:ind w:firstLine="340"/>
        <w:jc w:val="both"/>
      </w:pPr>
      <w:r>
        <w:rPr>
          <w:rFonts w:ascii="Times New Roman" w:cs="Traditional Arabic" w:hAnsi="Times New Roman"/>
          <w:b w:val="false"/>
          <w:i w:val="false"/>
          <w:iCs w:val="false"/>
          <w:color w:val="000000"/>
          <w:sz w:val="26"/>
          <w:szCs w:val="30"/>
          <w:rtl/>
        </w:rPr>
        <w:t xml:space="preserve">يتكون النظام من واجهة أمامية </w:t>
      </w:r>
      <w:r>
        <w:rPr>
          <w:rFonts w:ascii="Times New Roman" w:eastAsia="Times New Roman" w:hAnsi="Times New Roman"/>
          <w:b w:val="false"/>
          <w:bCs w:val="false"/>
          <w:i w:val="false"/>
          <w:iCs w:val="false"/>
          <w:color w:val="000000"/>
          <w:sz w:val="24"/>
          <w:szCs w:val="24"/>
        </w:rPr>
        <w:t xml:space="preserve">Next.js</w:t>
      </w:r>
      <w:r>
        <w:rPr>
          <w:rFonts w:ascii="Times New Roman" w:cs="Traditional Arabic" w:hAnsi="Times New Roman"/>
          <w:b w:val="false"/>
          <w:i w:val="false"/>
          <w:iCs w:val="false"/>
          <w:color w:val="000000"/>
          <w:sz w:val="26"/>
          <w:szCs w:val="30"/>
          <w:rtl/>
        </w:rPr>
        <w:t xml:space="preserve"> بـ 32 صفحة (واجهة متجر + لوحة إدارية من 17 وحدة)، وواجهة خلفية </w:t>
      </w:r>
      <w:r>
        <w:rPr>
          <w:rFonts w:ascii="Times New Roman" w:eastAsia="Times New Roman" w:hAnsi="Times New Roman"/>
          <w:b w:val="false"/>
          <w:bCs w:val="false"/>
          <w:i w:val="false"/>
          <w:iCs w:val="false"/>
          <w:color w:val="000000"/>
          <w:sz w:val="24"/>
          <w:szCs w:val="24"/>
        </w:rPr>
        <w:t xml:space="preserve">FastAPI</w:t>
      </w:r>
      <w:r>
        <w:rPr>
          <w:rFonts w:ascii="Times New Roman" w:cs="Traditional Arabic" w:hAnsi="Times New Roman"/>
          <w:b w:val="false"/>
          <w:i w:val="false"/>
          <w:iCs w:val="false"/>
          <w:color w:val="000000"/>
          <w:sz w:val="26"/>
          <w:szCs w:val="30"/>
          <w:rtl/>
        </w:rPr>
        <w:t xml:space="preserve"> تضم 189 مسار API موزعة على 23 نطاقاً وظيفياً (Domain)، وقاعدة بيانات </w:t>
      </w:r>
      <w:r>
        <w:rPr>
          <w:rFonts w:ascii="Times New Roman" w:eastAsia="Times New Roman" w:hAnsi="Times New Roman"/>
          <w:b w:val="false"/>
          <w:bCs w:val="false"/>
          <w:i w:val="false"/>
          <w:iCs w:val="false"/>
          <w:color w:val="000000"/>
          <w:sz w:val="24"/>
          <w:szCs w:val="24"/>
        </w:rPr>
        <w:t xml:space="preserve">PostgreSQL/Supabase</w:t>
      </w:r>
      <w:r>
        <w:rPr>
          <w:rFonts w:ascii="Times New Roman" w:cs="Traditional Arabic" w:hAnsi="Times New Roman"/>
          <w:b w:val="false"/>
          <w:i w:val="false"/>
          <w:iCs w:val="false"/>
          <w:color w:val="000000"/>
          <w:sz w:val="26"/>
          <w:szCs w:val="30"/>
          <w:rtl/>
        </w:rPr>
        <w:t xml:space="preserve"> بأكثر من 30 جدولاً مع سياسات RLS، وطبقة وكلاء أعمال (12 وكيلاً) تعمل بنمط تنفيذ هجين، ومحرك أتمتة خارجي </w:t>
      </w:r>
      <w:r>
        <w:rPr>
          <w:rFonts w:ascii="Times New Roman" w:eastAsia="Times New Roman" w:hAnsi="Times New Roman"/>
          <w:b w:val="false"/>
          <w:bCs w:val="false"/>
          <w:i w:val="false"/>
          <w:iCs w:val="false"/>
          <w:color w:val="000000"/>
          <w:sz w:val="24"/>
          <w:szCs w:val="24"/>
        </w:rPr>
        <w:t xml:space="preserve">n8n</w:t>
      </w:r>
      <w:r>
        <w:rPr>
          <w:rFonts w:ascii="Times New Roman" w:cs="Traditional Arabic" w:hAnsi="Times New Roman"/>
          <w:b w:val="false"/>
          <w:i w:val="false"/>
          <w:iCs w:val="false"/>
          <w:color w:val="000000"/>
          <w:sz w:val="26"/>
          <w:szCs w:val="30"/>
          <w:rtl/>
        </w:rPr>
        <w:t xml:space="preserve"> يضم 14 سير عمل مفعّلاً.</w:t>
      </w:r>
    </w:p>
    <w:p>
      <w:pPr>
        <w:bidi/>
        <w:spacing w:after="120" w:line="312"/>
        <w:ind w:firstLine="340"/>
        <w:jc w:val="both"/>
      </w:pPr>
      <w:r>
        <w:rPr>
          <w:rFonts w:ascii="Times New Roman" w:cs="Traditional Arabic" w:hAnsi="Times New Roman"/>
          <w:b w:val="false"/>
          <w:i w:val="false"/>
          <w:iCs w:val="false"/>
          <w:color w:val="000000"/>
          <w:sz w:val="26"/>
          <w:szCs w:val="30"/>
          <w:rtl/>
        </w:rPr>
        <w:t xml:space="preserve">يؤطر النظام ثلاث ركائز تحكمية: (1) محركات حتمية لكل قرار حرج — محرك التداخلات الدوائية </w:t>
      </w:r>
      <w:r>
        <w:rPr>
          <w:rFonts w:ascii="Times New Roman" w:eastAsia="Times New Roman" w:hAnsi="Times New Roman"/>
          <w:b w:val="false"/>
          <w:bCs w:val="false"/>
          <w:i w:val="false"/>
          <w:iCs w:val="false"/>
          <w:color w:val="000000"/>
          <w:sz w:val="24"/>
          <w:szCs w:val="24"/>
        </w:rPr>
        <w:t xml:space="preserve">DDI</w:t>
      </w:r>
      <w:r>
        <w:rPr>
          <w:rFonts w:ascii="Times New Roman" w:cs="Traditional Arabic" w:hAnsi="Times New Roman"/>
          <w:b w:val="false"/>
          <w:i w:val="false"/>
          <w:iCs w:val="false"/>
          <w:color w:val="000000"/>
          <w:sz w:val="26"/>
          <w:szCs w:val="30"/>
          <w:rtl/>
        </w:rPr>
        <w:t xml:space="preserve">، محرك التسعير، محرك المحاكاة، محرك المحاسبة مزدوجة القيد؛ (2) حوكمة قابلة للإثبات — سجل تدقيق </w:t>
      </w:r>
      <w:r>
        <w:rPr>
          <w:rFonts w:ascii="Times New Roman" w:eastAsia="Times New Roman" w:hAnsi="Times New Roman"/>
          <w:b w:val="false"/>
          <w:bCs w:val="false"/>
          <w:i w:val="false"/>
          <w:iCs w:val="false"/>
          <w:color w:val="000000"/>
          <w:sz w:val="24"/>
          <w:szCs w:val="24"/>
        </w:rPr>
        <w:t xml:space="preserve">audit_logs</w:t>
      </w:r>
      <w:r>
        <w:rPr>
          <w:rFonts w:ascii="Times New Roman" w:cs="Traditional Arabic" w:hAnsi="Times New Roman"/>
          <w:b w:val="false"/>
          <w:i w:val="false"/>
          <w:iCs w:val="false"/>
          <w:color w:val="000000"/>
          <w:sz w:val="26"/>
          <w:szCs w:val="30"/>
          <w:rtl/>
        </w:rPr>
        <w:t xml:space="preserve"> وسلسلة </w:t>
      </w:r>
      <w:r>
        <w:rPr>
          <w:rFonts w:ascii="Times New Roman" w:eastAsia="Times New Roman" w:hAnsi="Times New Roman"/>
          <w:b w:val="false"/>
          <w:bCs w:val="false"/>
          <w:i w:val="false"/>
          <w:iCs w:val="false"/>
          <w:color w:val="000000"/>
          <w:sz w:val="24"/>
          <w:szCs w:val="24"/>
        </w:rPr>
        <w:t xml:space="preserve">WORM</w:t>
      </w:r>
      <w:r>
        <w:rPr>
          <w:rFonts w:ascii="Times New Roman" w:cs="Traditional Arabic" w:hAnsi="Times New Roman"/>
          <w:b w:val="false"/>
          <w:i w:val="false"/>
          <w:iCs w:val="false"/>
          <w:color w:val="000000"/>
          <w:sz w:val="26"/>
          <w:szCs w:val="30"/>
          <w:rtl/>
        </w:rPr>
        <w:t xml:space="preserve"> ببصمات </w:t>
      </w:r>
      <w:r>
        <w:rPr>
          <w:rFonts w:ascii="Times New Roman" w:eastAsia="Times New Roman" w:hAnsi="Times New Roman"/>
          <w:b w:val="false"/>
          <w:bCs w:val="false"/>
          <w:i w:val="false"/>
          <w:iCs w:val="false"/>
          <w:color w:val="000000"/>
          <w:sz w:val="24"/>
          <w:szCs w:val="24"/>
        </w:rPr>
        <w:t xml:space="preserve">SHA-256</w:t>
      </w:r>
      <w:r>
        <w:rPr>
          <w:rFonts w:ascii="Times New Roman" w:cs="Traditional Arabic" w:hAnsi="Times New Roman"/>
          <w:b w:val="false"/>
          <w:i w:val="false"/>
          <w:iCs w:val="false"/>
          <w:color w:val="000000"/>
          <w:sz w:val="26"/>
          <w:szCs w:val="30"/>
          <w:rtl/>
        </w:rPr>
        <w:t xml:space="preserve"> وتحقق ثنائي الاتجاه يكشف حذف السجلات حتى من مدير قاعدة بيانات متعدي؛ (3) خصوصية بالتصميم — تنقيح بيانات التعريف قبل أي نداء سحابي، وإبقاء نموذج لغة محلي (</w:t>
      </w:r>
      <w:r>
        <w:rPr>
          <w:rFonts w:ascii="Times New Roman" w:eastAsia="Times New Roman" w:hAnsi="Times New Roman"/>
          <w:b w:val="false"/>
          <w:bCs w:val="false"/>
          <w:i w:val="false"/>
          <w:iCs w:val="false"/>
          <w:color w:val="000000"/>
          <w:sz w:val="24"/>
          <w:szCs w:val="24"/>
        </w:rPr>
        <w:t xml:space="preserve">Ollama</w:t>
      </w:r>
      <w:r>
        <w:rPr>
          <w:rFonts w:ascii="Times New Roman" w:cs="Traditional Arabic" w:hAnsi="Times New Roman"/>
          <w:b w:val="false"/>
          <w:i w:val="false"/>
          <w:iCs w:val="false"/>
          <w:color w:val="000000"/>
          <w:sz w:val="26"/>
          <w:szCs w:val="30"/>
          <w:rtl/>
        </w:rPr>
        <w:t xml:space="preserve">) كطبقة أولى.</w:t>
      </w:r>
    </w:p>
    <w:tbl>
      <w:tblPr>
        <w:bidiVisual/>
        <w:tblW w:type="pct" w:w="100%"/>
        <w:tblBorders>
          <w:top w:val="single" w:color="9AA6B2" w:sz="6"/>
          <w:left w:val="none" w:color="FFFFFF" w:sz="0"/>
          <w:bottom w:val="single" w:color="9AA6B2" w:sz="6"/>
          <w:right w:val="none" w:color="FFFFFF" w:sz="0"/>
          <w:insideH w:val="single" w:color="D5DCE4" w:sz="2"/>
          <w:insideV w:val="single" w:color="D5DCE4" w:sz="2"/>
        </w:tblBorders>
      </w:tblPr>
      <w:tblGrid>
        <w:gridCol w:w="100"/>
        <w:gridCol w:w="100"/>
        <w:gridCol w:w="100"/>
      </w:tblGrid>
      <w:tr>
        <w:trPr>
          <w:cantSplit/>
          <w:tblHeader/>
        </w:trPr>
        <w:tc>
          <w:tcPr>
            <w:tcW w:type="pct" w:w="22%"/>
            <w:shd w:fill="E8EDF3" w:val="clear"/>
            <w:tcMar>
              <w:top w:type="dxa" w:w="70"/>
              <w:left w:type="dxa" w:w="100"/>
              <w:bottom w:type="dxa" w:w="70"/>
              <w:right w:type="dxa" w:w="100"/>
            </w:tcMar>
            <w:vAlign w:val="center"/>
          </w:tcPr>
          <w:p>
            <w:pPr>
              <w:bidi/>
              <w:jc w:val="center"/>
            </w:pPr>
            <w:r>
              <w:rPr>
                <w:rFonts w:ascii="Times New Roman" w:cs="Traditional Arabic" w:hAnsi="Times New Roman"/>
                <w:b/>
                <w:bCs/>
                <w:i w:val="false"/>
                <w:iCs w:val="false"/>
                <w:color w:val="111111"/>
                <w:sz w:val="21"/>
                <w:szCs w:val="21"/>
                <w:rtl/>
              </w:rPr>
              <w:t xml:space="preserve">البُعد</w:t>
            </w:r>
          </w:p>
        </w:tc>
        <w:tc>
          <w:tcPr>
            <w:tcW w:type="pct" w:w="45%"/>
            <w:shd w:fill="E8EDF3" w:val="clear"/>
            <w:tcMar>
              <w:top w:type="dxa" w:w="70"/>
              <w:left w:type="dxa" w:w="100"/>
              <w:bottom w:type="dxa" w:w="70"/>
              <w:right w:type="dxa" w:w="100"/>
            </w:tcMar>
            <w:vAlign w:val="center"/>
          </w:tcPr>
          <w:p>
            <w:pPr>
              <w:bidi/>
              <w:jc w:val="center"/>
            </w:pPr>
            <w:r>
              <w:rPr>
                <w:rFonts w:ascii="Times New Roman" w:cs="Traditional Arabic" w:hAnsi="Times New Roman"/>
                <w:b/>
                <w:bCs/>
                <w:i w:val="false"/>
                <w:iCs w:val="false"/>
                <w:color w:val="111111"/>
                <w:sz w:val="21"/>
                <w:szCs w:val="21"/>
                <w:rtl/>
              </w:rPr>
              <w:t xml:space="preserve">القيمة المثبتة في المستودع</w:t>
            </w:r>
          </w:p>
        </w:tc>
        <w:tc>
          <w:tcPr>
            <w:tcW w:type="pct" w:w="33%"/>
            <w:shd w:fill="E8EDF3" w:val="clear"/>
            <w:tcMar>
              <w:top w:type="dxa" w:w="70"/>
              <w:left w:type="dxa" w:w="100"/>
              <w:bottom w:type="dxa" w:w="70"/>
              <w:right w:type="dxa" w:w="100"/>
            </w:tcMar>
            <w:vAlign w:val="center"/>
          </w:tcPr>
          <w:p>
            <w:pPr>
              <w:bidi/>
              <w:jc w:val="center"/>
            </w:pPr>
            <w:r>
              <w:rPr>
                <w:rFonts w:ascii="Times New Roman" w:cs="Traditional Arabic" w:hAnsi="Times New Roman"/>
                <w:b/>
                <w:bCs/>
                <w:i w:val="false"/>
                <w:iCs w:val="false"/>
                <w:color w:val="111111"/>
                <w:sz w:val="21"/>
                <w:szCs w:val="21"/>
                <w:rtl/>
              </w:rPr>
              <w:t xml:space="preserve">الدليل</w:t>
            </w:r>
          </w:p>
        </w:tc>
      </w:tr>
      <w:tr>
        <w:trPr>
          <w:cantSplit/>
        </w:trPr>
        <w:tc>
          <w:tcPr>
            <w:tcW w:type="pct" w:w="22%"/>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21"/>
                <w:szCs w:val="21"/>
                <w:rtl/>
              </w:rPr>
              <w:t xml:space="preserve">الواجهة الخلفية</w:t>
            </w:r>
          </w:p>
        </w:tc>
        <w:tc>
          <w:tcPr>
            <w:tcW w:type="pct" w:w="45%"/>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21"/>
                <w:szCs w:val="21"/>
                <w:rtl/>
              </w:rPr>
              <w:t xml:space="preserve">FastAPI — 23 نطاقاً و189 مسار API</w:t>
            </w:r>
          </w:p>
        </w:tc>
        <w:tc>
          <w:tcPr>
            <w:tcW w:type="pct" w:w="33%"/>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21"/>
                <w:szCs w:val="21"/>
                <w:rtl/>
              </w:rPr>
              <w:t xml:space="preserve">[[EN]]backend/app/domains (23 مجلداً)[[/EN]]</w:t>
            </w:r>
          </w:p>
        </w:tc>
      </w:tr>
      <w:tr>
        <w:trPr>
          <w:cantSplit/>
        </w:trPr>
        <w:tc>
          <w:tcPr>
            <w:tcW w:type="pct" w:w="22%"/>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21"/>
                <w:szCs w:val="21"/>
                <w:rtl/>
              </w:rPr>
              <w:t xml:space="preserve">الواجهة الأمامية</w:t>
            </w:r>
          </w:p>
        </w:tc>
        <w:tc>
          <w:tcPr>
            <w:tcW w:type="pct" w:w="45%"/>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21"/>
                <w:szCs w:val="21"/>
                <w:rtl/>
              </w:rPr>
              <w:t xml:space="preserve">Next.js 16 — 32 صفحة (متجر + إدارة)</w:t>
            </w:r>
          </w:p>
        </w:tc>
        <w:tc>
          <w:tcPr>
            <w:tcW w:type="pct" w:w="33%"/>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21"/>
                <w:szCs w:val="21"/>
                <w:rtl/>
              </w:rPr>
              <w:t xml:space="preserve">[[EN]]frontend/src/app (32 × page.tsx)[[/EN]]</w:t>
            </w:r>
          </w:p>
        </w:tc>
      </w:tr>
      <w:tr>
        <w:trPr>
          <w:cantSplit/>
        </w:trPr>
        <w:tc>
          <w:tcPr>
            <w:tcW w:type="pct" w:w="22%"/>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21"/>
                <w:szCs w:val="21"/>
                <w:rtl/>
              </w:rPr>
              <w:t xml:space="preserve">قاعدة البيانات</w:t>
            </w:r>
          </w:p>
        </w:tc>
        <w:tc>
          <w:tcPr>
            <w:tcW w:type="pct" w:w="45%"/>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21"/>
                <w:szCs w:val="21"/>
                <w:rtl/>
              </w:rPr>
              <w:t xml:space="preserve">PostgreSQL/Supabase — 30+ كياناً، RLS بعشرين سياسة</w:t>
            </w:r>
          </w:p>
        </w:tc>
        <w:tc>
          <w:tcPr>
            <w:tcW w:type="pct" w:w="33%"/>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20"/>
                <w:szCs w:val="20"/>
              </w:rPr>
              <w:t xml:space="preserve">[[EN]]backend/app/models, migrations/enable_rls.sql[[/EN]]</w:t>
            </w:r>
          </w:p>
        </w:tc>
      </w:tr>
      <w:tr>
        <w:trPr>
          <w:cantSplit/>
        </w:trPr>
        <w:tc>
          <w:tcPr>
            <w:tcW w:type="pct" w:w="22%"/>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21"/>
                <w:szCs w:val="21"/>
                <w:rtl/>
              </w:rPr>
              <w:t xml:space="preserve">طبقة الوكلاء</w:t>
            </w:r>
          </w:p>
        </w:tc>
        <w:tc>
          <w:tcPr>
            <w:tcW w:type="pct" w:w="45%"/>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21"/>
                <w:szCs w:val="21"/>
                <w:rtl/>
              </w:rPr>
              <w:t xml:space="preserve">12 وكيلاً + بنية تحتية (hybrid, model_manager, simulator)</w:t>
            </w:r>
          </w:p>
        </w:tc>
        <w:tc>
          <w:tcPr>
            <w:tcW w:type="pct" w:w="33%"/>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20"/>
                <w:szCs w:val="20"/>
              </w:rPr>
              <w:t xml:space="preserve">[[EN]]backend/app/domains/agents[[/EN]]</w:t>
            </w:r>
          </w:p>
        </w:tc>
      </w:tr>
      <w:tr>
        <w:trPr>
          <w:cantSplit/>
        </w:trPr>
        <w:tc>
          <w:tcPr>
            <w:tcW w:type="pct" w:w="22%"/>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21"/>
                <w:szCs w:val="21"/>
                <w:rtl/>
              </w:rPr>
              <w:t xml:space="preserve">الأتمتة</w:t>
            </w:r>
          </w:p>
        </w:tc>
        <w:tc>
          <w:tcPr>
            <w:tcW w:type="pct" w:w="45%"/>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21"/>
                <w:szCs w:val="21"/>
                <w:rtl/>
              </w:rPr>
              <w:t xml:space="preserve">n8n — 14 سير عمل نشط مع حلقة قياس مغلقة</w:t>
            </w:r>
          </w:p>
        </w:tc>
        <w:tc>
          <w:tcPr>
            <w:tcW w:type="pct" w:w="33%"/>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20"/>
                <w:szCs w:val="20"/>
              </w:rPr>
              <w:t xml:space="preserve">[[EN]]D:\Graduation Project\n8n final (14 JSON)[[/EN]]</w:t>
            </w:r>
          </w:p>
        </w:tc>
      </w:tr>
      <w:tr>
        <w:trPr>
          <w:cantSplit/>
        </w:trPr>
        <w:tc>
          <w:tcPr>
            <w:tcW w:type="pct" w:w="22%"/>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21"/>
                <w:szCs w:val="21"/>
                <w:rtl/>
              </w:rPr>
              <w:t xml:space="preserve">الاختبارات</w:t>
            </w:r>
          </w:p>
        </w:tc>
        <w:tc>
          <w:tcPr>
            <w:tcW w:type="pct" w:w="45%"/>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21"/>
                <w:szCs w:val="21"/>
                <w:rtl/>
              </w:rPr>
              <w:t xml:space="preserve">34 ملف اختبار — 223 دالة اختبار</w:t>
            </w:r>
          </w:p>
        </w:tc>
        <w:tc>
          <w:tcPr>
            <w:tcW w:type="pct" w:w="33%"/>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20"/>
                <w:szCs w:val="20"/>
              </w:rPr>
              <w:t xml:space="preserve">[[EN]]backend/tests[[/EN]]</w:t>
            </w:r>
          </w:p>
        </w:tc>
      </w:tr>
      <w:tr>
        <w:trPr>
          <w:cantSplit/>
        </w:trPr>
        <w:tc>
          <w:tcPr>
            <w:tcW w:type="pct" w:w="22%"/>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21"/>
                <w:szCs w:val="21"/>
                <w:rtl/>
              </w:rPr>
              <w:t xml:space="preserve">الترحيلات</w:t>
            </w:r>
          </w:p>
        </w:tc>
        <w:tc>
          <w:tcPr>
            <w:tcW w:type="pct" w:w="45%"/>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21"/>
                <w:szCs w:val="21"/>
                <w:rtl/>
              </w:rPr>
              <w:t xml:space="preserve">15 ترحيل بنائي + سكربتات Supabase</w:t>
            </w:r>
          </w:p>
        </w:tc>
        <w:tc>
          <w:tcPr>
            <w:tcW w:type="pct" w:w="33%"/>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20"/>
                <w:szCs w:val="20"/>
              </w:rPr>
              <w:t xml:space="preserve">[[EN]]backend/migrations[[/EN]]</w:t>
            </w:r>
          </w:p>
        </w:tc>
      </w:tr>
    </w:tbl>
    <w:p>
      <w:pPr>
        <w:pStyle w:val="Heading1"/>
        <w:pageBreakBefore/>
        <w:bidi/>
        <w:spacing w:after="200" w:before="400" w:line="340"/>
        <w:jc w:val="right"/>
      </w:pPr>
      <w:bookmarkStart w:id="100002" w:name="_Toc100002"/>
      <w:r>
        <w:rPr>
          <w:rFonts w:ascii="Times New Roman" w:cs="Simplified Arabic" w:hAnsi="Times New Roman"/>
          <w:b/>
          <w:bCs/>
          <w:color w:val="1F3A5F"/>
          <w:sz w:val="32"/>
          <w:szCs w:val="36"/>
          <w:rtl/>
        </w:rPr>
        <w:t xml:space="preserve">5. الخلفية (Background)</w:t>
      </w:r>
      <w:bookmarkEnd w:id="100002"/>
    </w:p>
    <w:p>
      <w:pPr>
        <w:bidi/>
        <w:spacing w:after="120" w:line="312"/>
        <w:ind w:firstLine="340"/>
        <w:jc w:val="both"/>
      </w:pPr>
      <w:r>
        <w:rPr>
          <w:rFonts w:ascii="Times New Roman" w:cs="Traditional Arabic" w:hAnsi="Times New Roman"/>
          <w:b w:val="false"/>
          <w:i w:val="false"/>
          <w:iCs w:val="false"/>
          <w:color w:val="000000"/>
          <w:sz w:val="26"/>
          <w:szCs w:val="30"/>
          <w:rtl/>
        </w:rPr>
        <w:t xml:space="preserve">تعمل الصيدليات المصرية في بيئة تشغيلية عالية الحساسية: أدوية مزمنة بدورات صرف شخصية، تعارضات دوائية قد تهدد الحياة، هوامش ربح ضيقة تخضع لسقوف تسعير، وتشريعات لحماية بيانات المرضى (قانون حماية البيانات الشخصية المصري رقم 151 لسنة 2020). في المقابل، تدير معظم الصيدليات عملياتها بجداول متفرقة وأنظمة غير متكاملة، فتضيع فرص الاحتفاظ بالعملاء وإدارة المخزون الوقائية.</w:t>
      </w:r>
    </w:p>
    <w:p>
      <w:pPr>
        <w:bidi/>
        <w:spacing w:after="120" w:line="312"/>
        <w:ind w:firstLine="340"/>
        <w:jc w:val="both"/>
      </w:pPr>
      <w:r>
        <w:rPr>
          <w:rFonts w:ascii="Times New Roman" w:cs="Traditional Arabic" w:hAnsi="Times New Roman"/>
          <w:b w:val="false"/>
          <w:i w:val="false"/>
          <w:iCs w:val="false"/>
          <w:color w:val="000000"/>
          <w:sz w:val="26"/>
          <w:szCs w:val="30"/>
          <w:rtl/>
        </w:rPr>
        <w:t xml:space="preserve">من الخلفية الأكاديمية، تؤسس مقررات نظم معلومات الأعمال (تحليل وتصميم النظم، قواعد البيانات، ذكاء الأعمال، حوكمة نظم المعلومات) الإطار النظري لهذا المشروع: نمذجة العمليات، اتخاذ القرار المدعوم بالبيانات (DSS)، الضوابط الرقابية (COSO)، والتحليل الجنائي المحاسبي (ISA 240 / قانون بنفورد). ويضاف إليها أدوات حديثة نضجت مؤخراً: نماذج لغة محلية قابلة للتشغيل خارج السحابة (Ollama)، منصات أتمتة سير عمل منخفضة الكود (n8n)، ووكلاء أعمال يجمعون بين محركات حتمية ونماذج توليدية.</w:t>
      </w:r>
    </w:p>
    <w:p>
      <w:pPr>
        <w:bidi/>
        <w:spacing w:after="120" w:line="312"/>
        <w:ind w:firstLine="340"/>
        <w:jc w:val="both"/>
      </w:pPr>
      <w:r>
        <w:rPr>
          <w:rFonts w:ascii="Times New Roman" w:cs="Traditional Arabic" w:hAnsi="Times New Roman"/>
          <w:b w:val="false"/>
          <w:i w:val="false"/>
          <w:iCs w:val="false"/>
          <w:color w:val="000000"/>
          <w:sz w:val="26"/>
          <w:szCs w:val="30"/>
          <w:rtl/>
        </w:rPr>
        <w:t xml:space="preserve">وقد بُني المشروع على مكدس تقني حديث ومثبت: </w:t>
      </w:r>
      <w:r>
        <w:rPr>
          <w:rFonts w:ascii="Times New Roman" w:eastAsia="Times New Roman" w:hAnsi="Times New Roman"/>
          <w:b w:val="false"/>
          <w:bCs w:val="false"/>
          <w:i w:val="false"/>
          <w:iCs w:val="false"/>
          <w:color w:val="000000"/>
          <w:sz w:val="24"/>
          <w:szCs w:val="24"/>
        </w:rPr>
        <w:t xml:space="preserve">FastAPI + SQLAlchemy 2.0 (async)</w:t>
      </w:r>
      <w:r>
        <w:rPr>
          <w:rFonts w:ascii="Times New Roman" w:cs="Traditional Arabic" w:hAnsi="Times New Roman"/>
          <w:b w:val="false"/>
          <w:i w:val="false"/>
          <w:iCs w:val="false"/>
          <w:color w:val="000000"/>
          <w:sz w:val="26"/>
          <w:szCs w:val="30"/>
          <w:rtl/>
        </w:rPr>
        <w:t xml:space="preserve"> في الخلفية، </w:t>
      </w:r>
      <w:r>
        <w:rPr>
          <w:rFonts w:ascii="Times New Roman" w:eastAsia="Times New Roman" w:hAnsi="Times New Roman"/>
          <w:b w:val="false"/>
          <w:bCs w:val="false"/>
          <w:i w:val="false"/>
          <w:iCs w:val="false"/>
          <w:color w:val="000000"/>
          <w:sz w:val="24"/>
          <w:szCs w:val="24"/>
        </w:rPr>
        <w:t xml:space="preserve">Next.js 16 + React 19</w:t>
      </w:r>
      <w:r>
        <w:rPr>
          <w:rFonts w:ascii="Times New Roman" w:cs="Traditional Arabic" w:hAnsi="Times New Roman"/>
          <w:b w:val="false"/>
          <w:i w:val="false"/>
          <w:iCs w:val="false"/>
          <w:color w:val="000000"/>
          <w:sz w:val="26"/>
          <w:szCs w:val="30"/>
          <w:rtl/>
        </w:rPr>
        <w:t xml:space="preserve"> في الواجهة، </w:t>
      </w:r>
      <w:r>
        <w:rPr>
          <w:rFonts w:ascii="Times New Roman" w:eastAsia="Times New Roman" w:hAnsi="Times New Roman"/>
          <w:b w:val="false"/>
          <w:bCs w:val="false"/>
          <w:i w:val="false"/>
          <w:iCs w:val="false"/>
          <w:color w:val="000000"/>
          <w:sz w:val="24"/>
          <w:szCs w:val="24"/>
        </w:rPr>
        <w:t xml:space="preserve">PostgreSQL + pgvector (HNSW)</w:t>
      </w:r>
      <w:r>
        <w:rPr>
          <w:rFonts w:ascii="Times New Roman" w:cs="Traditional Arabic" w:hAnsi="Times New Roman"/>
          <w:b w:val="false"/>
          <w:i w:val="false"/>
          <w:iCs w:val="false"/>
          <w:color w:val="000000"/>
          <w:sz w:val="26"/>
          <w:szCs w:val="30"/>
          <w:rtl/>
        </w:rPr>
        <w:t xml:space="preserve"> للتخزين والاسترجاع الدلالي، و</w:t>
      </w:r>
      <w:r>
        <w:rPr>
          <w:rFonts w:ascii="Times New Roman" w:eastAsia="Times New Roman" w:hAnsi="Times New Roman"/>
          <w:b w:val="false"/>
          <w:bCs w:val="false"/>
          <w:i w:val="false"/>
          <w:iCs w:val="false"/>
          <w:color w:val="000000"/>
          <w:sz w:val="24"/>
          <w:szCs w:val="24"/>
        </w:rPr>
        <w:t xml:space="preserve">Supabase Auth</w:t>
      </w:r>
      <w:r>
        <w:rPr>
          <w:rFonts w:ascii="Times New Roman" w:cs="Traditional Arabic" w:hAnsi="Times New Roman"/>
          <w:b w:val="false"/>
          <w:i w:val="false"/>
          <w:iCs w:val="false"/>
          <w:color w:val="000000"/>
          <w:sz w:val="26"/>
          <w:szCs w:val="30"/>
          <w:rtl/>
        </w:rPr>
        <w:t xml:space="preserve"> للمصادقة.</w:t>
      </w:r>
    </w:p>
    <w:p>
      <w:pPr>
        <w:pStyle w:val="Heading1"/>
        <w:pageBreakBefore/>
        <w:bidi/>
        <w:spacing w:after="200" w:before="400" w:line="340"/>
        <w:jc w:val="right"/>
      </w:pPr>
      <w:bookmarkStart w:id="100003" w:name="_Toc100003"/>
      <w:r>
        <w:rPr>
          <w:rFonts w:ascii="Times New Roman" w:cs="Simplified Arabic" w:hAnsi="Times New Roman"/>
          <w:b/>
          <w:bCs/>
          <w:color w:val="1F3A5F"/>
          <w:sz w:val="32"/>
          <w:szCs w:val="36"/>
          <w:rtl/>
        </w:rPr>
        <w:t xml:space="preserve">6. مشكلة البحث (Problem Statement)</w:t>
      </w:r>
      <w:bookmarkEnd w:id="100003"/>
    </w:p>
    <w:p>
      <w:pPr>
        <w:bidi/>
        <w:spacing w:after="120" w:line="312"/>
        <w:ind w:firstLine="340"/>
        <w:jc w:val="both"/>
      </w:pPr>
      <w:r>
        <w:rPr>
          <w:rFonts w:ascii="Times New Roman" w:cs="Traditional Arabic" w:hAnsi="Times New Roman"/>
          <w:b w:val="false"/>
          <w:i w:val="false"/>
          <w:iCs w:val="false"/>
          <w:color w:val="000000"/>
          <w:sz w:val="26"/>
          <w:szCs w:val="30"/>
          <w:rtl/>
        </w:rPr>
        <w:t xml:space="preserve">تتمثل المشكلة في أربع فجوات متشابكة رصدت الدراسة الميدانية الأولية للممارسة الصيدلية التقليدية:</w:t>
      </w:r>
    </w:p>
    <w:p>
      <w:pPr>
        <w:pStyle w:val="ListParagraph"/>
        <w:numPr>
          <w:ilvl w:val="0"/>
          <w:numId w:val="1"/>
        </w:numPr>
        <w:bidi/>
        <w:spacing w:after="60" w:line="312"/>
        <w:jc w:val="both"/>
      </w:pPr>
      <w:r>
        <w:rPr>
          <w:rFonts w:ascii="Times New Roman" w:cs="Traditional Arabic" w:hAnsi="Times New Roman"/>
          <w:b w:val="false"/>
          <w:i w:val="false"/>
          <w:iCs w:val="false"/>
          <w:color w:val="000000"/>
          <w:sz w:val="26"/>
          <w:szCs w:val="30"/>
          <w:rtl/>
        </w:rPr>
        <w:t xml:space="preserve">فجوة السلامة الدوائية: لا يوجد حاجز آلي يمنع صرف دواءين متعارضين أو مكررَي المادة الفعالة في نفس الطلب، ويُترك الكشف للاجتهاد البشري المتعب.</w:t>
      </w:r>
    </w:p>
    <w:p>
      <w:pPr>
        <w:pStyle w:val="ListParagraph"/>
        <w:numPr>
          <w:ilvl w:val="0"/>
          <w:numId w:val="1"/>
        </w:numPr>
        <w:bidi/>
        <w:spacing w:after="60" w:line="312"/>
        <w:jc w:val="both"/>
      </w:pPr>
      <w:r>
        <w:rPr>
          <w:rFonts w:ascii="Times New Roman" w:cs="Traditional Arabic" w:hAnsi="Times New Roman"/>
          <w:b w:val="false"/>
          <w:i w:val="false"/>
          <w:iCs w:val="false"/>
          <w:color w:val="000000"/>
          <w:sz w:val="26"/>
          <w:szCs w:val="30"/>
          <w:rtl/>
        </w:rPr>
        <w:t xml:space="preserve">فجوة الاستمرارية العلاجية: مرضى الأمراض المزمنة ينقطعون عن إعادة الصرف في مواعدهم لأن لا أحد يتتبع دورتهم الشخصية، فيخسر المريض استقراره العلاجي وتخسر الصيدلية إيراداً متكرراً.</w:t>
      </w:r>
    </w:p>
    <w:p>
      <w:pPr>
        <w:pStyle w:val="ListParagraph"/>
        <w:numPr>
          <w:ilvl w:val="0"/>
          <w:numId w:val="1"/>
        </w:numPr>
        <w:bidi/>
        <w:spacing w:after="60" w:line="312"/>
        <w:jc w:val="both"/>
      </w:pPr>
      <w:r>
        <w:rPr>
          <w:rFonts w:ascii="Times New Roman" w:cs="Traditional Arabic" w:hAnsi="Times New Roman"/>
          <w:b w:val="false"/>
          <w:i w:val="false"/>
          <w:iCs w:val="false"/>
          <w:color w:val="000000"/>
          <w:sz w:val="26"/>
          <w:szCs w:val="30"/>
          <w:rtl/>
        </w:rPr>
        <w:t xml:space="preserve">فجوة القرار المالي: قرارات الخصم والاحتفاظ بالعملاء تُتخذ بالحدس دون نموذج كمي يوازن تكلفة الاحتفاظ مقابل صافي الربح، ودون رفض مبرمج للصفقات الخاسرة.</w:t>
      </w:r>
    </w:p>
    <w:p>
      <w:pPr>
        <w:pStyle w:val="ListParagraph"/>
        <w:numPr>
          <w:ilvl w:val="0"/>
          <w:numId w:val="1"/>
        </w:numPr>
        <w:bidi/>
        <w:spacing w:after="60" w:line="312"/>
        <w:jc w:val="both"/>
      </w:pPr>
      <w:r>
        <w:rPr>
          <w:rFonts w:ascii="Times New Roman" w:cs="Traditional Arabic" w:hAnsi="Times New Roman"/>
          <w:b w:val="false"/>
          <w:i w:val="false"/>
          <w:iCs w:val="false"/>
          <w:color w:val="000000"/>
          <w:sz w:val="26"/>
          <w:szCs w:val="30"/>
          <w:rtl/>
        </w:rPr>
        <w:t xml:space="preserve">فجوة الحوكمة: الأنظمة الجاهزة لا توفر سجل تدقيق مقاوم للتلاعب يثبت من فعل ماذا ومتى، ولا تحليل جنائي محاسبي يكشف الأنماط المصطنعة.</w:t>
      </w:r>
    </w:p>
    <w:p>
      <w:pPr>
        <w:bidi/>
        <w:spacing w:after="120" w:line="312"/>
        <w:ind w:firstLine="340"/>
        <w:jc w:val="both"/>
      </w:pPr>
      <w:r>
        <w:rPr>
          <w:rFonts w:ascii="Times New Roman" w:cs="Traditional Arabic" w:hAnsi="Times New Roman"/>
          <w:b w:val="false"/>
          <w:i w:val="false"/>
          <w:iCs w:val="false"/>
          <w:color w:val="000000"/>
          <w:sz w:val="26"/>
          <w:szCs w:val="30"/>
          <w:rtl/>
        </w:rPr>
        <w:t xml:space="preserve">وتت compounded هذه الفجوات بوجود بيانات حساسة للمرضى تمنع النقل العشوائي للسحابة، مما يستلزم بنية ذكاء تعمل محلياً أولاً مع تنقيح صارم لأي تسرب خارجي.</w:t>
      </w:r>
    </w:p>
    <w:p>
      <w:pPr>
        <w:pStyle w:val="Heading1"/>
        <w:pageBreakBefore/>
        <w:bidi/>
        <w:spacing w:after="200" w:before="400" w:line="340"/>
        <w:jc w:val="right"/>
      </w:pPr>
      <w:bookmarkStart w:id="100004" w:name="_Toc100004"/>
      <w:r>
        <w:rPr>
          <w:rFonts w:ascii="Times New Roman" w:cs="Simplified Arabic" w:hAnsi="Times New Roman"/>
          <w:b/>
          <w:bCs/>
          <w:color w:val="1F3A5F"/>
          <w:sz w:val="32"/>
          <w:szCs w:val="36"/>
          <w:rtl/>
        </w:rPr>
        <w:t xml:space="preserve">7. الحاجة التجارية (Business Need)</w:t>
      </w:r>
      <w:bookmarkEnd w:id="100004"/>
    </w:p>
    <w:p>
      <w:pPr>
        <w:bidi/>
        <w:spacing w:after="120" w:line="312"/>
        <w:ind w:firstLine="340"/>
        <w:jc w:val="both"/>
      </w:pPr>
      <w:r>
        <w:rPr>
          <w:rFonts w:ascii="Times New Roman" w:cs="Traditional Arabic" w:hAnsi="Times New Roman"/>
          <w:b w:val="false"/>
          <w:i w:val="false"/>
          <w:iCs w:val="false"/>
          <w:color w:val="000000"/>
          <w:sz w:val="26"/>
          <w:szCs w:val="30"/>
          <w:rtl/>
        </w:rPr>
        <w:t xml:space="preserve">تستخلص الحاجة التجارية من أربعة طلبات مباشرة من متخذي القرار في قطاع الصيدليات:</w:t>
      </w:r>
    </w:p>
    <w:p>
      <w:pPr>
        <w:pStyle w:val="ListParagraph"/>
        <w:numPr>
          <w:ilvl w:val="0"/>
          <w:numId w:val="1"/>
        </w:numPr>
        <w:bidi/>
        <w:spacing w:after="60" w:line="312"/>
        <w:jc w:val="both"/>
      </w:pPr>
      <w:r>
        <w:rPr>
          <w:rFonts w:ascii="Times New Roman" w:cs="Traditional Arabic" w:hAnsi="Times New Roman"/>
          <w:b w:val="false"/>
          <w:i w:val="false"/>
          <w:iCs w:val="false"/>
          <w:color w:val="000000"/>
          <w:sz w:val="26"/>
          <w:szCs w:val="30"/>
          <w:rtl/>
        </w:rPr>
        <w:t xml:space="preserve">حماية المريض كأولوية تشغيلية: منع حتمي (بالكود لا بحسن النية) لكل طلب يحمل خطراً دوائياً، مع توصيل بدائل مكافئة.</w:t>
      </w:r>
    </w:p>
    <w:p>
      <w:pPr>
        <w:pStyle w:val="ListParagraph"/>
        <w:numPr>
          <w:ilvl w:val="0"/>
          <w:numId w:val="1"/>
        </w:numPr>
        <w:bidi/>
        <w:spacing w:after="60" w:line="312"/>
        <w:jc w:val="both"/>
      </w:pPr>
      <w:r>
        <w:rPr>
          <w:rFonts w:ascii="Times New Roman" w:cs="Traditional Arabic" w:hAnsi="Times New Roman"/>
          <w:b w:val="false"/>
          <w:i w:val="false"/>
          <w:iCs w:val="false"/>
          <w:color w:val="000000"/>
          <w:sz w:val="26"/>
          <w:szCs w:val="30"/>
          <w:rtl/>
        </w:rPr>
        <w:t xml:space="preserve">إيراد متكرر مستدام: محرك تذكير دوري مبني على دورة الشراء الشخصية لكل مريض (avg_cycle_days) مع كوبونات مشروطة بنموذج الفقد (churn).</w:t>
      </w:r>
    </w:p>
    <w:p>
      <w:pPr>
        <w:pStyle w:val="ListParagraph"/>
        <w:numPr>
          <w:ilvl w:val="0"/>
          <w:numId w:val="1"/>
        </w:numPr>
        <w:bidi/>
        <w:spacing w:after="60" w:line="312"/>
        <w:jc w:val="both"/>
      </w:pPr>
      <w:r>
        <w:rPr>
          <w:rFonts w:ascii="Times New Roman" w:cs="Traditional Arabic" w:hAnsi="Times New Roman"/>
          <w:b w:val="false"/>
          <w:i w:val="false"/>
          <w:iCs w:val="false"/>
          <w:color w:val="000000"/>
          <w:sz w:val="26"/>
          <w:szCs w:val="30"/>
          <w:rtl/>
        </w:rPr>
        <w:t xml:space="preserve">قرارات مالية مبررة: تسعير وخصومات محسوبة من هامش صافي الربح مع بوابة رفض الاقتصادي (Abandon Unprofitable Retention).</w:t>
      </w:r>
    </w:p>
    <w:p>
      <w:pPr>
        <w:pStyle w:val="ListParagraph"/>
        <w:numPr>
          <w:ilvl w:val="0"/>
          <w:numId w:val="1"/>
        </w:numPr>
        <w:bidi/>
        <w:spacing w:after="60" w:line="312"/>
        <w:jc w:val="both"/>
      </w:pPr>
      <w:r>
        <w:rPr>
          <w:rFonts w:ascii="Times New Roman" w:cs="Traditional Arabic" w:hAnsi="Times New Roman"/>
          <w:b w:val="false"/>
          <w:i w:val="false"/>
          <w:iCs w:val="false"/>
          <w:color w:val="000000"/>
          <w:sz w:val="26"/>
          <w:szCs w:val="30"/>
          <w:rtl/>
        </w:rPr>
        <w:t xml:space="preserve">إثبات الرقابة: كل قرار تنفيذي (حجر تشغيلة، تذكير، خصم) موثق في audit_logs وموقّع في سجل WORM خارجي، مع قياس فعلي لنسب تسليم الأتمتة لا نسب مستهدفة.</w:t>
      </w:r>
    </w:p>
    <w:p>
      <w:pPr>
        <w:pStyle w:val="Heading1"/>
        <w:pageBreakBefore/>
        <w:bidi/>
        <w:spacing w:after="200" w:before="400" w:line="340"/>
        <w:jc w:val="right"/>
      </w:pPr>
      <w:bookmarkStart w:id="100005" w:name="_Toc100005"/>
      <w:r>
        <w:rPr>
          <w:rFonts w:ascii="Times New Roman" w:cs="Simplified Arabic" w:hAnsi="Times New Roman"/>
          <w:b/>
          <w:bCs/>
          <w:color w:val="1F3A5F"/>
          <w:sz w:val="32"/>
          <w:szCs w:val="36"/>
          <w:rtl/>
        </w:rPr>
        <w:t xml:space="preserve">8. أهداف النظام (Objectives)</w:t>
      </w:r>
      <w:bookmarkEnd w:id="100005"/>
    </w:p>
    <w:p>
      <w:pPr>
        <w:bidi/>
        <w:spacing w:after="120" w:line="312"/>
        <w:ind w:firstLine="340"/>
        <w:jc w:val="both"/>
      </w:pPr>
      <w:r>
        <w:rPr>
          <w:rFonts w:ascii="Times New Roman" w:cs="Traditional Arabic" w:hAnsi="Times New Roman"/>
          <w:b w:val="false"/>
          <w:i w:val="false"/>
          <w:iCs w:val="false"/>
          <w:color w:val="000000"/>
          <w:sz w:val="26"/>
          <w:szCs w:val="30"/>
          <w:rtl/>
        </w:rPr>
        <w:t xml:space="preserve">تترجم الحاجة التجارية إلى تسعة أهداف قابلة للقياس، ستُربط لاحقاً في مصفوفة التتبع بالمتطلبات والأدلة:</w:t>
      </w:r>
    </w:p>
    <w:p>
      <w:pPr>
        <w:pStyle w:val="ListParagraph"/>
        <w:numPr>
          <w:ilvl w:val="0"/>
          <w:numId w:val="1"/>
        </w:numPr>
        <w:bidi/>
        <w:spacing w:after="60" w:line="312"/>
        <w:jc w:val="both"/>
      </w:pPr>
      <w:r>
        <w:rPr>
          <w:rFonts w:ascii="Times New Roman" w:cs="Traditional Arabic" w:hAnsi="Times New Roman"/>
          <w:b w:val="false"/>
          <w:i w:val="false"/>
          <w:iCs w:val="false"/>
          <w:color w:val="000000"/>
          <w:sz w:val="26"/>
          <w:szCs w:val="30"/>
          <w:rtl/>
        </w:rPr>
        <w:t xml:space="preserve">OBJ-1: بناء متجر إلكتروني متعدد المستأجرين مع فحص سلامة دوائية حتمي داخل مسار الطلب.</w:t>
      </w:r>
    </w:p>
    <w:p>
      <w:pPr>
        <w:pStyle w:val="ListParagraph"/>
        <w:numPr>
          <w:ilvl w:val="0"/>
          <w:numId w:val="1"/>
        </w:numPr>
        <w:bidi/>
        <w:spacing w:after="60" w:line="312"/>
        <w:jc w:val="both"/>
      </w:pPr>
      <w:r>
        <w:rPr>
          <w:rFonts w:ascii="Times New Roman" w:cs="Traditional Arabic" w:hAnsi="Times New Roman"/>
          <w:b w:val="false"/>
          <w:i w:val="false"/>
          <w:iCs w:val="false"/>
          <w:color w:val="000000"/>
          <w:sz w:val="26"/>
          <w:szCs w:val="30"/>
          <w:rtl/>
        </w:rPr>
        <w:t xml:space="preserve">OBJ-2: تنفيذ خط رؤية حاسوبية لقراءة الروشتات اليدوية مع مطابقة ضبابية للكتالوج ومراجعة بشرية.</w:t>
      </w:r>
    </w:p>
    <w:p>
      <w:pPr>
        <w:pStyle w:val="ListParagraph"/>
        <w:numPr>
          <w:ilvl w:val="0"/>
          <w:numId w:val="1"/>
        </w:numPr>
        <w:bidi/>
        <w:spacing w:after="60" w:line="312"/>
        <w:jc w:val="both"/>
      </w:pPr>
      <w:r>
        <w:rPr>
          <w:rFonts w:ascii="Times New Roman" w:cs="Traditional Arabic" w:hAnsi="Times New Roman"/>
          <w:b w:val="false"/>
          <w:i w:val="false"/>
          <w:iCs w:val="false"/>
          <w:color w:val="000000"/>
          <w:sz w:val="26"/>
          <w:szCs w:val="30"/>
          <w:rtl/>
        </w:rPr>
        <w:t xml:space="preserve">OBJ-3: تشغيل مساعد صيدلي محادثي (RAG) يعمل محلياً أولاً بصفر هلوسة رقمية على الأسعار.</w:t>
      </w:r>
    </w:p>
    <w:p>
      <w:pPr>
        <w:pStyle w:val="ListParagraph"/>
        <w:numPr>
          <w:ilvl w:val="0"/>
          <w:numId w:val="1"/>
        </w:numPr>
        <w:bidi/>
        <w:spacing w:after="60" w:line="312"/>
        <w:jc w:val="both"/>
      </w:pPr>
      <w:r>
        <w:rPr>
          <w:rFonts w:ascii="Times New Roman" w:cs="Traditional Arabic" w:hAnsi="Times New Roman"/>
          <w:b w:val="false"/>
          <w:i w:val="false"/>
          <w:iCs w:val="false"/>
          <w:color w:val="000000"/>
          <w:sz w:val="26"/>
          <w:szCs w:val="30"/>
          <w:rtl/>
        </w:rPr>
        <w:t xml:space="preserve">OBJ-4: تشغيل 12 وكيلاً بنمط هجين (n8n أولاً، محلياً كاحتياط) مع بوابات قبول صارمة.</w:t>
      </w:r>
    </w:p>
    <w:p>
      <w:pPr>
        <w:pStyle w:val="ListParagraph"/>
        <w:numPr>
          <w:ilvl w:val="0"/>
          <w:numId w:val="1"/>
        </w:numPr>
        <w:bidi/>
        <w:spacing w:after="60" w:line="312"/>
        <w:jc w:val="both"/>
      </w:pPr>
      <w:r>
        <w:rPr>
          <w:rFonts w:ascii="Times New Roman" w:cs="Traditional Arabic" w:hAnsi="Times New Roman"/>
          <w:b w:val="false"/>
          <w:i w:val="false"/>
          <w:iCs w:val="false"/>
          <w:color w:val="000000"/>
          <w:sz w:val="26"/>
          <w:szCs w:val="30"/>
          <w:rtl/>
        </w:rPr>
        <w:t xml:space="preserve">OBJ-5: محرك تذكير دوري يعتمد دورة الشراء الشخصية ونموذج فقد مدرب (XGBoost) مع ضبط عتبة.</w:t>
      </w:r>
    </w:p>
    <w:p>
      <w:pPr>
        <w:pStyle w:val="ListParagraph"/>
        <w:numPr>
          <w:ilvl w:val="0"/>
          <w:numId w:val="1"/>
        </w:numPr>
        <w:bidi/>
        <w:spacing w:after="60" w:line="312"/>
        <w:jc w:val="both"/>
      </w:pPr>
      <w:r>
        <w:rPr>
          <w:rFonts w:ascii="Times New Roman" w:cs="Traditional Arabic" w:hAnsi="Times New Roman"/>
          <w:b w:val="false"/>
          <w:i w:val="false"/>
          <w:iCs w:val="false"/>
          <w:color w:val="000000"/>
          <w:sz w:val="26"/>
          <w:szCs w:val="30"/>
          <w:rtl/>
        </w:rPr>
        <w:t xml:space="preserve">OBJ-6: محرك تسعير مصرفي يمنع الخصم الخاسر حسابياً ويحسب العائد الصافي.</w:t>
      </w:r>
    </w:p>
    <w:p>
      <w:pPr>
        <w:pStyle w:val="ListParagraph"/>
        <w:numPr>
          <w:ilvl w:val="0"/>
          <w:numId w:val="1"/>
        </w:numPr>
        <w:bidi/>
        <w:spacing w:after="60" w:line="312"/>
        <w:jc w:val="both"/>
      </w:pPr>
      <w:r>
        <w:rPr>
          <w:rFonts w:ascii="Times New Roman" w:cs="Traditional Arabic" w:hAnsi="Times New Roman"/>
          <w:b w:val="false"/>
          <w:i w:val="false"/>
          <w:iCs w:val="false"/>
          <w:color w:val="000000"/>
          <w:sz w:val="26"/>
          <w:szCs w:val="30"/>
          <w:rtl/>
        </w:rPr>
        <w:t xml:space="preserve">OBJ-7: محاسبة مزدوجة القيد مع تحليل جنائي (بنفورد، الأرقام الدائرية، التهرب من السقوف).</w:t>
      </w:r>
    </w:p>
    <w:p>
      <w:pPr>
        <w:pStyle w:val="ListParagraph"/>
        <w:numPr>
          <w:ilvl w:val="0"/>
          <w:numId w:val="1"/>
        </w:numPr>
        <w:bidi/>
        <w:spacing w:after="60" w:line="312"/>
        <w:jc w:val="both"/>
      </w:pPr>
      <w:r>
        <w:rPr>
          <w:rFonts w:ascii="Times New Roman" w:cs="Traditional Arabic" w:hAnsi="Times New Roman"/>
          <w:b w:val="false"/>
          <w:i w:val="false"/>
          <w:iCs w:val="false"/>
          <w:color w:val="000000"/>
          <w:sz w:val="26"/>
          <w:szCs w:val="30"/>
          <w:rtl/>
        </w:rPr>
        <w:t xml:space="preserve">OBJ-8: حوكمة WORM خارجية بسلسلة SHA-256 ومرساة خارجية دورية، تكشف حذف السجلات.</w:t>
      </w:r>
    </w:p>
    <w:p>
      <w:pPr>
        <w:pStyle w:val="ListParagraph"/>
        <w:numPr>
          <w:ilvl w:val="0"/>
          <w:numId w:val="1"/>
        </w:numPr>
        <w:bidi/>
        <w:spacing w:after="60" w:line="312"/>
        <w:jc w:val="both"/>
      </w:pPr>
      <w:r>
        <w:rPr>
          <w:rFonts w:ascii="Times New Roman" w:cs="Traditional Arabic" w:hAnsi="Times New Roman"/>
          <w:b w:val="false"/>
          <w:i w:val="false"/>
          <w:iCs w:val="false"/>
          <w:color w:val="000000"/>
          <w:sz w:val="26"/>
          <w:szCs w:val="30"/>
          <w:rtl/>
        </w:rPr>
        <w:t xml:space="preserve">OBJ-9: معمارية حزم عمودية تفصل نواة النظام الثابتة عن ما يتغير (المصطلحات، التسعير، السلامة، المعايير).</w:t>
      </w:r>
    </w:p>
    <w:p>
      <w:pPr>
        <w:pStyle w:val="Heading1"/>
        <w:pageBreakBefore/>
        <w:bidi/>
        <w:spacing w:after="200" w:before="400" w:line="340"/>
        <w:jc w:val="right"/>
      </w:pPr>
      <w:bookmarkStart w:id="100006" w:name="_Toc100006"/>
      <w:r>
        <w:rPr>
          <w:rFonts w:ascii="Times New Roman" w:cs="Simplified Arabic" w:hAnsi="Times New Roman"/>
          <w:b/>
          <w:bCs/>
          <w:color w:val="1F3A5F"/>
          <w:sz w:val="32"/>
          <w:szCs w:val="36"/>
          <w:rtl/>
        </w:rPr>
        <w:t xml:space="preserve">9. نطاق النظام (System Scope)</w:t>
      </w:r>
      <w:bookmarkEnd w:id="100006"/>
    </w:p>
    <w:p>
      <w:pPr>
        <w:bidi/>
        <w:spacing w:after="120" w:line="312"/>
        <w:ind w:firstLine="340"/>
        <w:jc w:val="both"/>
      </w:pPr>
      <w:r>
        <w:rPr>
          <w:rFonts w:ascii="Times New Roman" w:cs="Traditional Arabic" w:hAnsi="Times New Roman"/>
          <w:b w:val="false"/>
          <w:i w:val="false"/>
          <w:iCs w:val="false"/>
          <w:color w:val="000000"/>
          <w:sz w:val="26"/>
          <w:szCs w:val="30"/>
          <w:rtl/>
        </w:rPr>
        <w:t xml:space="preserve">يشمل النطاق الداخلي (In Scope) كل ما هو مثبت في المستودع: المتجر ولوحة الإدارة، مسار الطلب مع بوابات CDSS، خط الروشتات (رفع → رؤية → مطابقة → مراجعة بشرية → سلة)، المساعد المحادثي (RAG محلي)، طبقة الوكلاء الاثني عشر، الأتمتة عبر n8n (تذكيرات، طوارئ، ملخص أسبوعي، مرساة WORM)، المحاسبة مزدوجة القيد والتحليل الجنائي، التنبؤ بالدورة ونموذج الفقد، إدارة حزم الأعمال العمودية، وسجل التدقيق والـ WORM.</w:t>
      </w:r>
    </w:p>
    <w:p>
      <w:pPr>
        <w:bidi/>
        <w:spacing w:after="120" w:line="312"/>
        <w:ind w:firstLine="340"/>
        <w:jc w:val="both"/>
      </w:pPr>
      <w:r>
        <w:rPr>
          <w:rFonts w:ascii="Times New Roman" w:cs="Traditional Arabic" w:hAnsi="Times New Roman"/>
          <w:b w:val="false"/>
          <w:i w:val="false"/>
          <w:iCs w:val="false"/>
          <w:color w:val="000000"/>
          <w:sz w:val="26"/>
          <w:szCs w:val="30"/>
          <w:rtl/>
        </w:rPr>
        <w:t xml:space="preserve">خارج النطاق الحالي (Out of Scope — مثبت بالغياب): بوابة دفع إلكتروني حي داخل المستودع (الدفع يتم خارجياً عند التسليم)، تطبيق جوال أصلي (الواجهة ويب متجاوب)، تكامل ERP خارجي، ولوحة تحكم متعددة فروع في الوقت الحقيقي. وهذه موثقة في قسم القيود كممكنات مستقبلية لا كادعاءات.</w:t>
      </w:r>
    </w:p>
    <w:p>
      <w:pPr>
        <w:pStyle w:val="Heading1"/>
        <w:pageBreakBefore/>
        <w:bidi/>
        <w:spacing w:after="200" w:before="400" w:line="340"/>
        <w:jc w:val="right"/>
      </w:pPr>
      <w:bookmarkStart w:id="100007" w:name="_Toc100007"/>
      <w:r>
        <w:rPr>
          <w:rFonts w:ascii="Times New Roman" w:cs="Simplified Arabic" w:hAnsi="Times New Roman"/>
          <w:b/>
          <w:bCs/>
          <w:color w:val="1F3A5F"/>
          <w:sz w:val="32"/>
          <w:szCs w:val="36"/>
          <w:rtl/>
        </w:rPr>
        <w:t xml:space="preserve">10. أصحاب المصلحة والفاعلون (Stakeholders &amp; Actors)</w:t>
      </w:r>
      <w:bookmarkEnd w:id="100007"/>
    </w:p>
    <w:p>
      <w:pPr>
        <w:bidi/>
        <w:spacing w:after="120" w:line="312"/>
        <w:ind w:firstLine="340"/>
        <w:jc w:val="both"/>
      </w:pPr>
      <w:r>
        <w:rPr>
          <w:rFonts w:ascii="Times New Roman" w:cs="Traditional Arabic" w:hAnsi="Times New Roman"/>
          <w:b w:val="false"/>
          <w:i w:val="false"/>
          <w:iCs w:val="false"/>
          <w:color w:val="000000"/>
          <w:sz w:val="26"/>
          <w:szCs w:val="30"/>
          <w:rtl/>
        </w:rPr>
        <w:t xml:space="preserve">استُخرج الفاعلون التاليون مباشرة من كود التفويض والحماية (</w:t>
      </w:r>
      <w:r>
        <w:rPr>
          <w:rFonts w:ascii="Times New Roman" w:eastAsia="Times New Roman" w:hAnsi="Times New Roman"/>
          <w:b w:val="false"/>
          <w:bCs w:val="false"/>
          <w:i w:val="false"/>
          <w:iCs w:val="false"/>
          <w:color w:val="000000"/>
          <w:sz w:val="24"/>
          <w:szCs w:val="24"/>
        </w:rPr>
        <w:t xml:space="preserve">backend/app/dependencies/auth.py</w:t>
      </w:r>
      <w:r>
        <w:rPr>
          <w:rFonts w:ascii="Times New Roman" w:cs="Traditional Arabic" w:hAnsi="Times New Roman"/>
          <w:b w:val="false"/>
          <w:i w:val="false"/>
          <w:iCs w:val="false"/>
          <w:color w:val="000000"/>
          <w:sz w:val="26"/>
          <w:szCs w:val="30"/>
          <w:rtl/>
        </w:rPr>
        <w:t xml:space="preserve">: ‏require_role، require_internal_service، require_admin_or_internal) ومن عقود n8n الحية:</w:t>
      </w:r>
    </w:p>
    <w:tbl>
      <w:tblPr>
        <w:bidiVisual/>
        <w:tblW w:type="pct" w:w="100%"/>
        <w:tblBorders>
          <w:top w:val="single" w:color="9AA6B2" w:sz="6"/>
          <w:left w:val="none" w:color="FFFFFF" w:sz="0"/>
          <w:bottom w:val="single" w:color="9AA6B2" w:sz="6"/>
          <w:right w:val="none" w:color="FFFFFF" w:sz="0"/>
          <w:insideH w:val="single" w:color="D5DCE4" w:sz="2"/>
          <w:insideV w:val="single" w:color="D5DCE4" w:sz="2"/>
        </w:tblBorders>
      </w:tblPr>
      <w:tblGrid>
        <w:gridCol w:w="100"/>
        <w:gridCol w:w="100"/>
        <w:gridCol w:w="100"/>
        <w:gridCol w:w="100"/>
        <w:gridCol w:w="100"/>
      </w:tblGrid>
      <w:tr>
        <w:trPr>
          <w:cantSplit/>
          <w:tblHeader/>
        </w:trPr>
        <w:tc>
          <w:tcPr>
            <w:tcW w:type="pct" w:w="16%"/>
            <w:shd w:fill="E8EDF3" w:val="clear"/>
            <w:tcMar>
              <w:top w:type="dxa" w:w="70"/>
              <w:left w:type="dxa" w:w="100"/>
              <w:bottom w:type="dxa" w:w="70"/>
              <w:right w:type="dxa" w:w="100"/>
            </w:tcMar>
            <w:vAlign w:val="center"/>
          </w:tcPr>
          <w:p>
            <w:pPr>
              <w:bidi/>
              <w:jc w:val="center"/>
            </w:pPr>
            <w:r>
              <w:rPr>
                <w:rFonts w:ascii="Times New Roman" w:cs="Traditional Arabic" w:hAnsi="Times New Roman"/>
                <w:b/>
                <w:bCs/>
                <w:i w:val="false"/>
                <w:iCs w:val="false"/>
                <w:color w:val="111111"/>
                <w:sz w:val="21"/>
                <w:szCs w:val="21"/>
                <w:rtl/>
              </w:rPr>
              <w:t xml:space="preserve">الفاعل</w:t>
            </w:r>
          </w:p>
        </w:tc>
        <w:tc>
          <w:tcPr>
            <w:tcW w:type="pct" w:w="8%"/>
            <w:shd w:fill="E8EDF3" w:val="clear"/>
            <w:tcMar>
              <w:top w:type="dxa" w:w="70"/>
              <w:left w:type="dxa" w:w="100"/>
              <w:bottom w:type="dxa" w:w="70"/>
              <w:right w:type="dxa" w:w="100"/>
            </w:tcMar>
            <w:vAlign w:val="center"/>
          </w:tcPr>
          <w:p>
            <w:pPr>
              <w:bidi/>
              <w:jc w:val="center"/>
            </w:pPr>
            <w:r>
              <w:rPr>
                <w:rFonts w:ascii="Times New Roman" w:cs="Traditional Arabic" w:hAnsi="Times New Roman"/>
                <w:b/>
                <w:bCs/>
                <w:i w:val="false"/>
                <w:iCs w:val="false"/>
                <w:color w:val="111111"/>
                <w:sz w:val="21"/>
                <w:szCs w:val="21"/>
                <w:rtl/>
              </w:rPr>
              <w:t xml:space="preserve">النوع</w:t>
            </w:r>
          </w:p>
        </w:tc>
        <w:tc>
          <w:tcPr>
            <w:tcW w:type="pct" w:w="34%"/>
            <w:shd w:fill="E8EDF3" w:val="clear"/>
            <w:tcMar>
              <w:top w:type="dxa" w:w="70"/>
              <w:left w:type="dxa" w:w="100"/>
              <w:bottom w:type="dxa" w:w="70"/>
              <w:right w:type="dxa" w:w="100"/>
            </w:tcMar>
            <w:vAlign w:val="center"/>
          </w:tcPr>
          <w:p>
            <w:pPr>
              <w:bidi/>
              <w:jc w:val="center"/>
            </w:pPr>
            <w:r>
              <w:rPr>
                <w:rFonts w:ascii="Times New Roman" w:cs="Traditional Arabic" w:hAnsi="Times New Roman"/>
                <w:b/>
                <w:bCs/>
                <w:i w:val="false"/>
                <w:iCs w:val="false"/>
                <w:color w:val="111111"/>
                <w:sz w:val="21"/>
                <w:szCs w:val="21"/>
                <w:rtl/>
              </w:rPr>
              <w:t xml:space="preserve">الدور التشغيلي</w:t>
            </w:r>
          </w:p>
        </w:tc>
        <w:tc>
          <w:tcPr>
            <w:tcW w:type="pct" w:w="20%"/>
            <w:shd w:fill="E8EDF3" w:val="clear"/>
            <w:tcMar>
              <w:top w:type="dxa" w:w="70"/>
              <w:left w:type="dxa" w:w="100"/>
              <w:bottom w:type="dxa" w:w="70"/>
              <w:right w:type="dxa" w:w="100"/>
            </w:tcMar>
            <w:vAlign w:val="center"/>
          </w:tcPr>
          <w:p>
            <w:pPr>
              <w:bidi/>
              <w:jc w:val="center"/>
            </w:pPr>
            <w:r>
              <w:rPr>
                <w:rFonts w:ascii="Times New Roman" w:cs="Traditional Arabic" w:hAnsi="Times New Roman"/>
                <w:b/>
                <w:bCs/>
                <w:i w:val="false"/>
                <w:iCs w:val="false"/>
                <w:color w:val="111111"/>
                <w:sz w:val="21"/>
                <w:szCs w:val="21"/>
                <w:rtl/>
              </w:rPr>
              <w:t xml:space="preserve">قناة الوصول</w:t>
            </w:r>
          </w:p>
        </w:tc>
        <w:tc>
          <w:tcPr>
            <w:tcW w:type="pct" w:w="22%"/>
            <w:shd w:fill="E8EDF3" w:val="clear"/>
            <w:tcMar>
              <w:top w:type="dxa" w:w="70"/>
              <w:left w:type="dxa" w:w="100"/>
              <w:bottom w:type="dxa" w:w="70"/>
              <w:right w:type="dxa" w:w="100"/>
            </w:tcMar>
            <w:vAlign w:val="center"/>
          </w:tcPr>
          <w:p>
            <w:pPr>
              <w:bidi/>
              <w:jc w:val="center"/>
            </w:pPr>
            <w:r>
              <w:rPr>
                <w:rFonts w:ascii="Times New Roman" w:cs="Traditional Arabic" w:hAnsi="Times New Roman"/>
                <w:b/>
                <w:bCs/>
                <w:i w:val="false"/>
                <w:iCs w:val="false"/>
                <w:color w:val="111111"/>
                <w:sz w:val="21"/>
                <w:szCs w:val="21"/>
                <w:rtl/>
              </w:rPr>
              <w:t xml:space="preserve">الدليل</w:t>
            </w:r>
          </w:p>
        </w:tc>
      </w:tr>
      <w:tr>
        <w:trPr>
          <w:cantSplit/>
        </w:trPr>
        <w:tc>
          <w:tcPr>
            <w:tcW w:type="pct" w:w="16%"/>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20"/>
                <w:szCs w:val="20"/>
                <w:rtl/>
              </w:rPr>
              <w:t xml:space="preserve">العميل (Customer)</w:t>
            </w:r>
          </w:p>
        </w:tc>
        <w:tc>
          <w:tcPr>
            <w:tcW w:type="pct" w:w="8%"/>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20"/>
                <w:szCs w:val="20"/>
                <w:rtl/>
              </w:rPr>
              <w:t xml:space="preserve">إنسان</w:t>
            </w:r>
          </w:p>
        </w:tc>
        <w:tc>
          <w:tcPr>
            <w:tcW w:type="pct" w:w="34%"/>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20"/>
                <w:szCs w:val="20"/>
                <w:rtl/>
              </w:rPr>
              <w:t xml:space="preserve">تصفح، طلب، رفع روشتة، محادثة، استلام تذكيرات</w:t>
            </w:r>
          </w:p>
        </w:tc>
        <w:tc>
          <w:tcPr>
            <w:tcW w:type="pct" w:w="20%"/>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20"/>
                <w:szCs w:val="20"/>
                <w:rtl/>
              </w:rPr>
              <w:t xml:space="preserve">واجهة المتجر + شات + تليجرام</w:t>
            </w:r>
          </w:p>
        </w:tc>
        <w:tc>
          <w:tcPr>
            <w:tcW w:type="pct" w:w="22%"/>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20"/>
                <w:szCs w:val="20"/>
                <w:rtl/>
              </w:rPr>
              <w:t xml:space="preserve">متجر storefront + /checkout</w:t>
            </w:r>
          </w:p>
        </w:tc>
      </w:tr>
      <w:tr>
        <w:trPr>
          <w:cantSplit/>
        </w:trPr>
        <w:tc>
          <w:tcPr>
            <w:tcW w:type="pct" w:w="16%"/>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20"/>
                <w:szCs w:val="20"/>
                <w:rtl/>
              </w:rPr>
              <w:t xml:space="preserve">الصيدلي (Pharmacist)</w:t>
            </w:r>
          </w:p>
        </w:tc>
        <w:tc>
          <w:tcPr>
            <w:tcW w:type="pct" w:w="8%"/>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20"/>
                <w:szCs w:val="20"/>
                <w:rtl/>
              </w:rPr>
              <w:t xml:space="preserve">إنسان</w:t>
            </w:r>
          </w:p>
        </w:tc>
        <w:tc>
          <w:tcPr>
            <w:tcW w:type="pct" w:w="34%"/>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20"/>
                <w:szCs w:val="20"/>
                <w:rtl/>
              </w:rPr>
              <w:t xml:space="preserve">مراجعة الروشتات، اعتماد التوصيات، الرد على الشكاوى</w:t>
            </w:r>
          </w:p>
        </w:tc>
        <w:tc>
          <w:tcPr>
            <w:tcW w:type="pct" w:w="20%"/>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20"/>
                <w:szCs w:val="20"/>
                <w:rtl/>
              </w:rPr>
              <w:t xml:space="preserve">لوحة الإدارة /admin</w:t>
            </w:r>
          </w:p>
        </w:tc>
        <w:tc>
          <w:tcPr>
            <w:tcW w:type="pct" w:w="22%"/>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20"/>
                <w:szCs w:val="20"/>
              </w:rPr>
              <w:t xml:space="preserve">require_role('admin','pharmacist')</w:t>
            </w:r>
          </w:p>
        </w:tc>
      </w:tr>
      <w:tr>
        <w:trPr>
          <w:cantSplit/>
        </w:trPr>
        <w:tc>
          <w:tcPr>
            <w:tcW w:type="pct" w:w="16%"/>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20"/>
                <w:szCs w:val="20"/>
                <w:rtl/>
              </w:rPr>
              <w:t xml:space="preserve">مدير الصيدلية (Admin)</w:t>
            </w:r>
          </w:p>
        </w:tc>
        <w:tc>
          <w:tcPr>
            <w:tcW w:type="pct" w:w="8%"/>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20"/>
                <w:szCs w:val="20"/>
                <w:rtl/>
              </w:rPr>
              <w:t xml:space="preserve">إنسان</w:t>
            </w:r>
          </w:p>
        </w:tc>
        <w:tc>
          <w:tcPr>
            <w:tcW w:type="pct" w:w="34%"/>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20"/>
                <w:szCs w:val="20"/>
                <w:rtl/>
              </w:rPr>
              <w:t xml:space="preserve">كل صلاحيات الإدارة: التسعير، المخزون، الوكلاء، الحزم، التدقيق</w:t>
            </w:r>
          </w:p>
        </w:tc>
        <w:tc>
          <w:tcPr>
            <w:tcW w:type="pct" w:w="20%"/>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20"/>
                <w:szCs w:val="20"/>
                <w:rtl/>
              </w:rPr>
              <w:t xml:space="preserve">لوحة /admin كاملة</w:t>
            </w:r>
          </w:p>
        </w:tc>
        <w:tc>
          <w:tcPr>
            <w:tcW w:type="pct" w:w="22%"/>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20"/>
                <w:szCs w:val="20"/>
              </w:rPr>
              <w:t xml:space="preserve">require_role('admin','super_admin')</w:t>
            </w:r>
          </w:p>
        </w:tc>
      </w:tr>
      <w:tr>
        <w:trPr>
          <w:cantSplit/>
        </w:trPr>
        <w:tc>
          <w:tcPr>
            <w:tcW w:type="pct" w:w="16%"/>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20"/>
                <w:szCs w:val="20"/>
                <w:rtl/>
              </w:rPr>
              <w:t xml:space="preserve">مدير النظام (Super Admin)</w:t>
            </w:r>
          </w:p>
        </w:tc>
        <w:tc>
          <w:tcPr>
            <w:tcW w:type="pct" w:w="8%"/>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20"/>
                <w:szCs w:val="20"/>
                <w:rtl/>
              </w:rPr>
              <w:t xml:space="preserve">إنسان</w:t>
            </w:r>
          </w:p>
        </w:tc>
        <w:tc>
          <w:tcPr>
            <w:tcW w:type="pct" w:w="34%"/>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20"/>
                <w:szCs w:val="20"/>
                <w:rtl/>
              </w:rPr>
              <w:t xml:space="preserve">إدارة المنصة عبر المستأجرين (بضوابط: السحب الدوائي يستلزم مستأجراً محدداً)</w:t>
            </w:r>
          </w:p>
        </w:tc>
        <w:tc>
          <w:tcPr>
            <w:tcW w:type="pct" w:w="20%"/>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20"/>
                <w:szCs w:val="20"/>
                <w:rtl/>
              </w:rPr>
              <w:t xml:space="preserve">لوحة + API</w:t>
            </w:r>
          </w:p>
        </w:tc>
        <w:tc>
          <w:tcPr>
            <w:tcW w:type="pct" w:w="22%"/>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20"/>
                <w:szCs w:val="20"/>
              </w:rPr>
              <w:t xml:space="preserve">role='super_admin'</w:t>
            </w:r>
          </w:p>
        </w:tc>
      </w:tr>
      <w:tr>
        <w:trPr>
          <w:cantSplit/>
        </w:trPr>
        <w:tc>
          <w:tcPr>
            <w:tcW w:type="pct" w:w="16%"/>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20"/>
                <w:szCs w:val="20"/>
                <w:rtl/>
              </w:rPr>
              <w:t xml:space="preserve">محرك n8n (system)</w:t>
            </w:r>
          </w:p>
        </w:tc>
        <w:tc>
          <w:tcPr>
            <w:tcW w:type="pct" w:w="8%"/>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20"/>
                <w:szCs w:val="20"/>
                <w:rtl/>
              </w:rPr>
              <w:t xml:space="preserve">نظام</w:t>
            </w:r>
          </w:p>
        </w:tc>
        <w:tc>
          <w:tcPr>
            <w:tcW w:type="pct" w:w="34%"/>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20"/>
                <w:szCs w:val="20"/>
                <w:rtl/>
              </w:rPr>
              <w:t xml:space="preserve">أتمتة التذكيرات والطوارئ والملخص الأسبوعي + رد الـ callback</w:t>
            </w:r>
          </w:p>
        </w:tc>
        <w:tc>
          <w:tcPr>
            <w:tcW w:type="pct" w:w="20%"/>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20"/>
                <w:szCs w:val="20"/>
              </w:rPr>
              <w:t xml:space="preserve">webhooks + X-Internal-Token</w:t>
            </w:r>
          </w:p>
        </w:tc>
        <w:tc>
          <w:tcPr>
            <w:tcW w:type="pct" w:w="22%"/>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20"/>
                <w:szCs w:val="20"/>
              </w:rPr>
              <w:t xml:space="preserve">require_internal_service</w:t>
            </w:r>
          </w:p>
        </w:tc>
      </w:tr>
      <w:tr>
        <w:trPr>
          <w:cantSplit/>
        </w:trPr>
        <w:tc>
          <w:tcPr>
            <w:tcW w:type="pct" w:w="16%"/>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20"/>
                <w:szCs w:val="20"/>
                <w:rtl/>
              </w:rPr>
              <w:t xml:space="preserve">مزودو LLM (system)</w:t>
            </w:r>
          </w:p>
        </w:tc>
        <w:tc>
          <w:tcPr>
            <w:tcW w:type="pct" w:w="8%"/>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20"/>
                <w:szCs w:val="20"/>
                <w:rtl/>
              </w:rPr>
              <w:t xml:space="preserve">نظام</w:t>
            </w:r>
          </w:p>
        </w:tc>
        <w:tc>
          <w:tcPr>
            <w:tcW w:type="pct" w:w="34%"/>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20"/>
                <w:szCs w:val="20"/>
                <w:rtl/>
              </w:rPr>
              <w:t xml:space="preserve">الصياغة والتلخيص (Ollama محلياً أولاً، Gemini بديلاً منقّى)</w:t>
            </w:r>
          </w:p>
        </w:tc>
        <w:tc>
          <w:tcPr>
            <w:tcW w:type="pct" w:w="20%"/>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20"/>
                <w:szCs w:val="20"/>
                <w:rtl/>
              </w:rPr>
              <w:t xml:space="preserve">HTTP داخلي/سحابي</w:t>
            </w:r>
          </w:p>
        </w:tc>
        <w:tc>
          <w:tcPr>
            <w:tcW w:type="pct" w:w="22%"/>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20"/>
                <w:szCs w:val="20"/>
              </w:rPr>
              <w:t xml:space="preserve">execute_tiered_llm</w:t>
            </w:r>
          </w:p>
        </w:tc>
      </w:tr>
      <w:tr>
        <w:trPr>
          <w:cantSplit/>
        </w:trPr>
        <w:tc>
          <w:tcPr>
            <w:tcW w:type="pct" w:w="16%"/>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20"/>
                <w:szCs w:val="20"/>
                <w:rtl/>
              </w:rPr>
              <w:t xml:space="preserve">المورد (Supplier)</w:t>
            </w:r>
          </w:p>
        </w:tc>
        <w:tc>
          <w:tcPr>
            <w:tcW w:type="pct" w:w="8%"/>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20"/>
                <w:szCs w:val="20"/>
                <w:rtl/>
              </w:rPr>
              <w:t xml:space="preserve">إنسان</w:t>
            </w:r>
          </w:p>
        </w:tc>
        <w:tc>
          <w:tcPr>
            <w:tcW w:type="pct" w:w="34%"/>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20"/>
                <w:szCs w:val="20"/>
                <w:rtl/>
              </w:rPr>
              <w:t xml:space="preserve">استلام أوامر الشراء وتأكيد التوريد</w:t>
            </w:r>
          </w:p>
        </w:tc>
        <w:tc>
          <w:tcPr>
            <w:tcW w:type="pct" w:w="20%"/>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20"/>
                <w:szCs w:val="20"/>
                <w:rtl/>
              </w:rPr>
              <w:t xml:space="preserve">خارج النظام (توثيق دفتري)</w:t>
            </w:r>
          </w:p>
        </w:tc>
        <w:tc>
          <w:tcPr>
            <w:tcW w:type="pct" w:w="22%"/>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20"/>
                <w:szCs w:val="20"/>
              </w:rPr>
              <w:t xml:space="preserve">purchase_orders.supplier</w:t>
            </w:r>
          </w:p>
        </w:tc>
      </w:tr>
      <w:tr>
        <w:trPr>
          <w:cantSplit/>
        </w:trPr>
        <w:tc>
          <w:tcPr>
            <w:tcW w:type="pct" w:w="16%"/>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20"/>
                <w:szCs w:val="20"/>
                <w:rtl/>
              </w:rPr>
              <w:t xml:space="preserve">مدقق خارجي (Auditor)</w:t>
            </w:r>
          </w:p>
        </w:tc>
        <w:tc>
          <w:tcPr>
            <w:tcW w:type="pct" w:w="8%"/>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20"/>
                <w:szCs w:val="20"/>
                <w:rtl/>
              </w:rPr>
              <w:t xml:space="preserve">دور رقابي</w:t>
            </w:r>
          </w:p>
        </w:tc>
        <w:tc>
          <w:tcPr>
            <w:tcW w:type="pct" w:w="34%"/>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20"/>
                <w:szCs w:val="20"/>
                <w:rtl/>
              </w:rPr>
              <w:t xml:space="preserve">قراءة سجل WORM والتحقق الجنائي</w:t>
            </w:r>
          </w:p>
        </w:tc>
        <w:tc>
          <w:tcPr>
            <w:tcW w:type="pct" w:w="20%"/>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20"/>
                <w:szCs w:val="20"/>
                <w:rtl/>
              </w:rPr>
              <w:t xml:space="preserve">مفاتيح خارجية + تليجرام</w:t>
            </w:r>
          </w:p>
        </w:tc>
        <w:tc>
          <w:tcPr>
            <w:tcW w:type="pct" w:w="22%"/>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20"/>
                <w:szCs w:val="20"/>
              </w:rPr>
              <w:t xml:space="preserve">verify_against_db</w:t>
            </w:r>
          </w:p>
        </w:tc>
      </w:tr>
    </w:tbl>
    <w:p>
      <w:pPr>
        <w:pStyle w:val="Heading1"/>
        <w:pageBreakBefore/>
        <w:bidi/>
        <w:spacing w:after="200" w:before="400" w:line="340"/>
        <w:jc w:val="right"/>
      </w:pPr>
      <w:bookmarkStart w:id="100008" w:name="_Toc100008"/>
      <w:r>
        <w:rPr>
          <w:rFonts w:ascii="Times New Roman" w:cs="Simplified Arabic" w:hAnsi="Times New Roman"/>
          <w:b/>
          <w:bCs/>
          <w:color w:val="1F3A5F"/>
          <w:sz w:val="32"/>
          <w:szCs w:val="36"/>
          <w:rtl/>
        </w:rPr>
        <w:t xml:space="preserve">11. العملية القائمة والمشكلات الحالية (Existing Process &amp; Problems)</w:t>
      </w:r>
      <w:bookmarkEnd w:id="100008"/>
    </w:p>
    <w:p>
      <w:pPr>
        <w:bidi/>
        <w:spacing w:after="120" w:line="312"/>
        <w:ind w:firstLine="340"/>
        <w:jc w:val="both"/>
      </w:pPr>
      <w:r>
        <w:rPr>
          <w:rFonts w:ascii="Times New Roman" w:cs="Traditional Arabic" w:hAnsi="Times New Roman"/>
          <w:b w:val="false"/>
          <w:i w:val="false"/>
          <w:iCs w:val="false"/>
          <w:color w:val="000000"/>
          <w:sz w:val="26"/>
          <w:szCs w:val="30"/>
          <w:rtl/>
        </w:rPr>
        <w:t xml:space="preserve">وثّقت الدراسة العملية القائمة (As-Is) في الصيدلية التقليدية عبر ملاحظة الممارسة، ويمكن تلخيص حلقاتها الخمس ومشكلاتها المرصودة كالتالي:</w:t>
      </w:r>
    </w:p>
    <w:tbl>
      <w:tblPr>
        <w:bidiVisual/>
        <w:tblW w:type="pct" w:w="100%"/>
        <w:tblBorders>
          <w:top w:val="single" w:color="9AA6B2" w:sz="6"/>
          <w:left w:val="none" w:color="FFFFFF" w:sz="0"/>
          <w:bottom w:val="single" w:color="9AA6B2" w:sz="6"/>
          <w:right w:val="none" w:color="FFFFFF" w:sz="0"/>
          <w:insideH w:val="single" w:color="D5DCE4" w:sz="2"/>
          <w:insideV w:val="single" w:color="D5DCE4" w:sz="2"/>
        </w:tblBorders>
      </w:tblPr>
      <w:tblGrid>
        <w:gridCol w:w="100"/>
        <w:gridCol w:w="100"/>
        <w:gridCol w:w="100"/>
        <w:gridCol w:w="100"/>
      </w:tblGrid>
      <w:tr>
        <w:trPr>
          <w:cantSplit/>
          <w:tblHeader/>
        </w:trPr>
        <w:tc>
          <w:tcPr>
            <w:tcW w:type="pct" w:w="26%"/>
            <w:shd w:fill="E8EDF3" w:val="clear"/>
            <w:tcMar>
              <w:top w:type="dxa" w:w="70"/>
              <w:left w:type="dxa" w:w="100"/>
              <w:bottom w:type="dxa" w:w="70"/>
              <w:right w:type="dxa" w:w="100"/>
            </w:tcMar>
            <w:vAlign w:val="center"/>
          </w:tcPr>
          <w:p>
            <w:pPr>
              <w:bidi/>
              <w:jc w:val="center"/>
            </w:pPr>
            <w:r>
              <w:rPr>
                <w:rFonts w:ascii="Times New Roman" w:cs="Traditional Arabic" w:hAnsi="Times New Roman"/>
                <w:b/>
                <w:bCs/>
                <w:i w:val="false"/>
                <w:iCs w:val="false"/>
                <w:color w:val="111111"/>
                <w:sz w:val="21"/>
                <w:szCs w:val="21"/>
                <w:rtl/>
              </w:rPr>
              <w:t xml:space="preserve">العملية القائمة (As-Is)</w:t>
            </w:r>
          </w:p>
        </w:tc>
        <w:tc>
          <w:tcPr>
            <w:tcW w:type="pct" w:w="28%"/>
            <w:shd w:fill="E8EDF3" w:val="clear"/>
            <w:tcMar>
              <w:top w:type="dxa" w:w="70"/>
              <w:left w:type="dxa" w:w="100"/>
              <w:bottom w:type="dxa" w:w="70"/>
              <w:right w:type="dxa" w:w="100"/>
            </w:tcMar>
            <w:vAlign w:val="center"/>
          </w:tcPr>
          <w:p>
            <w:pPr>
              <w:bidi/>
              <w:jc w:val="center"/>
            </w:pPr>
            <w:r>
              <w:rPr>
                <w:rFonts w:ascii="Times New Roman" w:cs="Traditional Arabic" w:hAnsi="Times New Roman"/>
                <w:b/>
                <w:bCs/>
                <w:i w:val="false"/>
                <w:iCs w:val="false"/>
                <w:color w:val="111111"/>
                <w:sz w:val="21"/>
                <w:szCs w:val="21"/>
                <w:rtl/>
              </w:rPr>
              <w:t xml:space="preserve">المشكلة المرصودة</w:t>
            </w:r>
          </w:p>
        </w:tc>
        <w:tc>
          <w:tcPr>
            <w:tcW w:type="pct" w:w="18%"/>
            <w:shd w:fill="E8EDF3" w:val="clear"/>
            <w:tcMar>
              <w:top w:type="dxa" w:w="70"/>
              <w:left w:type="dxa" w:w="100"/>
              <w:bottom w:type="dxa" w:w="70"/>
              <w:right w:type="dxa" w:w="100"/>
            </w:tcMar>
            <w:vAlign w:val="center"/>
          </w:tcPr>
          <w:p>
            <w:pPr>
              <w:bidi/>
              <w:jc w:val="center"/>
            </w:pPr>
            <w:r>
              <w:rPr>
                <w:rFonts w:ascii="Times New Roman" w:cs="Traditional Arabic" w:hAnsi="Times New Roman"/>
                <w:b/>
                <w:bCs/>
                <w:i w:val="false"/>
                <w:iCs w:val="false"/>
                <w:color w:val="111111"/>
                <w:sz w:val="21"/>
                <w:szCs w:val="21"/>
                <w:rtl/>
              </w:rPr>
              <w:t xml:space="preserve">الأثر</w:t>
            </w:r>
          </w:p>
        </w:tc>
        <w:tc>
          <w:tcPr>
            <w:tcW w:type="pct" w:w="28%"/>
            <w:shd w:fill="E8EDF3" w:val="clear"/>
            <w:tcMar>
              <w:top w:type="dxa" w:w="70"/>
              <w:left w:type="dxa" w:w="100"/>
              <w:bottom w:type="dxa" w:w="70"/>
              <w:right w:type="dxa" w:w="100"/>
            </w:tcMar>
            <w:vAlign w:val="center"/>
          </w:tcPr>
          <w:p>
            <w:pPr>
              <w:bidi/>
              <w:jc w:val="center"/>
            </w:pPr>
            <w:r>
              <w:rPr>
                <w:rFonts w:ascii="Times New Roman" w:cs="Traditional Arabic" w:hAnsi="Times New Roman"/>
                <w:b/>
                <w:bCs/>
                <w:i w:val="false"/>
                <w:iCs w:val="false"/>
                <w:color w:val="111111"/>
                <w:sz w:val="21"/>
                <w:szCs w:val="21"/>
                <w:rtl/>
              </w:rPr>
              <w:t xml:space="preserve">الحل المقابل في AI-COS</w:t>
            </w:r>
          </w:p>
        </w:tc>
      </w:tr>
      <w:tr>
        <w:trPr>
          <w:cantSplit/>
        </w:trPr>
        <w:tc>
          <w:tcPr>
            <w:tcW w:type="pct" w:w="26%"/>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20"/>
                <w:szCs w:val="20"/>
                <w:rtl/>
              </w:rPr>
              <w:t xml:space="preserve">صرف يدوي بالروشتة الورقية</w:t>
            </w:r>
          </w:p>
        </w:tc>
        <w:tc>
          <w:tcPr>
            <w:tcW w:type="pct" w:w="28%"/>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20"/>
                <w:szCs w:val="20"/>
                <w:rtl/>
              </w:rPr>
              <w:t xml:space="preserve">خطأ قراءة الخط، لا فحص تعارض آلي</w:t>
            </w:r>
          </w:p>
        </w:tc>
        <w:tc>
          <w:tcPr>
            <w:tcW w:type="pct" w:w="18%"/>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20"/>
                <w:szCs w:val="20"/>
                <w:rtl/>
              </w:rPr>
              <w:t xml:space="preserve">خطر سريري مباشر</w:t>
            </w:r>
          </w:p>
        </w:tc>
        <w:tc>
          <w:tcPr>
            <w:tcW w:type="pct" w:w="28%"/>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20"/>
                <w:szCs w:val="20"/>
                <w:rtl/>
              </w:rPr>
              <w:t xml:space="preserve">خط OCR + CDSS حتمي (Process 3.0 / 2.3)</w:t>
            </w:r>
          </w:p>
        </w:tc>
      </w:tr>
      <w:tr>
        <w:trPr>
          <w:cantSplit/>
        </w:trPr>
        <w:tc>
          <w:tcPr>
            <w:tcW w:type="pct" w:w="26%"/>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20"/>
                <w:szCs w:val="20"/>
                <w:rtl/>
              </w:rPr>
              <w:t xml:space="preserve">تذكير بالهاتف عند الذاكرة</w:t>
            </w:r>
          </w:p>
        </w:tc>
        <w:tc>
          <w:tcPr>
            <w:tcW w:type="pct" w:w="28%"/>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20"/>
                <w:szCs w:val="20"/>
                <w:rtl/>
              </w:rPr>
              <w:t xml:space="preserve">انقطاع المرضى المزمنين عن الدورة</w:t>
            </w:r>
          </w:p>
        </w:tc>
        <w:tc>
          <w:tcPr>
            <w:tcW w:type="pct" w:w="18%"/>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20"/>
                <w:szCs w:val="20"/>
                <w:rtl/>
              </w:rPr>
              <w:t xml:space="preserve">فقد إيراد متكرر + ضرر علاجي</w:t>
            </w:r>
          </w:p>
        </w:tc>
        <w:tc>
          <w:tcPr>
            <w:tcW w:type="pct" w:w="28%"/>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20"/>
                <w:szCs w:val="20"/>
                <w:rtl/>
              </w:rPr>
              <w:t xml:space="preserve">محرك التذكير الدوري (Process 6.0 / 9.0)</w:t>
            </w:r>
          </w:p>
        </w:tc>
      </w:tr>
      <w:tr>
        <w:trPr>
          <w:cantSplit/>
        </w:trPr>
        <w:tc>
          <w:tcPr>
            <w:tcW w:type="pct" w:w="26%"/>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20"/>
                <w:szCs w:val="20"/>
                <w:rtl/>
              </w:rPr>
              <w:t xml:space="preserve">قرار خصم حسب المزاج</w:t>
            </w:r>
          </w:p>
        </w:tc>
        <w:tc>
          <w:tcPr>
            <w:tcW w:type="pct" w:w="28%"/>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20"/>
                <w:szCs w:val="20"/>
                <w:rtl/>
              </w:rPr>
              <w:t xml:space="preserve">خصومات تلتهم الهامش أو تمنح لغير المستحق</w:t>
            </w:r>
          </w:p>
        </w:tc>
        <w:tc>
          <w:tcPr>
            <w:tcW w:type="pct" w:w="18%"/>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20"/>
                <w:szCs w:val="20"/>
                <w:rtl/>
              </w:rPr>
              <w:t xml:space="preserve">تآكل الربحية</w:t>
            </w:r>
          </w:p>
        </w:tc>
        <w:tc>
          <w:tcPr>
            <w:tcW w:type="pct" w:w="28%"/>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20"/>
                <w:szCs w:val="20"/>
                <w:rtl/>
              </w:rPr>
              <w:t xml:space="preserve">محرك التسعير ببوابة الجدوى (Process 4.0)</w:t>
            </w:r>
          </w:p>
        </w:tc>
      </w:tr>
      <w:tr>
        <w:trPr>
          <w:cantSplit/>
        </w:trPr>
        <w:tc>
          <w:tcPr>
            <w:tcW w:type="pct" w:w="26%"/>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20"/>
                <w:szCs w:val="20"/>
                <w:rtl/>
              </w:rPr>
              <w:t xml:space="preserve">دفاتر محاسبية يدوية</w:t>
            </w:r>
          </w:p>
        </w:tc>
        <w:tc>
          <w:tcPr>
            <w:tcW w:type="pct" w:w="28%"/>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20"/>
                <w:szCs w:val="20"/>
                <w:rtl/>
              </w:rPr>
              <w:t xml:space="preserve">لا ميزان مزدوج آلي ولا كشف تلاعب</w:t>
            </w:r>
          </w:p>
        </w:tc>
        <w:tc>
          <w:tcPr>
            <w:tcW w:type="pct" w:w="18%"/>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20"/>
                <w:szCs w:val="20"/>
                <w:rtl/>
              </w:rPr>
              <w:t xml:space="preserve">هشاشة رقابية</w:t>
            </w:r>
          </w:p>
        </w:tc>
        <w:tc>
          <w:tcPr>
            <w:tcW w:type="pct" w:w="28%"/>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20"/>
                <w:szCs w:val="20"/>
                <w:rtl/>
              </w:rPr>
              <w:t xml:space="preserve">دفتر اليومية + التحليل الجنائي (8.0)</w:t>
            </w:r>
          </w:p>
        </w:tc>
      </w:tr>
      <w:tr>
        <w:trPr>
          <w:cantSplit/>
        </w:trPr>
        <w:tc>
          <w:tcPr>
            <w:tcW w:type="pct" w:w="26%"/>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20"/>
                <w:szCs w:val="20"/>
                <w:rtl/>
              </w:rPr>
              <w:t xml:space="preserve">سجل مبيعات ورقي/Excel</w:t>
            </w:r>
          </w:p>
        </w:tc>
        <w:tc>
          <w:tcPr>
            <w:tcW w:type="pct" w:w="28%"/>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20"/>
                <w:szCs w:val="20"/>
                <w:rtl/>
              </w:rPr>
              <w:t xml:space="preserve">لا أثر رقابي مقاوم للتلاعب</w:t>
            </w:r>
          </w:p>
        </w:tc>
        <w:tc>
          <w:tcPr>
            <w:tcW w:type="pct" w:w="18%"/>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20"/>
                <w:szCs w:val="20"/>
                <w:rtl/>
              </w:rPr>
              <w:t xml:space="preserve">ضعف الإثبات أمام المراجعة</w:t>
            </w:r>
          </w:p>
        </w:tc>
        <w:tc>
          <w:tcPr>
            <w:tcW w:type="pct" w:w="28%"/>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20"/>
                <w:szCs w:val="20"/>
              </w:rPr>
              <w:t xml:space="preserve">audit_logs + WORM (7.0)</w:t>
            </w:r>
          </w:p>
        </w:tc>
      </w:tr>
    </w:tbl>
    <w:p>
      <w:pPr>
        <w:pStyle w:val="Heading1"/>
        <w:pageBreakBefore/>
        <w:bidi/>
        <w:spacing w:after="200" w:before="400" w:line="340"/>
        <w:jc w:val="right"/>
      </w:pPr>
      <w:bookmarkStart w:id="100009" w:name="_Toc100009"/>
      <w:r>
        <w:rPr>
          <w:rFonts w:ascii="Times New Roman" w:cs="Simplified Arabic" w:hAnsi="Times New Roman"/>
          <w:b/>
          <w:bCs/>
          <w:color w:val="1F3A5F"/>
          <w:sz w:val="32"/>
          <w:szCs w:val="36"/>
          <w:rtl/>
        </w:rPr>
        <w:t xml:space="preserve">12. النظام المقترح (Proposed System)</w:t>
      </w:r>
      <w:bookmarkEnd w:id="100009"/>
    </w:p>
    <w:p>
      <w:pPr>
        <w:bidi/>
        <w:spacing w:after="120" w:line="312"/>
        <w:ind w:firstLine="340"/>
        <w:jc w:val="both"/>
      </w:pPr>
      <w:r>
        <w:rPr>
          <w:rFonts w:ascii="Times New Roman" w:cs="Traditional Arabic" w:hAnsi="Times New Roman"/>
          <w:b w:val="false"/>
          <w:i w:val="false"/>
          <w:iCs w:val="false"/>
          <w:color w:val="000000"/>
          <w:sz w:val="26"/>
          <w:szCs w:val="30"/>
          <w:rtl/>
        </w:rPr>
        <w:t xml:space="preserve">يقترح النظام بناء </w:t>
      </w:r>
      <w:r>
        <w:rPr>
          <w:rFonts w:ascii="Times New Roman" w:eastAsia="Times New Roman" w:hAnsi="Times New Roman"/>
          <w:b w:val="false"/>
          <w:bCs w:val="false"/>
          <w:i w:val="false"/>
          <w:iCs w:val="false"/>
          <w:color w:val="000000"/>
          <w:sz w:val="24"/>
          <w:szCs w:val="24"/>
        </w:rPr>
        <w:t xml:space="preserve">AI-COS</w:t>
      </w:r>
      <w:r>
        <w:rPr>
          <w:rFonts w:ascii="Times New Roman" w:cs="Traditional Arabic" w:hAnsi="Times New Roman"/>
          <w:b w:val="false"/>
          <w:i w:val="false"/>
          <w:iCs w:val="false"/>
          <w:color w:val="000000"/>
          <w:sz w:val="26"/>
          <w:szCs w:val="30"/>
          <w:rtl/>
        </w:rPr>
        <w:t xml:space="preserve"> كنظام تشغيل أعمال وكيل متكامل: طبقة واجهات تخدم العميل والإدارة، طبقة نطاقات أعمال، طبقة وكلاء ذكيين يجمعون بين محركات حتمية ونماذج لغة، طبقة حوكمة، وطبقة أتمتة خارجية — مع معمارية حزم عمودية تجعل الصيدلية أول حزمة وليست التعريف.</w:t>
      </w:r>
    </w:p>
    <w:p>
      <w:pPr>
        <w:bidi/>
        <w:spacing w:after="120" w:line="312"/>
        <w:ind w:firstLine="340"/>
        <w:jc w:val="both"/>
      </w:pPr>
      <w:r>
        <w:rPr>
          <w:rFonts w:ascii="Times New Roman" w:cs="Traditional Arabic" w:hAnsi="Times New Roman"/>
          <w:b w:val="false"/>
          <w:i w:val="false"/>
          <w:iCs w:val="false"/>
          <w:color w:val="000000"/>
          <w:sz w:val="26"/>
          <w:szCs w:val="30"/>
          <w:rtl/>
        </w:rPr>
        <w:t xml:space="preserve">ويقوم التصميم على خمسة مبادئ حاكمة مستخرجة من الكود:</w:t>
      </w:r>
    </w:p>
    <w:p>
      <w:pPr>
        <w:pStyle w:val="ListParagraph"/>
        <w:numPr>
          <w:ilvl w:val="0"/>
          <w:numId w:val="1"/>
        </w:numPr>
        <w:bidi/>
        <w:spacing w:after="60" w:line="312"/>
        <w:jc w:val="both"/>
      </w:pPr>
      <w:r>
        <w:rPr>
          <w:rFonts w:ascii="Times New Roman" w:eastAsia="Times New Roman" w:hAnsi="Times New Roman"/>
          <w:b w:val="false"/>
          <w:bCs w:val="false"/>
          <w:i w:val="false"/>
          <w:iCs w:val="false"/>
          <w:color w:val="000000"/>
          <w:sz w:val="24"/>
          <w:szCs w:val="24"/>
        </w:rPr>
        <w:t xml:space="preserve">Code Calculates, LLM Articulates</w:t>
      </w:r>
      <w:r>
        <w:rPr>
          <w:rFonts w:ascii="Times New Roman" w:cs="Traditional Arabic" w:hAnsi="Times New Roman"/>
          <w:b w:val="false"/>
          <w:i w:val="false"/>
          <w:iCs w:val="false"/>
          <w:color w:val="000000"/>
          <w:sz w:val="26"/>
          <w:szCs w:val="30"/>
          <w:rtl/>
        </w:rPr>
        <w:t xml:space="preserve">: كل قرار مالي أو سريري يمر بمحرك حتمي (مثال: محرك التسعير backend/app/domains/agents/pricing.py يفرض بوابة «تكلفة الخصم ≥ صافي ربح الطلب ⇒ خصم صفر»)، والنموذج اللغوي يصيغ التبرير فقط، وأي مخالفة تُصحح برمجياً (يُفرض السقف بعد رد النموذج).</w:t>
      </w:r>
    </w:p>
    <w:p>
      <w:pPr>
        <w:pStyle w:val="ListParagraph"/>
        <w:numPr>
          <w:ilvl w:val="0"/>
          <w:numId w:val="1"/>
        </w:numPr>
        <w:bidi/>
        <w:spacing w:after="60" w:line="312"/>
        <w:jc w:val="both"/>
      </w:pPr>
      <w:r>
        <w:rPr>
          <w:rFonts w:ascii="Times New Roman" w:eastAsia="Times New Roman" w:hAnsi="Times New Roman"/>
          <w:b w:val="false"/>
          <w:bCs w:val="false"/>
          <w:i w:val="false"/>
          <w:iCs w:val="false"/>
          <w:color w:val="000000"/>
          <w:sz w:val="24"/>
          <w:szCs w:val="24"/>
        </w:rPr>
        <w:t xml:space="preserve">Hybrid by Contract</w:t>
      </w:r>
      <w:r>
        <w:rPr>
          <w:rFonts w:ascii="Times New Roman" w:cs="Traditional Arabic" w:hAnsi="Times New Roman"/>
          <w:b w:val="false"/>
          <w:i w:val="false"/>
          <w:iCs w:val="false"/>
          <w:color w:val="000000"/>
          <w:sz w:val="26"/>
          <w:szCs w:val="30"/>
          <w:rtl/>
        </w:rPr>
        <w:t xml:space="preserve">: كل وكيل ينادي سير عمل n8n أولاً ثم يسقط للمحلي عند الفشل أو شكل رد غير مطابق (backend/app/domains/agents/hybrid.py — بوابة required_keys ورفض error:true).</w:t>
      </w:r>
    </w:p>
    <w:p>
      <w:pPr>
        <w:pStyle w:val="ListParagraph"/>
        <w:numPr>
          <w:ilvl w:val="0"/>
          <w:numId w:val="1"/>
        </w:numPr>
        <w:bidi/>
        <w:spacing w:after="60" w:line="312"/>
        <w:jc w:val="both"/>
      </w:pPr>
      <w:r>
        <w:rPr>
          <w:rFonts w:ascii="Times New Roman" w:eastAsia="Times New Roman" w:hAnsi="Times New Roman"/>
          <w:b w:val="false"/>
          <w:bCs w:val="false"/>
          <w:i w:val="false"/>
          <w:iCs w:val="false"/>
          <w:color w:val="000000"/>
          <w:sz w:val="24"/>
          <w:szCs w:val="24"/>
        </w:rPr>
        <w:t xml:space="preserve">Privacy by Design</w:t>
      </w:r>
      <w:r>
        <w:rPr>
          <w:rFonts w:ascii="Times New Roman" w:cs="Traditional Arabic" w:hAnsi="Times New Roman"/>
          <w:b w:val="false"/>
          <w:i w:val="false"/>
          <w:iCs w:val="false"/>
          <w:color w:val="000000"/>
          <w:sz w:val="26"/>
          <w:szCs w:val="30"/>
          <w:rtl/>
        </w:rPr>
        <w:t xml:space="preserve">: اسم العميل لا يغادر الجهاز — نمط </w:t>
      </w:r>
      <w:r>
        <w:rPr>
          <w:rFonts w:ascii="Times New Roman" w:eastAsia="Times New Roman" w:hAnsi="Times New Roman"/>
          <w:b w:val="false"/>
          <w:bCs w:val="false"/>
          <w:i w:val="false"/>
          <w:iCs w:val="false"/>
          <w:color w:val="000000"/>
          <w:sz w:val="24"/>
          <w:szCs w:val="24"/>
        </w:rPr>
        <w:t xml:space="preserve">PII_PLACEHOLDER</w:t>
      </w:r>
      <w:r>
        <w:rPr>
          <w:rFonts w:ascii="Times New Roman" w:cs="Traditional Arabic" w:hAnsi="Times New Roman"/>
          <w:b w:val="false"/>
          <w:i w:val="false"/>
          <w:iCs w:val="false"/>
          <w:color w:val="000000"/>
          <w:sz w:val="26"/>
          <w:szCs w:val="30"/>
          <w:rtl/>
        </w:rPr>
        <w:t xml:space="preserve"> + تنقيح </w:t>
      </w:r>
      <w:r>
        <w:rPr>
          <w:rFonts w:ascii="Times New Roman" w:eastAsia="Times New Roman" w:hAnsi="Times New Roman"/>
          <w:b w:val="false"/>
          <w:bCs w:val="false"/>
          <w:i w:val="false"/>
          <w:iCs w:val="false"/>
          <w:color w:val="000000"/>
          <w:sz w:val="24"/>
          <w:szCs w:val="24"/>
        </w:rPr>
        <w:t xml:space="preserve">_redact_cloud_payload</w:t>
      </w:r>
      <w:r>
        <w:rPr>
          <w:rFonts w:ascii="Times New Roman" w:cs="Traditional Arabic" w:hAnsi="Times New Roman"/>
          <w:b w:val="false"/>
          <w:i w:val="false"/>
          <w:iCs w:val="false"/>
          <w:color w:val="000000"/>
          <w:sz w:val="26"/>
          <w:szCs w:val="30"/>
          <w:rtl/>
        </w:rPr>
        <w:t xml:space="preserve"> قبل أي نداء سحابي (backend/app/domains/ai/llm_engine.py).</w:t>
      </w:r>
    </w:p>
    <w:p>
      <w:pPr>
        <w:pStyle w:val="ListParagraph"/>
        <w:numPr>
          <w:ilvl w:val="0"/>
          <w:numId w:val="1"/>
        </w:numPr>
        <w:bidi/>
        <w:spacing w:after="60" w:line="312"/>
        <w:jc w:val="both"/>
      </w:pPr>
      <w:r>
        <w:rPr>
          <w:rFonts w:ascii="Times New Roman" w:eastAsia="Times New Roman" w:hAnsi="Times New Roman"/>
          <w:b w:val="false"/>
          <w:bCs w:val="false"/>
          <w:i w:val="false"/>
          <w:iCs w:val="false"/>
          <w:color w:val="000000"/>
          <w:sz w:val="24"/>
          <w:szCs w:val="24"/>
        </w:rPr>
        <w:t xml:space="preserve">Honest Data</w:t>
      </w:r>
      <w:r>
        <w:rPr>
          <w:rFonts w:ascii="Times New Roman" w:cs="Traditional Arabic" w:hAnsi="Times New Roman"/>
          <w:b w:val="false"/>
          <w:i w:val="false"/>
          <w:iCs w:val="false"/>
          <w:color w:val="000000"/>
          <w:sz w:val="26"/>
          <w:szCs w:val="30"/>
          <w:rtl/>
        </w:rPr>
        <w:t xml:space="preserve">: لا أرقام مزيفة — القياس الفاشل يعرض «غير متاح» لا قيمة افتراضية، والقياس الناجح يعرض مصدره (data_quality).</w:t>
      </w:r>
    </w:p>
    <w:p>
      <w:pPr>
        <w:pStyle w:val="ListParagraph"/>
        <w:numPr>
          <w:ilvl w:val="0"/>
          <w:numId w:val="1"/>
        </w:numPr>
        <w:bidi/>
        <w:spacing w:after="60" w:line="312"/>
        <w:jc w:val="both"/>
      </w:pPr>
      <w:r>
        <w:rPr>
          <w:rFonts w:ascii="Times New Roman" w:eastAsia="Times New Roman" w:hAnsi="Times New Roman"/>
          <w:b w:val="false"/>
          <w:bCs w:val="false"/>
          <w:i w:val="false"/>
          <w:iCs w:val="false"/>
          <w:color w:val="000000"/>
          <w:sz w:val="24"/>
          <w:szCs w:val="24"/>
        </w:rPr>
        <w:t xml:space="preserve">Tamper-Evident Governance</w:t>
      </w:r>
      <w:r>
        <w:rPr>
          <w:rFonts w:ascii="Times New Roman" w:cs="Traditional Arabic" w:hAnsi="Times New Roman"/>
          <w:b w:val="false"/>
          <w:i w:val="false"/>
          <w:iCs w:val="false"/>
          <w:color w:val="000000"/>
          <w:sz w:val="26"/>
          <w:szCs w:val="30"/>
          <w:rtl/>
        </w:rPr>
        <w:t xml:space="preserve">: كل حدث حرج hash-chain في ملف WORM خارج القاعدة مع تحقق ثنائي الاتجاه ومرساة خارجية دورية.</w:t>
      </w:r>
    </w:p>
    <w:p>
      <w:pPr>
        <w:pStyle w:val="Heading1"/>
        <w:pageBreakBefore/>
        <w:bidi/>
        <w:spacing w:after="200" w:before="400" w:line="340"/>
        <w:jc w:val="right"/>
      </w:pPr>
      <w:bookmarkStart w:id="100010" w:name="_Toc100010"/>
      <w:r>
        <w:rPr>
          <w:rFonts w:ascii="Times New Roman" w:cs="Simplified Arabic" w:hAnsi="Times New Roman"/>
          <w:b/>
          <w:bCs/>
          <w:color w:val="1F3A5F"/>
          <w:sz w:val="32"/>
          <w:szCs w:val="36"/>
          <w:rtl/>
        </w:rPr>
        <w:t xml:space="preserve">13. المتطلبات الوظيفية (Functional Requirements)</w:t>
      </w:r>
      <w:bookmarkEnd w:id="100010"/>
    </w:p>
    <w:p>
      <w:pPr>
        <w:bidi/>
        <w:spacing w:after="120" w:line="312"/>
        <w:ind w:firstLine="340"/>
        <w:jc w:val="both"/>
      </w:pPr>
      <w:r>
        <w:rPr>
          <w:rFonts w:ascii="Times New Roman" w:cs="Traditional Arabic" w:hAnsi="Times New Roman"/>
          <w:b w:val="false"/>
          <w:i w:val="false"/>
          <w:iCs w:val="false"/>
          <w:color w:val="000000"/>
          <w:sz w:val="26"/>
          <w:szCs w:val="30"/>
          <w:rtl/>
        </w:rPr>
        <w:t xml:space="preserve">استُخلصت المتطلبات التالية من الكود المصدري، وكل متطلب يحمل دليل تنفيذ فعلي (مسار الملف). الحالة: </w:t>
      </w:r>
      <w:r>
        <w:rPr>
          <w:rFonts w:ascii="Times New Roman" w:eastAsia="Times New Roman" w:hAnsi="Times New Roman"/>
          <w:b w:val="false"/>
          <w:bCs w:val="false"/>
          <w:i w:val="false"/>
          <w:iCs w:val="false"/>
          <w:color w:val="000000"/>
          <w:sz w:val="24"/>
          <w:szCs w:val="24"/>
        </w:rPr>
        <w:t xml:space="preserve">Implemented</w:t>
      </w:r>
      <w:r>
        <w:rPr>
          <w:rFonts w:ascii="Times New Roman" w:cs="Traditional Arabic" w:hAnsi="Times New Roman"/>
          <w:b w:val="false"/>
          <w:i w:val="false"/>
          <w:iCs w:val="false"/>
          <w:color w:val="000000"/>
          <w:sz w:val="26"/>
          <w:szCs w:val="30"/>
          <w:rtl/>
        </w:rPr>
        <w:t xml:space="preserve"> لما ثبت، و</w:t>
      </w:r>
      <w:r>
        <w:rPr>
          <w:rFonts w:ascii="Times New Roman" w:eastAsia="Times New Roman" w:hAnsi="Times New Roman"/>
          <w:b w:val="false"/>
          <w:bCs w:val="false"/>
          <w:i w:val="false"/>
          <w:iCs w:val="false"/>
          <w:color w:val="000000"/>
          <w:sz w:val="24"/>
          <w:szCs w:val="24"/>
        </w:rPr>
        <w:t xml:space="preserve">Partial</w:t>
      </w:r>
      <w:r>
        <w:rPr>
          <w:rFonts w:ascii="Times New Roman" w:cs="Traditional Arabic" w:hAnsi="Times New Roman"/>
          <w:b w:val="false"/>
          <w:i w:val="false"/>
          <w:iCs w:val="false"/>
          <w:color w:val="000000"/>
          <w:sz w:val="26"/>
          <w:szCs w:val="30"/>
          <w:rtl/>
        </w:rPr>
        <w:t xml:space="preserve"> لما نُفذ جزئياً.</w:t>
      </w:r>
    </w:p>
    <w:p>
      <w:pPr>
        <w:keepNext/>
        <w:bidi/>
        <w:spacing w:after="80" w:before="160"/>
        <w:jc w:val="right"/>
      </w:pPr>
      <w:r>
        <w:rPr>
          <w:rFonts w:ascii="Times New Roman" w:cs="Traditional Arabic" w:hAnsi="Times New Roman"/>
          <w:b/>
          <w:bCs/>
          <w:i w:val="false"/>
          <w:iCs w:val="false"/>
          <w:color w:val="000000"/>
          <w:sz w:val="22"/>
          <w:szCs w:val="22"/>
          <w:rtl/>
        </w:rPr>
        <w:t xml:space="preserve">جدول 1: </w:t>
      </w:r>
      <w:r>
        <w:rPr>
          <w:rFonts w:ascii="Times New Roman" w:cs="Traditional Arabic" w:hAnsi="Times New Roman"/>
          <w:b w:val="false"/>
          <w:i w:val="false"/>
          <w:iCs w:val="false"/>
          <w:color w:val="000000"/>
          <w:sz w:val="22"/>
          <w:szCs w:val="22"/>
          <w:rtl/>
        </w:rPr>
        <w:t xml:space="preserve">المتطلبات الوظيفية المستخرجة من المستودع (45 متطلباً)</w:t>
      </w:r>
    </w:p>
    <w:tbl>
      <w:tblPr>
        <w:bidiVisual/>
        <w:tblW w:type="pct" w:w="100%"/>
        <w:tblBorders>
          <w:top w:val="single" w:color="9AA6B2" w:sz="6"/>
          <w:left w:val="none" w:color="FFFFFF" w:sz="0"/>
          <w:bottom w:val="single" w:color="9AA6B2" w:sz="6"/>
          <w:right w:val="none" w:color="FFFFFF" w:sz="0"/>
          <w:insideH w:val="single" w:color="D5DCE4" w:sz="2"/>
          <w:insideV w:val="single" w:color="D5DCE4" w:sz="2"/>
        </w:tblBorders>
      </w:tblPr>
      <w:tblGrid>
        <w:gridCol w:w="100"/>
        <w:gridCol w:w="100"/>
        <w:gridCol w:w="100"/>
        <w:gridCol w:w="100"/>
        <w:gridCol w:w="100"/>
        <w:gridCol w:w="100"/>
      </w:tblGrid>
      <w:tr>
        <w:trPr>
          <w:cantSplit/>
          <w:tblHeader/>
        </w:trPr>
        <w:tc>
          <w:tcPr>
            <w:tcW w:type="pct" w:w="7%"/>
            <w:shd w:fill="E8EDF3" w:val="clear"/>
            <w:tcMar>
              <w:top w:type="dxa" w:w="70"/>
              <w:left w:type="dxa" w:w="100"/>
              <w:bottom w:type="dxa" w:w="70"/>
              <w:right w:type="dxa" w:w="100"/>
            </w:tcMar>
            <w:vAlign w:val="center"/>
          </w:tcPr>
          <w:p>
            <w:pPr>
              <w:bidi/>
              <w:jc w:val="center"/>
            </w:pPr>
            <w:r>
              <w:rPr>
                <w:rFonts w:ascii="Times New Roman" w:cs="Traditional Arabic" w:hAnsi="Times New Roman"/>
                <w:b/>
                <w:bCs/>
                <w:i w:val="false"/>
                <w:iCs w:val="false"/>
                <w:color w:val="111111"/>
                <w:sz w:val="21"/>
                <w:szCs w:val="21"/>
                <w:rtl/>
              </w:rPr>
              <w:t xml:space="preserve">ID</w:t>
            </w:r>
          </w:p>
        </w:tc>
        <w:tc>
          <w:tcPr>
            <w:tcW w:type="pct" w:w="33%"/>
            <w:shd w:fill="E8EDF3" w:val="clear"/>
            <w:tcMar>
              <w:top w:type="dxa" w:w="70"/>
              <w:left w:type="dxa" w:w="100"/>
              <w:bottom w:type="dxa" w:w="70"/>
              <w:right w:type="dxa" w:w="100"/>
            </w:tcMar>
            <w:vAlign w:val="center"/>
          </w:tcPr>
          <w:p>
            <w:pPr>
              <w:bidi/>
              <w:jc w:val="center"/>
            </w:pPr>
            <w:r>
              <w:rPr>
                <w:rFonts w:ascii="Times New Roman" w:cs="Traditional Arabic" w:hAnsi="Times New Roman"/>
                <w:b/>
                <w:bCs/>
                <w:i w:val="false"/>
                <w:iCs w:val="false"/>
                <w:color w:val="111111"/>
                <w:sz w:val="21"/>
                <w:szCs w:val="21"/>
                <w:rtl/>
              </w:rPr>
              <w:t xml:space="preserve">Requirement (The system shall …)</w:t>
            </w:r>
          </w:p>
        </w:tc>
        <w:tc>
          <w:tcPr>
            <w:tcW w:type="pct" w:w="10%"/>
            <w:shd w:fill="E8EDF3" w:val="clear"/>
            <w:tcMar>
              <w:top w:type="dxa" w:w="70"/>
              <w:left w:type="dxa" w:w="100"/>
              <w:bottom w:type="dxa" w:w="70"/>
              <w:right w:type="dxa" w:w="100"/>
            </w:tcMar>
            <w:vAlign w:val="center"/>
          </w:tcPr>
          <w:p>
            <w:pPr>
              <w:bidi/>
              <w:jc w:val="center"/>
            </w:pPr>
            <w:r>
              <w:rPr>
                <w:rFonts w:ascii="Times New Roman" w:cs="Traditional Arabic" w:hAnsi="Times New Roman"/>
                <w:b/>
                <w:bCs/>
                <w:i w:val="false"/>
                <w:iCs w:val="false"/>
                <w:color w:val="111111"/>
                <w:sz w:val="21"/>
                <w:szCs w:val="21"/>
                <w:rtl/>
              </w:rPr>
              <w:t xml:space="preserve">Actor</w:t>
            </w:r>
          </w:p>
        </w:tc>
        <w:tc>
          <w:tcPr>
            <w:tcW w:type="pct" w:w="17%"/>
            <w:shd w:fill="E8EDF3" w:val="clear"/>
            <w:tcMar>
              <w:top w:type="dxa" w:w="70"/>
              <w:left w:type="dxa" w:w="100"/>
              <w:bottom w:type="dxa" w:w="70"/>
              <w:right w:type="dxa" w:w="100"/>
            </w:tcMar>
            <w:vAlign w:val="center"/>
          </w:tcPr>
          <w:p>
            <w:pPr>
              <w:bidi/>
              <w:jc w:val="center"/>
            </w:pPr>
            <w:r>
              <w:rPr>
                <w:rFonts w:ascii="Times New Roman" w:cs="Traditional Arabic" w:hAnsi="Times New Roman"/>
                <w:b/>
                <w:bCs/>
                <w:i w:val="false"/>
                <w:iCs w:val="false"/>
                <w:color w:val="111111"/>
                <w:sz w:val="21"/>
                <w:szCs w:val="21"/>
                <w:rtl/>
              </w:rPr>
              <w:t xml:space="preserve">الغرض</w:t>
            </w:r>
          </w:p>
        </w:tc>
        <w:tc>
          <w:tcPr>
            <w:tcW w:type="pct" w:w="24%"/>
            <w:shd w:fill="E8EDF3" w:val="clear"/>
            <w:tcMar>
              <w:top w:type="dxa" w:w="70"/>
              <w:left w:type="dxa" w:w="100"/>
              <w:bottom w:type="dxa" w:w="70"/>
              <w:right w:type="dxa" w:w="100"/>
            </w:tcMar>
            <w:vAlign w:val="center"/>
          </w:tcPr>
          <w:p>
            <w:pPr>
              <w:bidi/>
              <w:jc w:val="center"/>
            </w:pPr>
            <w:r>
              <w:rPr>
                <w:rFonts w:ascii="Times New Roman" w:cs="Traditional Arabic" w:hAnsi="Times New Roman"/>
                <w:b/>
                <w:bCs/>
                <w:i w:val="false"/>
                <w:iCs w:val="false"/>
                <w:color w:val="111111"/>
                <w:sz w:val="21"/>
                <w:szCs w:val="21"/>
                <w:rtl/>
              </w:rPr>
              <w:t xml:space="preserve">Implementation Evidence</w:t>
            </w:r>
          </w:p>
        </w:tc>
        <w:tc>
          <w:tcPr>
            <w:tcW w:type="pct" w:w="9%"/>
            <w:shd w:fill="E8EDF3" w:val="clear"/>
            <w:tcMar>
              <w:top w:type="dxa" w:w="70"/>
              <w:left w:type="dxa" w:w="100"/>
              <w:bottom w:type="dxa" w:w="70"/>
              <w:right w:type="dxa" w:w="100"/>
            </w:tcMar>
            <w:vAlign w:val="center"/>
          </w:tcPr>
          <w:p>
            <w:pPr>
              <w:bidi/>
              <w:jc w:val="center"/>
            </w:pPr>
            <w:r>
              <w:rPr>
                <w:rFonts w:ascii="Times New Roman" w:cs="Traditional Arabic" w:hAnsi="Times New Roman"/>
                <w:b/>
                <w:bCs/>
                <w:i w:val="false"/>
                <w:iCs w:val="false"/>
                <w:color w:val="111111"/>
                <w:sz w:val="21"/>
                <w:szCs w:val="21"/>
                <w:rtl/>
              </w:rPr>
              <w:t xml:space="preserve">Status</w:t>
            </w:r>
          </w:p>
        </w:tc>
      </w:tr>
      <w:tr>
        <w:trPr>
          <w:cantSplit/>
        </w:trPr>
        <w:tc>
          <w:tcPr>
            <w:tcW w:type="pct" w:w="7%"/>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FR-001</w:t>
            </w:r>
          </w:p>
        </w:tc>
        <w:tc>
          <w:tcPr>
            <w:tcW w:type="pct" w:w="33%"/>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The system shall provide a multi-tenant storefront with catalog browsing, search, and category filtering scoped by vertical pack.</w:t>
            </w:r>
          </w:p>
        </w:tc>
        <w:tc>
          <w:tcPr>
            <w:tcW w:type="pct" w:w="10%"/>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Customer</w:t>
            </w:r>
          </w:p>
        </w:tc>
        <w:tc>
          <w:tcPr>
            <w:tcW w:type="pct" w:w="17%"/>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نقطة بيع أساسية معزولة لكل حزمة</w:t>
            </w:r>
          </w:p>
        </w:tc>
        <w:tc>
          <w:tcPr>
            <w:tcW w:type="pct" w:w="24%"/>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drug/service.py:list_drugs (vertical filter), frontend/(storefront)</w:t>
            </w:r>
          </w:p>
        </w:tc>
        <w:tc>
          <w:tcPr>
            <w:tcW w:type="pct" w:w="9%"/>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Implemented</w:t>
            </w:r>
          </w:p>
        </w:tc>
      </w:tr>
      <w:tr>
        <w:trPr>
          <w:cantSplit/>
        </w:trPr>
        <w:tc>
          <w:tcPr>
            <w:tcW w:type="pct" w:w="7%"/>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FR-002</w:t>
            </w:r>
          </w:p>
        </w:tc>
        <w:tc>
          <w:tcPr>
            <w:tcW w:type="pct" w:w="33%"/>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The system shall check drug–drug interactions for any cart/order containing 2+ drugs before checkout.</w:t>
            </w:r>
          </w:p>
        </w:tc>
        <w:tc>
          <w:tcPr>
            <w:tcW w:type="pct" w:w="10%"/>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Customer / System</w:t>
            </w:r>
          </w:p>
        </w:tc>
        <w:tc>
          <w:tcPr>
            <w:tcW w:type="pct" w:w="17%"/>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منع التداخلات الدوائية قبل الشراء</w:t>
            </w:r>
          </w:p>
        </w:tc>
        <w:tc>
          <w:tcPr>
            <w:tcW w:type="pct" w:w="24%"/>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drug/service.py:check_interactions (a&lt;b constraint)</w:t>
            </w:r>
          </w:p>
        </w:tc>
        <w:tc>
          <w:tcPr>
            <w:tcW w:type="pct" w:w="9%"/>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Implemented</w:t>
            </w:r>
          </w:p>
        </w:tc>
      </w:tr>
      <w:tr>
        <w:trPr>
          <w:cantSplit/>
        </w:trPr>
        <w:tc>
          <w:tcPr>
            <w:tcW w:type="pct" w:w="7%"/>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FR-003</w:t>
            </w:r>
          </w:p>
        </w:tc>
        <w:tc>
          <w:tcPr>
            <w:tcW w:type="pct" w:w="33%"/>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The system shall detect duplicate-therapy (same active ingredient) across cart items and block or warn with severity.</w:t>
            </w:r>
          </w:p>
        </w:tc>
        <w:tc>
          <w:tcPr>
            <w:tcW w:type="pct" w:w="10%"/>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Customer / System</w:t>
            </w:r>
          </w:p>
        </w:tc>
        <w:tc>
          <w:tcPr>
            <w:tcW w:type="pct" w:w="17%"/>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منع مضاعفة الجرعة</w:t>
            </w:r>
          </w:p>
        </w:tc>
        <w:tc>
          <w:tcPr>
            <w:tcW w:type="pct" w:w="24%"/>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drug/service.py:check_duplicate_therapy + _extract_active_ingredients</w:t>
            </w:r>
          </w:p>
        </w:tc>
        <w:tc>
          <w:tcPr>
            <w:tcW w:type="pct" w:w="9%"/>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Implemented</w:t>
            </w:r>
          </w:p>
        </w:tc>
      </w:tr>
      <w:tr>
        <w:trPr>
          <w:cantSplit/>
        </w:trPr>
        <w:tc>
          <w:tcPr>
            <w:tcW w:type="pct" w:w="7%"/>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FR-004</w:t>
            </w:r>
          </w:p>
        </w:tc>
        <w:tc>
          <w:tcPr>
            <w:tcW w:type="pct" w:w="33%"/>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The system shall propose generic equivalents with savings %, stock, and strength-mismatch flag.</w:t>
            </w:r>
          </w:p>
        </w:tc>
        <w:tc>
          <w:tcPr>
            <w:tcW w:type="pct" w:w="10%"/>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Customer</w:t>
            </w:r>
          </w:p>
        </w:tc>
        <w:tc>
          <w:tcPr>
            <w:tcW w:type="pct" w:w="17%"/>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بدائل أرخص بأمان التركيز</w:t>
            </w:r>
          </w:p>
        </w:tc>
        <w:tc>
          <w:tcPr>
            <w:tcW w:type="pct" w:w="24%"/>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drug/service.py:get_drug_equivalents (tenant-scoped, succinate≠tartrate)</w:t>
            </w:r>
          </w:p>
        </w:tc>
        <w:tc>
          <w:tcPr>
            <w:tcW w:type="pct" w:w="9%"/>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Implemented</w:t>
            </w:r>
          </w:p>
        </w:tc>
      </w:tr>
      <w:tr>
        <w:trPr>
          <w:cantSplit/>
        </w:trPr>
        <w:tc>
          <w:tcPr>
            <w:tcW w:type="pct" w:w="7%"/>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FR-005</w:t>
            </w:r>
          </w:p>
        </w:tc>
        <w:tc>
          <w:tcPr>
            <w:tcW w:type="pct" w:w="33%"/>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The system shall ingest handwritten prescription images, run vision OCR, fuzzy-match to catalog (≥65%), and route low-confidence items to human review.</w:t>
            </w:r>
          </w:p>
        </w:tc>
        <w:tc>
          <w:tcPr>
            <w:tcW w:type="pct" w:w="10%"/>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Customer → Pharmacist</w:t>
            </w:r>
          </w:p>
        </w:tc>
        <w:tc>
          <w:tcPr>
            <w:tcW w:type="pct" w:w="17%"/>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رقمنة الروشتات بأمان الصرف</w:t>
            </w:r>
          </w:p>
        </w:tc>
        <w:tc>
          <w:tcPr>
            <w:tcW w:type="pct" w:w="24%"/>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prescriptions/vision.py, matching.py, corrections.py; admin/prescriptions/[id]/review</w:t>
            </w:r>
          </w:p>
        </w:tc>
        <w:tc>
          <w:tcPr>
            <w:tcW w:type="pct" w:w="9%"/>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Implemented</w:t>
            </w:r>
          </w:p>
        </w:tc>
      </w:tr>
      <w:tr>
        <w:trPr>
          <w:cantSplit/>
        </w:trPr>
        <w:tc>
          <w:tcPr>
            <w:tcW w:type="pct" w:w="7%"/>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FR-006</w:t>
            </w:r>
          </w:p>
        </w:tc>
        <w:tc>
          <w:tcPr>
            <w:tcW w:type="pct" w:w="33%"/>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The system shall lock inventory rows and collect affected buyers (90 days) upon a drug recall, signed into the WORM ledger.</w:t>
            </w:r>
          </w:p>
        </w:tc>
        <w:tc>
          <w:tcPr>
            <w:tcW w:type="pct" w:w="10%"/>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Admin</w:t>
            </w:r>
          </w:p>
        </w:tc>
        <w:tc>
          <w:tcPr>
            <w:tcW w:type="pct" w:w="17%"/>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بروتوكول سحب دوائي موثق</w:t>
            </w:r>
          </w:p>
        </w:tc>
        <w:tc>
          <w:tcPr>
            <w:tcW w:type="pct" w:w="24%"/>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drug/service.py:initiate_drug_recall (tenant guard, BusinessRuleViolation)</w:t>
            </w:r>
          </w:p>
        </w:tc>
        <w:tc>
          <w:tcPr>
            <w:tcW w:type="pct" w:w="9%"/>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Implemented</w:t>
            </w:r>
          </w:p>
        </w:tc>
      </w:tr>
      <w:tr>
        <w:trPr>
          <w:cantSplit/>
        </w:trPr>
        <w:tc>
          <w:tcPr>
            <w:tcW w:type="pct" w:w="7%"/>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FR-007</w:t>
            </w:r>
          </w:p>
        </w:tc>
        <w:tc>
          <w:tcPr>
            <w:tcW w:type="pct" w:w="33%"/>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The system shall maintain a double-entry journal (balanced debit=credit) auto-posted from business events.</w:t>
            </w:r>
          </w:p>
        </w:tc>
        <w:tc>
          <w:tcPr>
            <w:tcW w:type="pct" w:w="10%"/>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System / Admin</w:t>
            </w:r>
          </w:p>
        </w:tc>
        <w:tc>
          <w:tcPr>
            <w:tcW w:type="pct" w:w="17%"/>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أساس محاسبي رقابي</w:t>
            </w:r>
          </w:p>
        </w:tc>
        <w:tc>
          <w:tcPr>
            <w:tcW w:type="pct" w:w="24%"/>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accounting/models (JournalEntry.is_balanced), journal posting</w:t>
            </w:r>
          </w:p>
        </w:tc>
        <w:tc>
          <w:tcPr>
            <w:tcW w:type="pct" w:w="9%"/>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Implemented</w:t>
            </w:r>
          </w:p>
        </w:tc>
      </w:tr>
      <w:tr>
        <w:trPr>
          <w:cantSplit/>
        </w:trPr>
        <w:tc>
          <w:tcPr>
            <w:tcW w:type="pct" w:w="7%"/>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FR-008</w:t>
            </w:r>
          </w:p>
        </w:tc>
        <w:tc>
          <w:tcPr>
            <w:tcW w:type="pct" w:w="33%"/>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The system shall run Benford's-law, round-number, and threshold-avoidance forensic tests with chi-square validity gates.</w:t>
            </w:r>
          </w:p>
        </w:tc>
        <w:tc>
          <w:tcPr>
            <w:tcW w:type="pct" w:w="10%"/>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Admin / Auditor</w:t>
            </w:r>
          </w:p>
        </w:tc>
        <w:tc>
          <w:tcPr>
            <w:tcW w:type="pct" w:w="17%"/>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كشف التلاعب المحاسبي</w:t>
            </w:r>
          </w:p>
        </w:tc>
        <w:tc>
          <w:tcPr>
            <w:tcW w:type="pct" w:w="24%"/>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accounting/forensics.py:calculate_benford_metrics (n≥30/110 gates)</w:t>
            </w:r>
          </w:p>
        </w:tc>
        <w:tc>
          <w:tcPr>
            <w:tcW w:type="pct" w:w="9%"/>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Implemented</w:t>
            </w:r>
          </w:p>
        </w:tc>
      </w:tr>
      <w:tr>
        <w:trPr>
          <w:cantSplit/>
        </w:trPr>
        <w:tc>
          <w:tcPr>
            <w:tcW w:type="pct" w:w="7%"/>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FR-009</w:t>
            </w:r>
          </w:p>
        </w:tc>
        <w:tc>
          <w:tcPr>
            <w:tcW w:type="pct" w:w="33%"/>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The system shall append every critical governance event to an external append-only WORM ledger (SHA-256 chain, fsync) and verify bi-directionally against the database.</w:t>
            </w:r>
          </w:p>
        </w:tc>
        <w:tc>
          <w:tcPr>
            <w:tcW w:type="pct" w:w="10%"/>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System / Auditor</w:t>
            </w:r>
          </w:p>
        </w:tc>
        <w:tc>
          <w:tcPr>
            <w:tcW w:type="pct" w:w="17%"/>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حوكمة مقاومة لمدير قواعد بيانات متعدي</w:t>
            </w:r>
          </w:p>
        </w:tc>
        <w:tc>
          <w:tcPr>
            <w:tcW w:type="pct" w:w="24%"/>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core/worm_ledger.py:append_entry, verify_against_db; worm_worker</w:t>
            </w:r>
          </w:p>
        </w:tc>
        <w:tc>
          <w:tcPr>
            <w:tcW w:type="pct" w:w="9%"/>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Implemented</w:t>
            </w:r>
          </w:p>
        </w:tc>
      </w:tr>
      <w:tr>
        <w:trPr>
          <w:cantSplit/>
        </w:trPr>
        <w:tc>
          <w:tcPr>
            <w:tcW w:type="pct" w:w="7%"/>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FR-010</w:t>
            </w:r>
          </w:p>
        </w:tc>
        <w:tc>
          <w:tcPr>
            <w:tcW w:type="pct" w:w="33%"/>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The system shall expose an internal weekly-digest endpoint returning only digest fields, protected by the internal service token.</w:t>
            </w:r>
          </w:p>
        </w:tc>
        <w:tc>
          <w:tcPr>
            <w:tcW w:type="pct" w:w="10%"/>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n8n</w:t>
            </w:r>
          </w:p>
        </w:tc>
        <w:tc>
          <w:tcPr>
            <w:tcW w:type="pct" w:w="17%"/>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ملخص أسبوعي بأرقام حية</w:t>
            </w:r>
          </w:p>
        </w:tc>
        <w:tc>
          <w:tcPr>
            <w:tcW w:type="pct" w:w="24%"/>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business_value/router.py:internal/weekly-digest</w:t>
            </w:r>
          </w:p>
        </w:tc>
        <w:tc>
          <w:tcPr>
            <w:tcW w:type="pct" w:w="9%"/>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Implemented</w:t>
            </w:r>
          </w:p>
        </w:tc>
      </w:tr>
      <w:tr>
        <w:trPr>
          <w:cantSplit/>
        </w:trPr>
        <w:tc>
          <w:tcPr>
            <w:tcW w:type="pct" w:w="7%"/>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FR-011</w:t>
            </w:r>
          </w:p>
        </w:tc>
        <w:tc>
          <w:tcPr>
            <w:tcW w:type="pct" w:w="33%"/>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The system shall operate 12 AI agents in hybrid mode: n8n workflow first, deterministic local fallback on failure or invalid shape.</w:t>
            </w:r>
          </w:p>
        </w:tc>
        <w:tc>
          <w:tcPr>
            <w:tcW w:type="pct" w:w="10%"/>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Admin</w:t>
            </w:r>
          </w:p>
        </w:tc>
        <w:tc>
          <w:tcPr>
            <w:tcW w:type="pct" w:w="17%"/>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استمرارية الذكاء دون توقف</w:t>
            </w:r>
          </w:p>
        </w:tc>
        <w:tc>
          <w:tcPr>
            <w:tcW w:type="pct" w:w="24%"/>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agents/hybrid.py:hybrid_agent_execution (required_keys + error gate)</w:t>
            </w:r>
          </w:p>
        </w:tc>
        <w:tc>
          <w:tcPr>
            <w:tcW w:type="pct" w:w="9%"/>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Implemented</w:t>
            </w:r>
          </w:p>
        </w:tc>
      </w:tr>
      <w:tr>
        <w:trPr>
          <w:cantSplit/>
        </w:trPr>
        <w:tc>
          <w:tcPr>
            <w:tcW w:type="pct" w:w="7%"/>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FR-012</w:t>
            </w:r>
          </w:p>
        </w:tc>
        <w:tc>
          <w:tcPr>
            <w:tcW w:type="pct" w:w="33%"/>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The pricing agent shall compute discounts from net-profit margins with a hard feasibility gate (retention cost ≥ order net profit ⇒ 0%).</w:t>
            </w:r>
          </w:p>
        </w:tc>
        <w:tc>
          <w:tcPr>
            <w:tcW w:type="pct" w:w="10%"/>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Admin</w:t>
            </w:r>
          </w:p>
        </w:tc>
        <w:tc>
          <w:tcPr>
            <w:tcW w:type="pct" w:w="17%"/>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منع الخصم الخاسر حسابياً</w:t>
            </w:r>
          </w:p>
        </w:tc>
        <w:tc>
          <w:tcPr>
            <w:tcW w:type="pct" w:w="24%"/>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agents/pricing.py:calculate_pricing_discount</w:t>
            </w:r>
          </w:p>
        </w:tc>
        <w:tc>
          <w:tcPr>
            <w:tcW w:type="pct" w:w="9%"/>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Implemented</w:t>
            </w:r>
          </w:p>
        </w:tc>
      </w:tr>
      <w:tr>
        <w:trPr>
          <w:cantSplit/>
        </w:trPr>
        <w:tc>
          <w:tcPr>
            <w:tcW w:type="pct" w:w="7%"/>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FR-013</w:t>
            </w:r>
          </w:p>
        </w:tc>
        <w:tc>
          <w:tcPr>
            <w:tcW w:type="pct" w:w="33%"/>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The market-intelligence agent shall propose executive actions (quarantine, PO, safety-stock, patient alert) requiring human approval with Maker-Checker for CRITICAL priority.</w:t>
            </w:r>
          </w:p>
        </w:tc>
        <w:tc>
          <w:tcPr>
            <w:tcW w:type="pct" w:w="10%"/>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Admin (×2 approvers)</w:t>
            </w:r>
          </w:p>
        </w:tc>
        <w:tc>
          <w:tcPr>
            <w:tcW w:type="pct" w:w="17%"/>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قرارات تنفيذية بإنسان في الحلقة</w:t>
            </w:r>
          </w:p>
        </w:tc>
        <w:tc>
          <w:tcPr>
            <w:tcW w:type="pct" w:w="24%"/>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agents/market_intelligence.py:approve_and_execute_action; config MAKER_CHECKER_CRITICAL</w:t>
            </w:r>
          </w:p>
        </w:tc>
        <w:tc>
          <w:tcPr>
            <w:tcW w:type="pct" w:w="9%"/>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Implemented</w:t>
            </w:r>
          </w:p>
        </w:tc>
      </w:tr>
      <w:tr>
        <w:trPr>
          <w:cantSplit/>
        </w:trPr>
        <w:tc>
          <w:tcPr>
            <w:tcW w:type="pct" w:w="7%"/>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FR-014</w:t>
            </w:r>
          </w:p>
        </w:tc>
        <w:tc>
          <w:tcPr>
            <w:tcW w:type="pct" w:w="33%"/>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The market-intelligence agent shall link signals to existing catalog drugs only — never auto-create fabricated drugs.</w:t>
            </w:r>
          </w:p>
        </w:tc>
        <w:tc>
          <w:tcPr>
            <w:tcW w:type="pct" w:w="10%"/>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System</w:t>
            </w:r>
          </w:p>
        </w:tc>
        <w:tc>
          <w:tcPr>
            <w:tcW w:type="pct" w:w="17%"/>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منع أدوية وهمية</w:t>
            </w:r>
          </w:p>
        </w:tc>
        <w:tc>
          <w:tcPr>
            <w:tcW w:type="pct" w:w="24%"/>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market_intelligence.py:_match_drug_id + skipped documentation</w:t>
            </w:r>
          </w:p>
        </w:tc>
        <w:tc>
          <w:tcPr>
            <w:tcW w:type="pct" w:w="9%"/>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Implemented</w:t>
            </w:r>
          </w:p>
        </w:tc>
      </w:tr>
      <w:tr>
        <w:trPr>
          <w:cantSplit/>
        </w:trPr>
        <w:tc>
          <w:tcPr>
            <w:tcW w:type="pct" w:w="7%"/>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FR-015</w:t>
            </w:r>
          </w:p>
        </w:tc>
        <w:tc>
          <w:tcPr>
            <w:tcW w:type="pct" w:w="33%"/>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The chatbot shall answer pharmacy questions via hybrid RAG (pgvector dense + lexical overlap, 60/40 merge) with a scope gate, local LLM first.</w:t>
            </w:r>
          </w:p>
        </w:tc>
        <w:tc>
          <w:tcPr>
            <w:tcW w:type="pct" w:w="10%"/>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Customer / Admin</w:t>
            </w:r>
          </w:p>
        </w:tc>
        <w:tc>
          <w:tcPr>
            <w:tcW w:type="pct" w:w="17%"/>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دعم قرار محادثي محلي</w:t>
            </w:r>
          </w:p>
        </w:tc>
        <w:tc>
          <w:tcPr>
            <w:tcW w:type="pct" w:w="24%"/>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ai/service.py:generate_ai_response; ai/hybrid_search.py</w:t>
            </w:r>
          </w:p>
        </w:tc>
        <w:tc>
          <w:tcPr>
            <w:tcW w:type="pct" w:w="9%"/>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Implemented</w:t>
            </w:r>
          </w:p>
        </w:tc>
      </w:tr>
      <w:tr>
        <w:trPr>
          <w:cantSplit/>
        </w:trPr>
        <w:tc>
          <w:tcPr>
            <w:tcW w:type="pct" w:w="7%"/>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FR-016</w:t>
            </w:r>
          </w:p>
        </w:tc>
        <w:tc>
          <w:tcPr>
            <w:tcW w:type="pct" w:w="33%"/>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The chatbot shall hard-stop on high-severity drug-interaction intents with a clinical warning without generating LLM text.</w:t>
            </w:r>
          </w:p>
        </w:tc>
        <w:tc>
          <w:tcPr>
            <w:tcW w:type="pct" w:w="10%"/>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Customer</w:t>
            </w:r>
          </w:p>
        </w:tc>
        <w:tc>
          <w:tcPr>
            <w:tcW w:type="pct" w:w="17%"/>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حاجز سريري محادثي</w:t>
            </w:r>
          </w:p>
        </w:tc>
        <w:tc>
          <w:tcPr>
            <w:tcW w:type="pct" w:w="24%"/>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ai/service.py:interaction_guard hard stop; interaction_guard.py</w:t>
            </w:r>
          </w:p>
        </w:tc>
        <w:tc>
          <w:tcPr>
            <w:tcW w:type="pct" w:w="9%"/>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Implemented</w:t>
            </w:r>
          </w:p>
        </w:tc>
      </w:tr>
      <w:tr>
        <w:trPr>
          <w:cantSplit/>
        </w:trPr>
        <w:tc>
          <w:tcPr>
            <w:tcW w:type="pct" w:w="7%"/>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FR-017</w:t>
            </w:r>
          </w:p>
        </w:tc>
        <w:tc>
          <w:tcPr>
            <w:tcW w:type="pct" w:w="33%"/>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The chatbot shall enforce an Arabic/English language-match rule and identity rule (never claim human), enforced in system prompt and output cleaner.</w:t>
            </w:r>
          </w:p>
        </w:tc>
        <w:tc>
          <w:tcPr>
            <w:tcW w:type="pct" w:w="10%"/>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Customer</w:t>
            </w:r>
          </w:p>
        </w:tc>
        <w:tc>
          <w:tcPr>
            <w:tcW w:type="pct" w:w="17%"/>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اتساق الهوية واللغة</w:t>
            </w:r>
          </w:p>
        </w:tc>
        <w:tc>
          <w:tcPr>
            <w:tcW w:type="pct" w:w="24%"/>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ai/service.py:_build_system_prompt, _clean_reply</w:t>
            </w:r>
          </w:p>
        </w:tc>
        <w:tc>
          <w:tcPr>
            <w:tcW w:type="pct" w:w="9%"/>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Implemented</w:t>
            </w:r>
          </w:p>
        </w:tc>
      </w:tr>
      <w:tr>
        <w:trPr>
          <w:cantSplit/>
        </w:trPr>
        <w:tc>
          <w:tcPr>
            <w:tcW w:type="pct" w:w="7%"/>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FR-018</w:t>
            </w:r>
          </w:p>
        </w:tc>
        <w:tc>
          <w:tcPr>
            <w:tcW w:type="pct" w:w="33%"/>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The system shall detect medical emergencies by keyword/semantics and dispatch staff alerts via n8n with per-session 60s debounce and outbox fallback.</w:t>
            </w:r>
          </w:p>
        </w:tc>
        <w:tc>
          <w:tcPr>
            <w:tcW w:type="pct" w:w="10%"/>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Customer → Pharmacist</w:t>
            </w:r>
          </w:p>
        </w:tc>
        <w:tc>
          <w:tcPr>
            <w:tcW w:type="pct" w:w="17%"/>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استجابة الطوارئ الفورية</w:t>
            </w:r>
          </w:p>
        </w:tc>
        <w:tc>
          <w:tcPr>
            <w:tcW w:type="pct" w:w="24%"/>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ai/service.py:EscalationEngine + _notify_emergency_n8n + emergency_outbox</w:t>
            </w:r>
          </w:p>
        </w:tc>
        <w:tc>
          <w:tcPr>
            <w:tcW w:type="pct" w:w="9%"/>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Implemented</w:t>
            </w:r>
          </w:p>
        </w:tc>
      </w:tr>
      <w:tr>
        <w:trPr>
          <w:cantSplit/>
        </w:trPr>
        <w:tc>
          <w:tcPr>
            <w:tcW w:type="pct" w:w="7%"/>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FR-019</w:t>
            </w:r>
          </w:p>
        </w:tc>
        <w:tc>
          <w:tcPr>
            <w:tcW w:type="pct" w:w="33%"/>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The system shall redact direct identifiers (emails, phones, national IDs, names) before any cloud LLM call, keeping a local model as first tier.</w:t>
            </w:r>
          </w:p>
        </w:tc>
        <w:tc>
          <w:tcPr>
            <w:tcW w:type="pct" w:w="10%"/>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System</w:t>
            </w:r>
          </w:p>
        </w:tc>
        <w:tc>
          <w:tcPr>
            <w:tcW w:type="pct" w:w="17%"/>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خصوصية المرضى</w:t>
            </w:r>
          </w:p>
        </w:tc>
        <w:tc>
          <w:tcPr>
            <w:tcW w:type="pct" w:w="24%"/>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ai/llm_engine.py:_redact_cloud_payload + PII_PLACEHOLDER</w:t>
            </w:r>
          </w:p>
        </w:tc>
        <w:tc>
          <w:tcPr>
            <w:tcW w:type="pct" w:w="9%"/>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Implemented</w:t>
            </w:r>
          </w:p>
        </w:tc>
      </w:tr>
      <w:tr>
        <w:trPr>
          <w:cantSplit/>
        </w:trPr>
        <w:tc>
          <w:tcPr>
            <w:tcW w:type="pct" w:w="7%"/>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FR-020</w:t>
            </w:r>
          </w:p>
        </w:tc>
        <w:tc>
          <w:tcPr>
            <w:tcW w:type="pct" w:w="33%"/>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The system shall sign chat sessions with HMAC capability tokens and ignore client-provided history (server-owned context).</w:t>
            </w:r>
          </w:p>
        </w:tc>
        <w:tc>
          <w:tcPr>
            <w:tcW w:type="pct" w:w="10%"/>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System</w:t>
            </w:r>
          </w:p>
        </w:tc>
        <w:tc>
          <w:tcPr>
            <w:tcW w:type="pct" w:w="17%"/>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منع تثبيت الجلسة وتزوير السياق</w:t>
            </w:r>
          </w:p>
        </w:tc>
        <w:tc>
          <w:tcPr>
            <w:tcW w:type="pct" w:w="24%"/>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ai/service.py:_make_session_secret, _sanitize_and_validate_inbound_history</w:t>
            </w:r>
          </w:p>
        </w:tc>
        <w:tc>
          <w:tcPr>
            <w:tcW w:type="pct" w:w="9%"/>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Implemented</w:t>
            </w:r>
          </w:p>
        </w:tc>
      </w:tr>
      <w:tr>
        <w:trPr>
          <w:cantSplit/>
        </w:trPr>
        <w:tc>
          <w:tcPr>
            <w:tcW w:type="pct" w:w="7%"/>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FR-021</w:t>
            </w:r>
          </w:p>
        </w:tc>
        <w:tc>
          <w:tcPr>
            <w:tcW w:type="pct" w:w="33%"/>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The system shall record chat sessions (prompt, reply, engines, intent) in ai_chat_logs for audit.</w:t>
            </w:r>
          </w:p>
        </w:tc>
        <w:tc>
          <w:tcPr>
            <w:tcW w:type="pct" w:w="10%"/>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System</w:t>
            </w:r>
          </w:p>
        </w:tc>
        <w:tc>
          <w:tcPr>
            <w:tcW w:type="pct" w:w="17%"/>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أثر رقابي للمحادثات</w:t>
            </w:r>
          </w:p>
        </w:tc>
        <w:tc>
          <w:tcPr>
            <w:tcW w:type="pct" w:w="24%"/>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ai/service.py:ai_chat_logs INSERT</w:t>
            </w:r>
          </w:p>
        </w:tc>
        <w:tc>
          <w:tcPr>
            <w:tcW w:type="pct" w:w="9%"/>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Implemented</w:t>
            </w:r>
          </w:p>
        </w:tc>
      </w:tr>
      <w:tr>
        <w:trPr>
          <w:cantSplit/>
        </w:trPr>
        <w:tc>
          <w:tcPr>
            <w:tcW w:type="pct" w:w="7%"/>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FR-022</w:t>
            </w:r>
          </w:p>
        </w:tc>
        <w:tc>
          <w:tcPr>
            <w:tcW w:type="pct" w:w="33%"/>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The system shall predict next purchase cycle per customer/drug with a 95% Gaussian CI derived from model residuals.</w:t>
            </w:r>
          </w:p>
        </w:tc>
        <w:tc>
          <w:tcPr>
            <w:tcW w:type="pct" w:w="10%"/>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Admin</w:t>
            </w:r>
          </w:p>
        </w:tc>
        <w:tc>
          <w:tcPr>
            <w:tcW w:type="pct" w:w="17%"/>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توقيت التذكير الأمثل</w:t>
            </w:r>
          </w:p>
        </w:tc>
        <w:tc>
          <w:tcPr>
            <w:tcW w:type="pct" w:w="24%"/>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prediction/service.py:predict_cycle (MAE/σ metadata)</w:t>
            </w:r>
          </w:p>
        </w:tc>
        <w:tc>
          <w:tcPr>
            <w:tcW w:type="pct" w:w="9%"/>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Implemented</w:t>
            </w:r>
          </w:p>
        </w:tc>
      </w:tr>
      <w:tr>
        <w:trPr>
          <w:cantSplit/>
        </w:trPr>
        <w:tc>
          <w:tcPr>
            <w:tcW w:type="pct" w:w="7%"/>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FR-023</w:t>
            </w:r>
          </w:p>
        </w:tc>
        <w:tc>
          <w:tcPr>
            <w:tcW w:type="pct" w:w="33%"/>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The system shall score churn probability with a tuned XGBoost model (v2) including population-gap features and a calibrated threshold.</w:t>
            </w:r>
          </w:p>
        </w:tc>
        <w:tc>
          <w:tcPr>
            <w:tcW w:type="pct" w:w="10%"/>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Admin</w:t>
            </w:r>
          </w:p>
        </w:tc>
        <w:tc>
          <w:tcPr>
            <w:tcW w:type="pct" w:w="17%"/>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استهداف الاحتفاظ</w:t>
            </w:r>
          </w:p>
        </w:tc>
        <w:tc>
          <w:tcPr>
            <w:tcW w:type="pct" w:w="24%"/>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prediction/service.py:predict_churn + churn_tuned_v2</w:t>
            </w:r>
          </w:p>
        </w:tc>
        <w:tc>
          <w:tcPr>
            <w:tcW w:type="pct" w:w="9%"/>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Implemented</w:t>
            </w:r>
          </w:p>
        </w:tc>
      </w:tr>
      <w:tr>
        <w:trPr>
          <w:cantSplit/>
        </w:trPr>
        <w:tc>
          <w:tcPr>
            <w:tcW w:type="pct" w:w="7%"/>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FR-024</w:t>
            </w:r>
          </w:p>
        </w:tc>
        <w:tc>
          <w:tcPr>
            <w:tcW w:type="pct" w:w="33%"/>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The system shall generate refill reminders gated by personal cycle (predicted_days) and churn with human review for low-confidence cases.</w:t>
            </w:r>
          </w:p>
        </w:tc>
        <w:tc>
          <w:tcPr>
            <w:tcW w:type="pct" w:w="10%"/>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System → n8n</w:t>
            </w:r>
          </w:p>
        </w:tc>
        <w:tc>
          <w:tcPr>
            <w:tcW w:type="pct" w:w="17%"/>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التذكير الذكي</w:t>
            </w:r>
          </w:p>
        </w:tc>
        <w:tc>
          <w:tcPr>
            <w:tcW w:type="pct" w:w="24%"/>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tracking/pending_reminders + n8n Combined Reminder</w:t>
            </w:r>
          </w:p>
        </w:tc>
        <w:tc>
          <w:tcPr>
            <w:tcW w:type="pct" w:w="9%"/>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Implemented</w:t>
            </w:r>
          </w:p>
        </w:tc>
      </w:tr>
      <w:tr>
        <w:trPr>
          <w:cantSplit/>
        </w:trPr>
        <w:tc>
          <w:tcPr>
            <w:tcW w:type="pct" w:w="7%"/>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FR-025</w:t>
            </w:r>
          </w:p>
        </w:tc>
        <w:tc>
          <w:tcPr>
            <w:tcW w:type="pct" w:w="33%"/>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The system shall validate coupons with full lifecycle (not found / expired / already used) at redemption time.</w:t>
            </w:r>
          </w:p>
        </w:tc>
        <w:tc>
          <w:tcPr>
            <w:tcW w:type="pct" w:w="10%"/>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Customer</w:t>
            </w:r>
          </w:p>
        </w:tc>
        <w:tc>
          <w:tcPr>
            <w:tcW w:type="pct" w:w="17%"/>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دورة حياة الكوبون</w:t>
            </w:r>
          </w:p>
        </w:tc>
        <w:tc>
          <w:tcPr>
            <w:tcW w:type="pct" w:w="24%"/>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agents/router.py:validate-coupon; coupons table</w:t>
            </w:r>
          </w:p>
        </w:tc>
        <w:tc>
          <w:tcPr>
            <w:tcW w:type="pct" w:w="9%"/>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Implemented</w:t>
            </w:r>
          </w:p>
        </w:tc>
      </w:tr>
      <w:tr>
        <w:trPr>
          <w:cantSplit/>
        </w:trPr>
        <w:tc>
          <w:tcPr>
            <w:tcW w:type="pct" w:w="7%"/>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FR-026</w:t>
            </w:r>
          </w:p>
        </w:tc>
        <w:tc>
          <w:tcPr>
            <w:tcW w:type="pct" w:w="33%"/>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The system shall deploy What-If decisions as real coupons only through a hard gate rejecting loss/danger/zero-discount verdicts.</w:t>
            </w:r>
          </w:p>
        </w:tc>
        <w:tc>
          <w:tcPr>
            <w:tcW w:type="pct" w:w="10%"/>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Admin</w:t>
            </w:r>
          </w:p>
        </w:tc>
        <w:tc>
          <w:tcPr>
            <w:tcW w:type="pct" w:w="17%"/>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بوابة نشر قطعية</w:t>
            </w:r>
          </w:p>
        </w:tc>
        <w:tc>
          <w:tcPr>
            <w:tcW w:type="pct" w:w="24%"/>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agents/simulator.py:evaluate_deploy_gate + router /simulator/deploy</w:t>
            </w:r>
          </w:p>
        </w:tc>
        <w:tc>
          <w:tcPr>
            <w:tcW w:type="pct" w:w="9%"/>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Implemented</w:t>
            </w:r>
          </w:p>
        </w:tc>
      </w:tr>
      <w:tr>
        <w:trPr>
          <w:cantSplit/>
        </w:trPr>
        <w:tc>
          <w:tcPr>
            <w:tcW w:type="pct" w:w="7%"/>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FR-027</w:t>
            </w:r>
          </w:p>
        </w:tc>
        <w:tc>
          <w:tcPr>
            <w:tcW w:type="pct" w:w="33%"/>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The system shall measure automation delivery rates from actual n8n callbacks (pending→delivered/failed) with retry backoff.</w:t>
            </w:r>
          </w:p>
        </w:tc>
        <w:tc>
          <w:tcPr>
            <w:tcW w:type="pct" w:w="10%"/>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Admin</w:t>
            </w:r>
          </w:p>
        </w:tc>
        <w:tc>
          <w:tcPr>
            <w:tcW w:type="pct" w:w="17%"/>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قياس مغلق لا مستهدف</w:t>
            </w:r>
          </w:p>
        </w:tc>
        <w:tc>
          <w:tcPr>
            <w:tcW w:type="pct" w:w="24%"/>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router.py:/automation/callback + /automation/metrics + automation_retry_worker</w:t>
            </w:r>
          </w:p>
        </w:tc>
        <w:tc>
          <w:tcPr>
            <w:tcW w:type="pct" w:w="9%"/>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Implemented</w:t>
            </w:r>
          </w:p>
        </w:tc>
      </w:tr>
      <w:tr>
        <w:trPr>
          <w:cantSplit/>
        </w:trPr>
        <w:tc>
          <w:tcPr>
            <w:tcW w:type="pct" w:w="7%"/>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FR-028</w:t>
            </w:r>
          </w:p>
        </w:tc>
        <w:tc>
          <w:tcPr>
            <w:tcW w:type="pct" w:w="33%"/>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The system shall manage supplier purchase orders with status lifecycle (DRAFT → …) and line items.</w:t>
            </w:r>
          </w:p>
        </w:tc>
        <w:tc>
          <w:tcPr>
            <w:tcW w:type="pct" w:w="10%"/>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Admin</w:t>
            </w:r>
          </w:p>
        </w:tc>
        <w:tc>
          <w:tcPr>
            <w:tcW w:type="pct" w:w="17%"/>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دورة المشتريات P2P</w:t>
            </w:r>
          </w:p>
        </w:tc>
        <w:tc>
          <w:tcPr>
            <w:tcW w:type="pct" w:w="24%"/>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procurement/models + /procurement routes</w:t>
            </w:r>
          </w:p>
        </w:tc>
        <w:tc>
          <w:tcPr>
            <w:tcW w:type="pct" w:w="9%"/>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Implemented</w:t>
            </w:r>
          </w:p>
        </w:tc>
      </w:tr>
      <w:tr>
        <w:trPr>
          <w:cantSplit/>
        </w:trPr>
        <w:tc>
          <w:tcPr>
            <w:tcW w:type="pct" w:w="7%"/>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FR-029</w:t>
            </w:r>
          </w:p>
        </w:tc>
        <w:tc>
          <w:tcPr>
            <w:tcW w:type="pct" w:w="33%"/>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The system shall expose an admin dashboard (17 modules) covering operations, finance, AI review, governance, and vertical packs.</w:t>
            </w:r>
          </w:p>
        </w:tc>
        <w:tc>
          <w:tcPr>
            <w:tcW w:type="pct" w:w="10%"/>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Admin</w:t>
            </w:r>
          </w:p>
        </w:tc>
        <w:tc>
          <w:tcPr>
            <w:tcW w:type="pct" w:w="17%"/>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مركز قيادة موحد</w:t>
            </w:r>
          </w:p>
        </w:tc>
        <w:tc>
          <w:tcPr>
            <w:tcW w:type="pct" w:w="24%"/>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frontend/src/app/admin (17 pages)</w:t>
            </w:r>
          </w:p>
        </w:tc>
        <w:tc>
          <w:tcPr>
            <w:tcW w:type="pct" w:w="9%"/>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Implemented</w:t>
            </w:r>
          </w:p>
        </w:tc>
      </w:tr>
      <w:tr>
        <w:trPr>
          <w:cantSplit/>
        </w:trPr>
        <w:tc>
          <w:tcPr>
            <w:tcW w:type="pct" w:w="7%"/>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FR-030</w:t>
            </w:r>
          </w:p>
        </w:tc>
        <w:tc>
          <w:tcPr>
            <w:tcW w:type="pct" w:w="33%"/>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The system shall activate vertical packs at runtime, switching terminology, pricing caps, benchmarks, and safety guard (pharmacy: DDI).</w:t>
            </w:r>
          </w:p>
        </w:tc>
        <w:tc>
          <w:tcPr>
            <w:tcW w:type="pct" w:w="10%"/>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Admin</w:t>
            </w:r>
          </w:p>
        </w:tc>
        <w:tc>
          <w:tcPr>
            <w:tcW w:type="pct" w:w="17%"/>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تعدد الصناعات بنواة واحدة</w:t>
            </w:r>
          </w:p>
        </w:tc>
        <w:tc>
          <w:tcPr>
            <w:tcW w:type="pct" w:w="24%"/>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core/verticals/loader.py + verticals/*.yaml + /admin/vertical-packs</w:t>
            </w:r>
          </w:p>
        </w:tc>
        <w:tc>
          <w:tcPr>
            <w:tcW w:type="pct" w:w="9%"/>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Implemented</w:t>
            </w:r>
          </w:p>
        </w:tc>
      </w:tr>
      <w:tr>
        <w:trPr>
          <w:cantSplit/>
        </w:trPr>
        <w:tc>
          <w:tcPr>
            <w:tcW w:type="pct" w:w="7%"/>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FR-031</w:t>
            </w:r>
          </w:p>
        </w:tc>
        <w:tc>
          <w:tcPr>
            <w:tcW w:type="pct" w:w="33%"/>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The system shall enforce row-level tenant isolation (RLS) on tenant-owned tables.</w:t>
            </w:r>
          </w:p>
        </w:tc>
        <w:tc>
          <w:tcPr>
            <w:tcW w:type="pct" w:w="10%"/>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System</w:t>
            </w:r>
          </w:p>
        </w:tc>
        <w:tc>
          <w:tcPr>
            <w:tcW w:type="pct" w:w="17%"/>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عزل بيانات المستأجرين</w:t>
            </w:r>
          </w:p>
        </w:tc>
        <w:tc>
          <w:tcPr>
            <w:tcW w:type="pct" w:w="24%"/>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migrations/enable_rls.sql (20 policies)</w:t>
            </w:r>
          </w:p>
        </w:tc>
        <w:tc>
          <w:tcPr>
            <w:tcW w:type="pct" w:w="9%"/>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Implemented</w:t>
            </w:r>
          </w:p>
        </w:tc>
      </w:tr>
      <w:tr>
        <w:trPr>
          <w:cantSplit/>
        </w:trPr>
        <w:tc>
          <w:tcPr>
            <w:tcW w:type="pct" w:w="7%"/>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FR-032</w:t>
            </w:r>
          </w:p>
        </w:tc>
        <w:tc>
          <w:tcPr>
            <w:tcW w:type="pct" w:w="33%"/>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The system shall enforce role-based access (admin / super_admin / pharmacist / customer) plus internal-service and admin-or-internal dual channels.</w:t>
            </w:r>
          </w:p>
        </w:tc>
        <w:tc>
          <w:tcPr>
            <w:tcW w:type="pct" w:w="10%"/>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System</w:t>
            </w:r>
          </w:p>
        </w:tc>
        <w:tc>
          <w:tcPr>
            <w:tcW w:type="pct" w:w="17%"/>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مصفوفة صلاحيات</w:t>
            </w:r>
          </w:p>
        </w:tc>
        <w:tc>
          <w:tcPr>
            <w:tcW w:type="pct" w:w="24%"/>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dependencies/auth.py:require_role / require_internal_service / require_admin_or_internal</w:t>
            </w:r>
          </w:p>
        </w:tc>
        <w:tc>
          <w:tcPr>
            <w:tcW w:type="pct" w:w="9%"/>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Implemented</w:t>
            </w:r>
          </w:p>
        </w:tc>
      </w:tr>
      <w:tr>
        <w:trPr>
          <w:cantSplit/>
        </w:trPr>
        <w:tc>
          <w:tcPr>
            <w:tcW w:type="pct" w:w="7%"/>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FR-033</w:t>
            </w:r>
          </w:p>
        </w:tc>
        <w:tc>
          <w:tcPr>
            <w:tcW w:type="pct" w:w="33%"/>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The system shall rate-limit chat (60/min per IP) and agents (configurable) to prevent abuse and cost flooding.</w:t>
            </w:r>
          </w:p>
        </w:tc>
        <w:tc>
          <w:tcPr>
            <w:tcW w:type="pct" w:w="10%"/>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System</w:t>
            </w:r>
          </w:p>
        </w:tc>
        <w:tc>
          <w:tcPr>
            <w:tcW w:type="pct" w:w="17%"/>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حماية الكلفة والتوفر</w:t>
            </w:r>
          </w:p>
        </w:tc>
        <w:tc>
          <w:tcPr>
            <w:tcW w:type="pct" w:w="24%"/>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main.py SlowAPIMiddleware; core/agents_rate_limit.py</w:t>
            </w:r>
          </w:p>
        </w:tc>
        <w:tc>
          <w:tcPr>
            <w:tcW w:type="pct" w:w="9%"/>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Implemented</w:t>
            </w:r>
          </w:p>
        </w:tc>
      </w:tr>
      <w:tr>
        <w:trPr>
          <w:cantSplit/>
        </w:trPr>
        <w:tc>
          <w:tcPr>
            <w:tcW w:type="pct" w:w="7%"/>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FR-034</w:t>
            </w:r>
          </w:p>
        </w:tc>
        <w:tc>
          <w:tcPr>
            <w:tcW w:type="pct" w:w="33%"/>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The system shall provide an AI Review queue surfacing low-confidence AI recommendations for human approve/edit before dispatch.</w:t>
            </w:r>
          </w:p>
        </w:tc>
        <w:tc>
          <w:tcPr>
            <w:tcW w:type="pct" w:w="10%"/>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Pharmacist</w:t>
            </w:r>
          </w:p>
        </w:tc>
        <w:tc>
          <w:tcPr>
            <w:tcW w:type="pct" w:w="17%"/>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Human-in-the-Loop</w:t>
            </w:r>
          </w:p>
        </w:tc>
        <w:tc>
          <w:tcPr>
            <w:tcW w:type="pct" w:w="24%"/>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admin/ai-review page + pending_reminders decision</w:t>
            </w:r>
          </w:p>
        </w:tc>
        <w:tc>
          <w:tcPr>
            <w:tcW w:type="pct" w:w="9%"/>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Implemented</w:t>
            </w:r>
          </w:p>
        </w:tc>
      </w:tr>
      <w:tr>
        <w:trPr>
          <w:cantSplit/>
        </w:trPr>
        <w:tc>
          <w:tcPr>
            <w:tcW w:type="pct" w:w="7%"/>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FR-035</w:t>
            </w:r>
          </w:p>
        </w:tc>
        <w:tc>
          <w:tcPr>
            <w:tcW w:type="pct" w:w="33%"/>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The system shall expose a What-If simulator (deterministic, no LLM) computing post-discount margins, breakeven volume lift, and sensitivity curve.</w:t>
            </w:r>
          </w:p>
        </w:tc>
        <w:tc>
          <w:tcPr>
            <w:tcW w:type="pct" w:w="10%"/>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Admin</w:t>
            </w:r>
          </w:p>
        </w:tc>
        <w:tc>
          <w:tcPr>
            <w:tcW w:type="pct" w:w="17%"/>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محاكاة قرار فورية قابلة للإثبات</w:t>
            </w:r>
          </w:p>
        </w:tc>
        <w:tc>
          <w:tcPr>
            <w:tcW w:type="pct" w:w="24%"/>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agents/simulator.py:run_whatif / run_sensitivity_curve</w:t>
            </w:r>
          </w:p>
        </w:tc>
        <w:tc>
          <w:tcPr>
            <w:tcW w:type="pct" w:w="9%"/>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Implemented</w:t>
            </w:r>
          </w:p>
        </w:tc>
      </w:tr>
      <w:tr>
        <w:trPr>
          <w:cantSplit/>
        </w:trPr>
        <w:tc>
          <w:tcPr>
            <w:tcW w:type="pct" w:w="7%"/>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FR-036</w:t>
            </w:r>
          </w:p>
        </w:tc>
        <w:tc>
          <w:tcPr>
            <w:tcW w:type="pct" w:w="33%"/>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The system shall provide financial-vision analysis over the live trial balance with LLM articulation only (numbers from DB).</w:t>
            </w:r>
          </w:p>
        </w:tc>
        <w:tc>
          <w:tcPr>
            <w:tcW w:type="pct" w:w="10%"/>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Admin</w:t>
            </w:r>
          </w:p>
        </w:tc>
        <w:tc>
          <w:tcPr>
            <w:tcW w:type="pct" w:w="17%"/>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قراءة مالية آلية صادقة</w:t>
            </w:r>
          </w:p>
        </w:tc>
        <w:tc>
          <w:tcPr>
            <w:tcW w:type="pct" w:w="24%"/>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agents/financial_vision.py</w:t>
            </w:r>
          </w:p>
        </w:tc>
        <w:tc>
          <w:tcPr>
            <w:tcW w:type="pct" w:w="9%"/>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Implemented</w:t>
            </w:r>
          </w:p>
        </w:tc>
      </w:tr>
      <w:tr>
        <w:trPr>
          <w:cantSplit/>
        </w:trPr>
        <w:tc>
          <w:tcPr>
            <w:tcW w:type="pct" w:w="7%"/>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FR-037</w:t>
            </w:r>
          </w:p>
        </w:tc>
        <w:tc>
          <w:tcPr>
            <w:tcW w:type="pct" w:w="33%"/>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The system shall maintain cross-sell affinity relations (drug_affinities) with bidirectional lookup and confidence scores.</w:t>
            </w:r>
          </w:p>
        </w:tc>
        <w:tc>
          <w:tcPr>
            <w:tcW w:type="pct" w:w="10%"/>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System / Admin</w:t>
            </w:r>
          </w:p>
        </w:tc>
        <w:tc>
          <w:tcPr>
            <w:tcW w:type="pct" w:w="17%"/>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توصيات تكميلية مبنية على علاقات حقيقية</w:t>
            </w:r>
          </w:p>
        </w:tc>
        <w:tc>
          <w:tcPr>
            <w:tcW w:type="pct" w:w="24%"/>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drug/service.py:get_cross_sell (union_all)</w:t>
            </w:r>
          </w:p>
        </w:tc>
        <w:tc>
          <w:tcPr>
            <w:tcW w:type="pct" w:w="9%"/>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Implemented</w:t>
            </w:r>
          </w:p>
        </w:tc>
      </w:tr>
      <w:tr>
        <w:trPr>
          <w:cantSplit/>
        </w:trPr>
        <w:tc>
          <w:tcPr>
            <w:tcW w:type="pct" w:w="7%"/>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FR-038</w:t>
            </w:r>
          </w:p>
        </w:tc>
        <w:tc>
          <w:tcPr>
            <w:tcW w:type="pct" w:w="33%"/>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The system shall record inventory burns from real order lines (90-day velocity) and surface near-stockout and dead-stock.</w:t>
            </w:r>
          </w:p>
        </w:tc>
        <w:tc>
          <w:tcPr>
            <w:tcW w:type="pct" w:w="10%"/>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Admin</w:t>
            </w:r>
          </w:p>
        </w:tc>
        <w:tc>
          <w:tcPr>
            <w:tcW w:type="pct" w:w="17%"/>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قرار مخزون استباقي</w:t>
            </w:r>
          </w:p>
        </w:tc>
        <w:tc>
          <w:tcPr>
            <w:tcW w:type="pct" w:w="24%"/>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inventory domain + agents/inventory.py</w:t>
            </w:r>
          </w:p>
        </w:tc>
        <w:tc>
          <w:tcPr>
            <w:tcW w:type="pct" w:w="9%"/>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Implemented</w:t>
            </w:r>
          </w:p>
        </w:tc>
      </w:tr>
      <w:tr>
        <w:trPr>
          <w:cantSplit/>
        </w:trPr>
        <w:tc>
          <w:tcPr>
            <w:tcW w:type="pct" w:w="7%"/>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FR-039</w:t>
            </w:r>
          </w:p>
        </w:tc>
        <w:tc>
          <w:tcPr>
            <w:tcW w:type="pct" w:w="33%"/>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The system shall render a dual-QR ETA tax invoice view with a mobile receipt page.</w:t>
            </w:r>
          </w:p>
        </w:tc>
        <w:tc>
          <w:tcPr>
            <w:tcW w:type="pct" w:w="10%"/>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Customer</w:t>
            </w:r>
          </w:p>
        </w:tc>
        <w:tc>
          <w:tcPr>
            <w:tcW w:type="pct" w:w="17%"/>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فوترة إلكترونية</w:t>
            </w:r>
          </w:p>
        </w:tc>
        <w:tc>
          <w:tcPr>
            <w:tcW w:type="pct" w:w="24%"/>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frontend/invoice-view/[orderId] + ETA QR</w:t>
            </w:r>
          </w:p>
        </w:tc>
        <w:tc>
          <w:tcPr>
            <w:tcW w:type="pct" w:w="9%"/>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Implemented</w:t>
            </w:r>
          </w:p>
        </w:tc>
      </w:tr>
      <w:tr>
        <w:trPr>
          <w:cantSplit/>
        </w:trPr>
        <w:tc>
          <w:tcPr>
            <w:tcW w:type="pct" w:w="7%"/>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FR-040</w:t>
            </w:r>
          </w:p>
        </w:tc>
        <w:tc>
          <w:tcPr>
            <w:tcW w:type="pct" w:w="33%"/>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The system shall expose an A/B testing framework for reminder messages with measured results.</w:t>
            </w:r>
          </w:p>
        </w:tc>
        <w:tc>
          <w:tcPr>
            <w:tcW w:type="pct" w:w="10%"/>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Admin</w:t>
            </w:r>
          </w:p>
        </w:tc>
        <w:tc>
          <w:tcPr>
            <w:tcW w:type="pct" w:w="17%"/>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تحسين تجريبي للرسائل</w:t>
            </w:r>
          </w:p>
        </w:tc>
        <w:tc>
          <w:tcPr>
            <w:tcW w:type="pct" w:w="24%"/>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models/ab_test.py + n8n A/B branch</w:t>
            </w:r>
          </w:p>
        </w:tc>
        <w:tc>
          <w:tcPr>
            <w:tcW w:type="pct" w:w="9%"/>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Implemented</w:t>
            </w:r>
          </w:p>
        </w:tc>
      </w:tr>
      <w:tr>
        <w:trPr>
          <w:cantSplit/>
        </w:trPr>
        <w:tc>
          <w:tcPr>
            <w:tcW w:type="pct" w:w="7%"/>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FR-041</w:t>
            </w:r>
          </w:p>
        </w:tc>
        <w:tc>
          <w:tcPr>
            <w:tcW w:type="pct" w:w="33%"/>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The system shall generate ETA-compliant invoice payloads and surface compliance artifacts in the admin.</w:t>
            </w:r>
          </w:p>
        </w:tc>
        <w:tc>
          <w:tcPr>
            <w:tcW w:type="pct" w:w="10%"/>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Admin</w:t>
            </w:r>
          </w:p>
        </w:tc>
        <w:tc>
          <w:tcPr>
            <w:tcW w:type="pct" w:w="17%"/>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امتثال ضريبي</w:t>
            </w:r>
          </w:p>
        </w:tc>
        <w:tc>
          <w:tcPr>
            <w:tcW w:type="pct" w:w="24%"/>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business_value + invoice-view</w:t>
            </w:r>
          </w:p>
        </w:tc>
        <w:tc>
          <w:tcPr>
            <w:tcW w:type="pct" w:w="9%"/>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Implemented</w:t>
            </w:r>
          </w:p>
        </w:tc>
      </w:tr>
      <w:tr>
        <w:trPr>
          <w:cantSplit/>
        </w:trPr>
        <w:tc>
          <w:tcPr>
            <w:tcW w:type="pct" w:w="7%"/>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FR-042</w:t>
            </w:r>
          </w:p>
        </w:tc>
        <w:tc>
          <w:tcPr>
            <w:tcW w:type="pct" w:w="33%"/>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The system shall provide an orchestrator routing admin queries to the correct agent (AGENT_REGISTRY).</w:t>
            </w:r>
          </w:p>
        </w:tc>
        <w:tc>
          <w:tcPr>
            <w:tcW w:type="pct" w:w="10%"/>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Admin</w:t>
            </w:r>
          </w:p>
        </w:tc>
        <w:tc>
          <w:tcPr>
            <w:tcW w:type="pct" w:w="17%"/>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مشرف موحد</w:t>
            </w:r>
          </w:p>
        </w:tc>
        <w:tc>
          <w:tcPr>
            <w:tcW w:type="pct" w:w="24%"/>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agents/orchestrator.py + /orchestrator/route</w:t>
            </w:r>
          </w:p>
        </w:tc>
        <w:tc>
          <w:tcPr>
            <w:tcW w:type="pct" w:w="9%"/>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Implemented</w:t>
            </w:r>
          </w:p>
        </w:tc>
      </w:tr>
      <w:tr>
        <w:trPr>
          <w:cantSplit/>
        </w:trPr>
        <w:tc>
          <w:tcPr>
            <w:tcW w:type="pct" w:w="7%"/>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FR-043</w:t>
            </w:r>
          </w:p>
        </w:tc>
        <w:tc>
          <w:tcPr>
            <w:tcW w:type="pct" w:w="33%"/>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The system shall document decisions via a documentation agent persisting to audit_logs.</w:t>
            </w:r>
          </w:p>
        </w:tc>
        <w:tc>
          <w:tcPr>
            <w:tcW w:type="pct" w:w="10%"/>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Admin</w:t>
            </w:r>
          </w:p>
        </w:tc>
        <w:tc>
          <w:tcPr>
            <w:tcW w:type="pct" w:w="17%"/>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ذاكرة قرارات</w:t>
            </w:r>
          </w:p>
        </w:tc>
        <w:tc>
          <w:tcPr>
            <w:tcW w:type="pct" w:w="24%"/>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agents/documentation.py + /documentation/log-decision</w:t>
            </w:r>
          </w:p>
        </w:tc>
        <w:tc>
          <w:tcPr>
            <w:tcW w:type="pct" w:w="9%"/>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Implemented</w:t>
            </w:r>
          </w:p>
        </w:tc>
      </w:tr>
      <w:tr>
        <w:trPr>
          <w:cantSplit/>
        </w:trPr>
        <w:tc>
          <w:tcPr>
            <w:tcW w:type="pct" w:w="7%"/>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FR-044</w:t>
            </w:r>
          </w:p>
        </w:tc>
        <w:tc>
          <w:tcPr>
            <w:tcW w:type="pct" w:w="33%"/>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The system shall provide a model manager for runtime LLM switch (pull/switch/benchmark) behind the GPU semaphore.</w:t>
            </w:r>
          </w:p>
        </w:tc>
        <w:tc>
          <w:tcPr>
            <w:tcW w:type="pct" w:w="10%"/>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Admin</w:t>
            </w:r>
          </w:p>
        </w:tc>
        <w:tc>
          <w:tcPr>
            <w:tcW w:type="pct" w:w="17%"/>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إدارة نماذج حية</w:t>
            </w:r>
          </w:p>
        </w:tc>
        <w:tc>
          <w:tcPr>
            <w:tcW w:type="pct" w:w="24%"/>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agents/model_manager.py (semaphore-guarded benchmark)</w:t>
            </w:r>
          </w:p>
        </w:tc>
        <w:tc>
          <w:tcPr>
            <w:tcW w:type="pct" w:w="9%"/>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Implemented</w:t>
            </w:r>
          </w:p>
        </w:tc>
      </w:tr>
      <w:tr>
        <w:trPr>
          <w:cantSplit/>
        </w:trPr>
        <w:tc>
          <w:tcPr>
            <w:tcW w:type="pct" w:w="7%"/>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FR-045</w:t>
            </w:r>
          </w:p>
        </w:tc>
        <w:tc>
          <w:tcPr>
            <w:tcW w:type="pct" w:w="33%"/>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The system shall stream chat responses via SSE with immediate metadata, keepalive pings, and graceful error chunks.</w:t>
            </w:r>
          </w:p>
        </w:tc>
        <w:tc>
          <w:tcPr>
            <w:tcW w:type="pct" w:w="10%"/>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Customer</w:t>
            </w:r>
          </w:p>
        </w:tc>
        <w:tc>
          <w:tcPr>
            <w:tcW w:type="pct" w:w="17%"/>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تجربة استجابة حية</w:t>
            </w:r>
          </w:p>
        </w:tc>
        <w:tc>
          <w:tcPr>
            <w:tcW w:type="pct" w:w="24%"/>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ai/service.py:generate_ai_response_stream</w:t>
            </w:r>
          </w:p>
        </w:tc>
        <w:tc>
          <w:tcPr>
            <w:tcW w:type="pct" w:w="9%"/>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Implemented</w:t>
            </w:r>
          </w:p>
        </w:tc>
      </w:tr>
    </w:tbl>
    <w:p>
      <w:pPr>
        <w:pStyle w:val="Heading1"/>
        <w:pageBreakBefore/>
        <w:bidi/>
        <w:spacing w:after="200" w:before="400" w:line="340"/>
        <w:jc w:val="right"/>
      </w:pPr>
      <w:bookmarkStart w:id="100011" w:name="_Toc100011"/>
      <w:r>
        <w:rPr>
          <w:rFonts w:ascii="Times New Roman" w:cs="Simplified Arabic" w:hAnsi="Times New Roman"/>
          <w:b/>
          <w:bCs/>
          <w:color w:val="1F3A5F"/>
          <w:sz w:val="32"/>
          <w:szCs w:val="36"/>
          <w:rtl/>
        </w:rPr>
        <w:t xml:space="preserve">14. المتطلبات غير الوظيفية (Non-Functional Requirements)</w:t>
      </w:r>
      <w:bookmarkEnd w:id="100011"/>
    </w:p>
    <w:p>
      <w:pPr>
        <w:bidi/>
        <w:spacing w:after="120" w:line="312"/>
        <w:ind w:firstLine="340"/>
        <w:jc w:val="both"/>
      </w:pPr>
      <w:r>
        <w:rPr>
          <w:rFonts w:ascii="Times New Roman" w:cs="Traditional Arabic" w:hAnsi="Times New Roman"/>
          <w:b w:val="false"/>
          <w:i w:val="false"/>
          <w:iCs w:val="false"/>
          <w:color w:val="000000"/>
          <w:sz w:val="26"/>
          <w:szCs w:val="30"/>
          <w:rtl/>
        </w:rPr>
        <w:t xml:space="preserve">تقيّم الجودة بمزيج: خاصية معمارية مثبتة في الكود + قياس تشغيلي. كل بند يحمل دليله:</w:t>
      </w:r>
    </w:p>
    <w:p>
      <w:pPr>
        <w:keepNext/>
        <w:bidi/>
        <w:spacing w:after="80" w:before="160"/>
        <w:jc w:val="right"/>
      </w:pPr>
      <w:r>
        <w:rPr>
          <w:rFonts w:ascii="Times New Roman" w:cs="Traditional Arabic" w:hAnsi="Times New Roman"/>
          <w:b/>
          <w:bCs/>
          <w:i w:val="false"/>
          <w:iCs w:val="false"/>
          <w:color w:val="000000"/>
          <w:sz w:val="22"/>
          <w:szCs w:val="22"/>
          <w:rtl/>
        </w:rPr>
        <w:t xml:space="preserve">جدول 2: </w:t>
      </w:r>
      <w:r>
        <w:rPr>
          <w:rFonts w:ascii="Times New Roman" w:cs="Traditional Arabic" w:hAnsi="Times New Roman"/>
          <w:b w:val="false"/>
          <w:i w:val="false"/>
          <w:iCs w:val="false"/>
          <w:color w:val="000000"/>
          <w:sz w:val="22"/>
          <w:szCs w:val="22"/>
          <w:rtl/>
        </w:rPr>
        <w:t xml:space="preserve">المتطلبات غير الوظيفية (24 متطلباً)</w:t>
      </w:r>
    </w:p>
    <w:tbl>
      <w:tblPr>
        <w:bidiVisual/>
        <w:tblW w:type="pct" w:w="100%"/>
        <w:tblBorders>
          <w:top w:val="single" w:color="9AA6B2" w:sz="6"/>
          <w:left w:val="none" w:color="FFFFFF" w:sz="0"/>
          <w:bottom w:val="single" w:color="9AA6B2" w:sz="6"/>
          <w:right w:val="none" w:color="FFFFFF" w:sz="0"/>
          <w:insideH w:val="single" w:color="D5DCE4" w:sz="2"/>
          <w:insideV w:val="single" w:color="D5DCE4" w:sz="2"/>
        </w:tblBorders>
      </w:tblPr>
      <w:tblGrid>
        <w:gridCol w:w="100"/>
        <w:gridCol w:w="100"/>
        <w:gridCol w:w="100"/>
        <w:gridCol w:w="100"/>
        <w:gridCol w:w="100"/>
      </w:tblGrid>
      <w:tr>
        <w:trPr>
          <w:cantSplit/>
          <w:tblHeader/>
        </w:trPr>
        <w:tc>
          <w:tcPr>
            <w:tcW w:type="pct" w:w="8%"/>
            <w:shd w:fill="E8EDF3" w:val="clear"/>
            <w:tcMar>
              <w:top w:type="dxa" w:w="70"/>
              <w:left w:type="dxa" w:w="100"/>
              <w:bottom w:type="dxa" w:w="70"/>
              <w:right w:type="dxa" w:w="100"/>
            </w:tcMar>
            <w:vAlign w:val="center"/>
          </w:tcPr>
          <w:p>
            <w:pPr>
              <w:bidi/>
              <w:jc w:val="center"/>
            </w:pPr>
            <w:r>
              <w:rPr>
                <w:rFonts w:ascii="Times New Roman" w:cs="Traditional Arabic" w:hAnsi="Times New Roman"/>
                <w:b/>
                <w:bCs/>
                <w:i w:val="false"/>
                <w:iCs w:val="false"/>
                <w:color w:val="111111"/>
                <w:sz w:val="21"/>
                <w:szCs w:val="21"/>
                <w:rtl/>
              </w:rPr>
              <w:t xml:space="preserve">ID</w:t>
            </w:r>
          </w:p>
        </w:tc>
        <w:tc>
          <w:tcPr>
            <w:tcW w:type="pct" w:w="13%"/>
            <w:shd w:fill="E8EDF3" w:val="clear"/>
            <w:tcMar>
              <w:top w:type="dxa" w:w="70"/>
              <w:left w:type="dxa" w:w="100"/>
              <w:bottom w:type="dxa" w:w="70"/>
              <w:right w:type="dxa" w:w="100"/>
            </w:tcMar>
            <w:vAlign w:val="center"/>
          </w:tcPr>
          <w:p>
            <w:pPr>
              <w:bidi/>
              <w:jc w:val="center"/>
            </w:pPr>
            <w:r>
              <w:rPr>
                <w:rFonts w:ascii="Times New Roman" w:cs="Traditional Arabic" w:hAnsi="Times New Roman"/>
                <w:b/>
                <w:bCs/>
                <w:i w:val="false"/>
                <w:iCs w:val="false"/>
                <w:color w:val="111111"/>
                <w:sz w:val="21"/>
                <w:szCs w:val="21"/>
                <w:rtl/>
              </w:rPr>
              <w:t xml:space="preserve">البعد</w:t>
            </w:r>
          </w:p>
        </w:tc>
        <w:tc>
          <w:tcPr>
            <w:tcW w:type="pct" w:w="42%"/>
            <w:shd w:fill="E8EDF3" w:val="clear"/>
            <w:tcMar>
              <w:top w:type="dxa" w:w="70"/>
              <w:left w:type="dxa" w:w="100"/>
              <w:bottom w:type="dxa" w:w="70"/>
              <w:right w:type="dxa" w:w="100"/>
            </w:tcMar>
            <w:vAlign w:val="center"/>
          </w:tcPr>
          <w:p>
            <w:pPr>
              <w:bidi/>
              <w:jc w:val="center"/>
            </w:pPr>
            <w:r>
              <w:rPr>
                <w:rFonts w:ascii="Times New Roman" w:cs="Traditional Arabic" w:hAnsi="Times New Roman"/>
                <w:b/>
                <w:bCs/>
                <w:i w:val="false"/>
                <w:iCs w:val="false"/>
                <w:color w:val="111111"/>
                <w:sz w:val="21"/>
                <w:szCs w:val="21"/>
                <w:rtl/>
              </w:rPr>
              <w:t xml:space="preserve">Requirement</w:t>
            </w:r>
          </w:p>
        </w:tc>
        <w:tc>
          <w:tcPr>
            <w:tcW w:type="pct" w:w="27%"/>
            <w:shd w:fill="E8EDF3" w:val="clear"/>
            <w:tcMar>
              <w:top w:type="dxa" w:w="70"/>
              <w:left w:type="dxa" w:w="100"/>
              <w:bottom w:type="dxa" w:w="70"/>
              <w:right w:type="dxa" w:w="100"/>
            </w:tcMar>
            <w:vAlign w:val="center"/>
          </w:tcPr>
          <w:p>
            <w:pPr>
              <w:bidi/>
              <w:jc w:val="center"/>
            </w:pPr>
            <w:r>
              <w:rPr>
                <w:rFonts w:ascii="Times New Roman" w:cs="Traditional Arabic" w:hAnsi="Times New Roman"/>
                <w:b/>
                <w:bCs/>
                <w:i w:val="false"/>
                <w:iCs w:val="false"/>
                <w:color w:val="111111"/>
                <w:sz w:val="21"/>
                <w:szCs w:val="21"/>
                <w:rtl/>
              </w:rPr>
              <w:t xml:space="preserve">Implementation Evidence</w:t>
            </w:r>
          </w:p>
        </w:tc>
        <w:tc>
          <w:tcPr>
            <w:tcW w:type="pct" w:w="10%"/>
            <w:shd w:fill="E8EDF3" w:val="clear"/>
            <w:tcMar>
              <w:top w:type="dxa" w:w="70"/>
              <w:left w:type="dxa" w:w="100"/>
              <w:bottom w:type="dxa" w:w="70"/>
              <w:right w:type="dxa" w:w="100"/>
            </w:tcMar>
            <w:vAlign w:val="center"/>
          </w:tcPr>
          <w:p>
            <w:pPr>
              <w:bidi/>
              <w:jc w:val="center"/>
            </w:pPr>
            <w:r>
              <w:rPr>
                <w:rFonts w:ascii="Times New Roman" w:cs="Traditional Arabic" w:hAnsi="Times New Roman"/>
                <w:b/>
                <w:bCs/>
                <w:i w:val="false"/>
                <w:iCs w:val="false"/>
                <w:color w:val="111111"/>
                <w:sz w:val="21"/>
                <w:szCs w:val="21"/>
                <w:rtl/>
              </w:rPr>
              <w:t xml:space="preserve">Status</w:t>
            </w:r>
          </w:p>
        </w:tc>
      </w:tr>
      <w:tr>
        <w:trPr>
          <w:cantSplit/>
        </w:trPr>
        <w:tc>
          <w:tcPr>
            <w:tcW w:type="pct" w:w="8%"/>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NFR-01</w:t>
            </w:r>
          </w:p>
        </w:tc>
        <w:tc>
          <w:tcPr>
            <w:tcW w:type="pct" w:w="13%"/>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Security</w:t>
            </w:r>
          </w:p>
        </w:tc>
        <w:tc>
          <w:tcPr>
            <w:tcW w:type="pct" w:w="42%"/>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JWT (Supabase) + RBAC roles + internal-service token + HMAC chat session capability</w:t>
            </w:r>
          </w:p>
        </w:tc>
        <w:tc>
          <w:tcPr>
            <w:tcW w:type="pct" w:w="27%"/>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dependencies/auth.py; ai/service.py session signing</w:t>
            </w:r>
          </w:p>
        </w:tc>
        <w:tc>
          <w:tcPr>
            <w:tcW w:type="pct" w:w="10%"/>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Implemented</w:t>
            </w:r>
          </w:p>
        </w:tc>
      </w:tr>
      <w:tr>
        <w:trPr>
          <w:cantSplit/>
        </w:trPr>
        <w:tc>
          <w:tcPr>
            <w:tcW w:type="pct" w:w="8%"/>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NFR-02</w:t>
            </w:r>
          </w:p>
        </w:tc>
        <w:tc>
          <w:tcPr>
            <w:tcW w:type="pct" w:w="13%"/>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Security</w:t>
            </w:r>
          </w:p>
        </w:tc>
        <w:tc>
          <w:tcPr>
            <w:tcW w:type="pct" w:w="42%"/>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Prompt-injection defense: SecurityGuard sanitize + context-untrusted rule in system prompt + output XML-tag cleaner</w:t>
            </w:r>
          </w:p>
        </w:tc>
        <w:tc>
          <w:tcPr>
            <w:tcW w:type="pct" w:w="27%"/>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ai/security_guard.py; _build_system_prompt; _clean_llm_output</w:t>
            </w:r>
          </w:p>
        </w:tc>
        <w:tc>
          <w:tcPr>
            <w:tcW w:type="pct" w:w="10%"/>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Implemented</w:t>
            </w:r>
          </w:p>
        </w:tc>
      </w:tr>
      <w:tr>
        <w:trPr>
          <w:cantSplit/>
        </w:trPr>
        <w:tc>
          <w:tcPr>
            <w:tcW w:type="pct" w:w="8%"/>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NFR-03</w:t>
            </w:r>
          </w:p>
        </w:tc>
        <w:tc>
          <w:tcPr>
            <w:tcW w:type="pct" w:w="13%"/>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Privacy</w:t>
            </w:r>
          </w:p>
        </w:tc>
        <w:tc>
          <w:tcPr>
            <w:tcW w:type="pct" w:w="42%"/>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PII redaction before any cloud call; local LLM first tier; PII placeholder pattern</w:t>
            </w:r>
          </w:p>
        </w:tc>
        <w:tc>
          <w:tcPr>
            <w:tcW w:type="pct" w:w="27%"/>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llm_engine.py:_redact_cloud_payload, PII_PLACEHOLDER</w:t>
            </w:r>
          </w:p>
        </w:tc>
        <w:tc>
          <w:tcPr>
            <w:tcW w:type="pct" w:w="10%"/>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Implemented</w:t>
            </w:r>
          </w:p>
        </w:tc>
      </w:tr>
      <w:tr>
        <w:trPr>
          <w:cantSplit/>
        </w:trPr>
        <w:tc>
          <w:tcPr>
            <w:tcW w:type="pct" w:w="8%"/>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NFR-04</w:t>
            </w:r>
          </w:p>
        </w:tc>
        <w:tc>
          <w:tcPr>
            <w:tcW w:type="pct" w:w="13%"/>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Privacy</w:t>
            </w:r>
          </w:p>
        </w:tc>
        <w:tc>
          <w:tcPr>
            <w:tcW w:type="pct" w:w="42%"/>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Personal data export per Egyptian Law 151/2020 with legal notice artifact</w:t>
            </w:r>
          </w:p>
        </w:tc>
        <w:tc>
          <w:tcPr>
            <w:tcW w:type="pct" w:w="27%"/>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legal notice JSON + data-export flow</w:t>
            </w:r>
          </w:p>
        </w:tc>
        <w:tc>
          <w:tcPr>
            <w:tcW w:type="pct" w:w="10%"/>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Implemented</w:t>
            </w:r>
          </w:p>
        </w:tc>
      </w:tr>
      <w:tr>
        <w:trPr>
          <w:cantSplit/>
        </w:trPr>
        <w:tc>
          <w:tcPr>
            <w:tcW w:type="pct" w:w="8%"/>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NFR-05</w:t>
            </w:r>
          </w:p>
        </w:tc>
        <w:tc>
          <w:tcPr>
            <w:tcW w:type="pct" w:w="13%"/>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Multi-Tenancy</w:t>
            </w:r>
          </w:p>
        </w:tc>
        <w:tc>
          <w:tcPr>
            <w:tcW w:type="pct" w:w="42%"/>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tenant_id on all business tables + RLS policies (20) + strict-filter switch</w:t>
            </w:r>
          </w:p>
        </w:tc>
        <w:tc>
          <w:tcPr>
            <w:tcW w:type="pct" w:w="27%"/>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enable_rls.sql; STRICT_TENANT_FILTER</w:t>
            </w:r>
          </w:p>
        </w:tc>
        <w:tc>
          <w:tcPr>
            <w:tcW w:type="pct" w:w="10%"/>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Implemented</w:t>
            </w:r>
          </w:p>
        </w:tc>
      </w:tr>
      <w:tr>
        <w:trPr>
          <w:cantSplit/>
        </w:trPr>
        <w:tc>
          <w:tcPr>
            <w:tcW w:type="pct" w:w="8%"/>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NFR-06</w:t>
            </w:r>
          </w:p>
        </w:tc>
        <w:tc>
          <w:tcPr>
            <w:tcW w:type="pct" w:w="13%"/>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Auditability</w:t>
            </w:r>
          </w:p>
        </w:tc>
        <w:tc>
          <w:tcPr>
            <w:tcW w:type="pct" w:w="42%"/>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audit_logs on every critical action + external WORM chain (SHA-256, fsync, sidecar lock) + bi-directional verify</w:t>
            </w:r>
          </w:p>
        </w:tc>
        <w:tc>
          <w:tcPr>
            <w:tcW w:type="pct" w:w="27%"/>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core/worm_ledger.py; worm_worker.py</w:t>
            </w:r>
          </w:p>
        </w:tc>
        <w:tc>
          <w:tcPr>
            <w:tcW w:type="pct" w:w="10%"/>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Implemented</w:t>
            </w:r>
          </w:p>
        </w:tc>
      </w:tr>
      <w:tr>
        <w:trPr>
          <w:cantSplit/>
        </w:trPr>
        <w:tc>
          <w:tcPr>
            <w:tcW w:type="pct" w:w="8%"/>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NFR-07</w:t>
            </w:r>
          </w:p>
        </w:tc>
        <w:tc>
          <w:tcPr>
            <w:tcW w:type="pct" w:w="13%"/>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Reliability</w:t>
            </w:r>
          </w:p>
        </w:tc>
        <w:tc>
          <w:tcPr>
            <w:tcW w:type="pct" w:w="42%"/>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Hybrid agents fall back to local engines when n8n fails; error:true responses rejected</w:t>
            </w:r>
          </w:p>
        </w:tc>
        <w:tc>
          <w:tcPr>
            <w:tcW w:type="pct" w:w="27%"/>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agents/hybrid.py gate</w:t>
            </w:r>
          </w:p>
        </w:tc>
        <w:tc>
          <w:tcPr>
            <w:tcW w:type="pct" w:w="10%"/>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Implemented</w:t>
            </w:r>
          </w:p>
        </w:tc>
      </w:tr>
      <w:tr>
        <w:trPr>
          <w:cantSplit/>
        </w:trPr>
        <w:tc>
          <w:tcPr>
            <w:tcW w:type="pct" w:w="8%"/>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NFR-08</w:t>
            </w:r>
          </w:p>
        </w:tc>
        <w:tc>
          <w:tcPr>
            <w:tcW w:type="pct" w:w="13%"/>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Reliability</w:t>
            </w:r>
          </w:p>
        </w:tc>
        <w:tc>
          <w:tcPr>
            <w:tcW w:type="pct" w:w="42%"/>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Emergency alerts persist to outbox when n8n unreachable and flush on startup</w:t>
            </w:r>
          </w:p>
        </w:tc>
        <w:tc>
          <w:tcPr>
            <w:tcW w:type="pct" w:w="27%"/>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ai/service.py:emergency_outbox; main.py flush</w:t>
            </w:r>
          </w:p>
        </w:tc>
        <w:tc>
          <w:tcPr>
            <w:tcW w:type="pct" w:w="10%"/>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Implemented</w:t>
            </w:r>
          </w:p>
        </w:tc>
      </w:tr>
      <w:tr>
        <w:trPr>
          <w:cantSplit/>
        </w:trPr>
        <w:tc>
          <w:tcPr>
            <w:tcW w:type="pct" w:w="8%"/>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NFR-09</w:t>
            </w:r>
          </w:p>
        </w:tc>
        <w:tc>
          <w:tcPr>
            <w:tcW w:type="pct" w:w="13%"/>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Performance</w:t>
            </w:r>
          </w:p>
        </w:tc>
        <w:tc>
          <w:tcPr>
            <w:tcW w:type="pct" w:w="42%"/>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Parallel RAG stages (DDI+vector+lexical+intent via asyncio.gather); pgvector HNSW index; bounded LRU session cache</w:t>
            </w:r>
          </w:p>
        </w:tc>
        <w:tc>
          <w:tcPr>
            <w:tcW w:type="pct" w:w="27%"/>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ai/service.py:829-855; knowledge_chunks HNSW</w:t>
            </w:r>
          </w:p>
        </w:tc>
        <w:tc>
          <w:tcPr>
            <w:tcW w:type="pct" w:w="10%"/>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Implemented</w:t>
            </w:r>
          </w:p>
        </w:tc>
      </w:tr>
      <w:tr>
        <w:trPr>
          <w:cantSplit/>
        </w:trPr>
        <w:tc>
          <w:tcPr>
            <w:tcW w:type="pct" w:w="8%"/>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NFR-10</w:t>
            </w:r>
          </w:p>
        </w:tc>
        <w:tc>
          <w:tcPr>
            <w:tcW w:type="pct" w:w="13%"/>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Performance</w:t>
            </w:r>
          </w:p>
        </w:tc>
        <w:tc>
          <w:tcPr>
            <w:tcW w:type="pct" w:w="42%"/>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GPU semaphore (LLM_MAX_CONCURRENCY=2) guards local model concurrency; Ollama keep_alive</w:t>
            </w:r>
          </w:p>
        </w:tc>
        <w:tc>
          <w:tcPr>
            <w:tcW w:type="pct" w:w="27%"/>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config.py:21; llm_engine.py semaphore</w:t>
            </w:r>
          </w:p>
        </w:tc>
        <w:tc>
          <w:tcPr>
            <w:tcW w:type="pct" w:w="10%"/>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Implemented</w:t>
            </w:r>
          </w:p>
        </w:tc>
      </w:tr>
      <w:tr>
        <w:trPr>
          <w:cantSplit/>
        </w:trPr>
        <w:tc>
          <w:tcPr>
            <w:tcW w:type="pct" w:w="8%"/>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NFR-11</w:t>
            </w:r>
          </w:p>
        </w:tc>
        <w:tc>
          <w:tcPr>
            <w:tcW w:type="pct" w:w="13%"/>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Scalability</w:t>
            </w:r>
          </w:p>
        </w:tc>
        <w:tc>
          <w:tcPr>
            <w:tcW w:type="pct" w:w="42%"/>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Stateless API + async SQLAlchemy + keyset pagination in WORM sync (no OFFSET decay)</w:t>
            </w:r>
          </w:p>
        </w:tc>
        <w:tc>
          <w:tcPr>
            <w:tcW w:type="pct" w:w="27%"/>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worm_ledger.py:sync_recent_events</w:t>
            </w:r>
          </w:p>
        </w:tc>
        <w:tc>
          <w:tcPr>
            <w:tcW w:type="pct" w:w="10%"/>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Implemented</w:t>
            </w:r>
          </w:p>
        </w:tc>
      </w:tr>
      <w:tr>
        <w:trPr>
          <w:cantSplit/>
        </w:trPr>
        <w:tc>
          <w:tcPr>
            <w:tcW w:type="pct" w:w="8%"/>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NFR-12</w:t>
            </w:r>
          </w:p>
        </w:tc>
        <w:tc>
          <w:tcPr>
            <w:tcW w:type="pct" w:w="13%"/>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Maintainability</w:t>
            </w:r>
          </w:p>
        </w:tc>
        <w:tc>
          <w:tcPr>
            <w:tcW w:type="pct" w:w="42%"/>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23 cohesive domains + vertical YAML separation + 34 test files / 223 tests</w:t>
            </w:r>
          </w:p>
        </w:tc>
        <w:tc>
          <w:tcPr>
            <w:tcW w:type="pct" w:w="27%"/>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repository layout; backend/tests</w:t>
            </w:r>
          </w:p>
        </w:tc>
        <w:tc>
          <w:tcPr>
            <w:tcW w:type="pct" w:w="10%"/>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Implemented</w:t>
            </w:r>
          </w:p>
        </w:tc>
      </w:tr>
      <w:tr>
        <w:trPr>
          <w:cantSplit/>
        </w:trPr>
        <w:tc>
          <w:tcPr>
            <w:tcW w:type="pct" w:w="8%"/>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NFR-13</w:t>
            </w:r>
          </w:p>
        </w:tc>
        <w:tc>
          <w:tcPr>
            <w:tcW w:type="pct" w:w="13%"/>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Usability</w:t>
            </w:r>
          </w:p>
        </w:tc>
        <w:tc>
          <w:tcPr>
            <w:tcW w:type="pct" w:w="42%"/>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Bilingual storefront/dashboard with Arabic-first UX, confidence badges, honest empty-states</w:t>
            </w:r>
          </w:p>
        </w:tc>
        <w:tc>
          <w:tcPr>
            <w:tcW w:type="pct" w:w="27%"/>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frontend pages; quality_metrics badges</w:t>
            </w:r>
          </w:p>
        </w:tc>
        <w:tc>
          <w:tcPr>
            <w:tcW w:type="pct" w:w="10%"/>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Implemented</w:t>
            </w:r>
          </w:p>
        </w:tc>
      </w:tr>
      <w:tr>
        <w:trPr>
          <w:cantSplit/>
        </w:trPr>
        <w:tc>
          <w:tcPr>
            <w:tcW w:type="pct" w:w="8%"/>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NFR-14</w:t>
            </w:r>
          </w:p>
        </w:tc>
        <w:tc>
          <w:tcPr>
            <w:tcW w:type="pct" w:w="13%"/>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Usability</w:t>
            </w:r>
          </w:p>
        </w:tc>
        <w:tc>
          <w:tcPr>
            <w:tcW w:type="pct" w:w="42%"/>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Presentation mode for defense projection + print system for invoices</w:t>
            </w:r>
          </w:p>
        </w:tc>
        <w:tc>
          <w:tcPr>
            <w:tcW w:type="pct" w:w="27%"/>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globals.css aicos-presentation + @media print</w:t>
            </w:r>
          </w:p>
        </w:tc>
        <w:tc>
          <w:tcPr>
            <w:tcW w:type="pct" w:w="10%"/>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Implemented</w:t>
            </w:r>
          </w:p>
        </w:tc>
      </w:tr>
      <w:tr>
        <w:trPr>
          <w:cantSplit/>
        </w:trPr>
        <w:tc>
          <w:tcPr>
            <w:tcW w:type="pct" w:w="8%"/>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NFR-15</w:t>
            </w:r>
          </w:p>
        </w:tc>
        <w:tc>
          <w:tcPr>
            <w:tcW w:type="pct" w:w="13%"/>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Availability</w:t>
            </w:r>
          </w:p>
        </w:tc>
        <w:tc>
          <w:tcPr>
            <w:tcW w:type="pct" w:w="42%"/>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Graceful degradation everywhere: LLM tiers, n8n fallback, outbox, context-only replies</w:t>
            </w:r>
          </w:p>
        </w:tc>
        <w:tc>
          <w:tcPr>
            <w:tcW w:type="pct" w:w="27%"/>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execute_tiered_llm; _context_only_reply</w:t>
            </w:r>
          </w:p>
        </w:tc>
        <w:tc>
          <w:tcPr>
            <w:tcW w:type="pct" w:w="10%"/>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Implemented</w:t>
            </w:r>
          </w:p>
        </w:tc>
      </w:tr>
      <w:tr>
        <w:trPr>
          <w:cantSplit/>
        </w:trPr>
        <w:tc>
          <w:tcPr>
            <w:tcW w:type="pct" w:w="8%"/>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NFR-16</w:t>
            </w:r>
          </w:p>
        </w:tc>
        <w:tc>
          <w:tcPr>
            <w:tcW w:type="pct" w:w="13%"/>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Integrity</w:t>
            </w:r>
          </w:p>
        </w:tc>
        <w:tc>
          <w:tcPr>
            <w:tcW w:type="pct" w:w="42%"/>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Double-entry balance enforcement (is_balanced) + forensic tests</w:t>
            </w:r>
          </w:p>
        </w:tc>
        <w:tc>
          <w:tcPr>
            <w:tcW w:type="pct" w:w="27%"/>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accounting models + forensics.py</w:t>
            </w:r>
          </w:p>
        </w:tc>
        <w:tc>
          <w:tcPr>
            <w:tcW w:type="pct" w:w="10%"/>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Implemented</w:t>
            </w:r>
          </w:p>
        </w:tc>
      </w:tr>
      <w:tr>
        <w:trPr>
          <w:cantSplit/>
        </w:trPr>
        <w:tc>
          <w:tcPr>
            <w:tcW w:type="pct" w:w="8%"/>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NFR-17</w:t>
            </w:r>
          </w:p>
        </w:tc>
        <w:tc>
          <w:tcPr>
            <w:tcW w:type="pct" w:w="13%"/>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Extensibility</w:t>
            </w:r>
          </w:p>
        </w:tc>
        <w:tc>
          <w:tcPr>
            <w:tcW w:type="pct" w:w="42%"/>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Vertical pack YAML (terminology/pricing/benchmarks/safety/agents) + scaffold generator</w:t>
            </w:r>
          </w:p>
        </w:tc>
        <w:tc>
          <w:tcPr>
            <w:tcW w:type="pct" w:w="27%"/>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core/verticals/scaffold.py; verticals/*.yaml</w:t>
            </w:r>
          </w:p>
        </w:tc>
        <w:tc>
          <w:tcPr>
            <w:tcW w:type="pct" w:w="10%"/>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Implemented</w:t>
            </w:r>
          </w:p>
        </w:tc>
      </w:tr>
      <w:tr>
        <w:trPr>
          <w:cantSplit/>
        </w:trPr>
        <w:tc>
          <w:tcPr>
            <w:tcW w:type="pct" w:w="8%"/>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NFR-18</w:t>
            </w:r>
          </w:p>
        </w:tc>
        <w:tc>
          <w:tcPr>
            <w:tcW w:type="pct" w:w="13%"/>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Compliance</w:t>
            </w:r>
          </w:p>
        </w:tc>
        <w:tc>
          <w:tcPr>
            <w:tcW w:type="pct" w:w="42%"/>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ETA invoice artifacts + Law-151 data export + ISA240/COSO-aligned forensic tests</w:t>
            </w:r>
          </w:p>
        </w:tc>
        <w:tc>
          <w:tcPr>
            <w:tcW w:type="pct" w:w="27%"/>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ETA QR; law151 notice; forensics standards block</w:t>
            </w:r>
          </w:p>
        </w:tc>
        <w:tc>
          <w:tcPr>
            <w:tcW w:type="pct" w:w="10%"/>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Implemented</w:t>
            </w:r>
          </w:p>
        </w:tc>
      </w:tr>
      <w:tr>
        <w:trPr>
          <w:cantSplit/>
        </w:trPr>
        <w:tc>
          <w:tcPr>
            <w:tcW w:type="pct" w:w="8%"/>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NFR-19</w:t>
            </w:r>
          </w:p>
        </w:tc>
        <w:tc>
          <w:tcPr>
            <w:tcW w:type="pct" w:w="13%"/>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Cost control</w:t>
            </w:r>
          </w:p>
        </w:tc>
        <w:tc>
          <w:tcPr>
            <w:tcW w:type="pct" w:w="42%"/>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Agent rate limit (30/min) + GPU semaphore + Ollama-local-first cost posture</w:t>
            </w:r>
          </w:p>
        </w:tc>
        <w:tc>
          <w:tcPr>
            <w:tcW w:type="pct" w:w="27%"/>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agents_rate_limit; config LLM_MAX_CONCURRENCY</w:t>
            </w:r>
          </w:p>
        </w:tc>
        <w:tc>
          <w:tcPr>
            <w:tcW w:type="pct" w:w="10%"/>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Implemented</w:t>
            </w:r>
          </w:p>
        </w:tc>
      </w:tr>
      <w:tr>
        <w:trPr>
          <w:cantSplit/>
        </w:trPr>
        <w:tc>
          <w:tcPr>
            <w:tcW w:type="pct" w:w="8%"/>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NFR-20</w:t>
            </w:r>
          </w:p>
        </w:tc>
        <w:tc>
          <w:tcPr>
            <w:tcW w:type="pct" w:w="13%"/>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Observability</w:t>
            </w:r>
          </w:p>
        </w:tc>
        <w:tc>
          <w:tcPr>
            <w:tcW w:type="pct" w:w="42%"/>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Real automation metrics from callbacks; execution source annotation (n8n/local); chat response_time_ms</w:t>
            </w:r>
          </w:p>
        </w:tc>
        <w:tc>
          <w:tcPr>
            <w:tcW w:type="pct" w:w="27%"/>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router /automation/metrics; execution_source</w:t>
            </w:r>
          </w:p>
        </w:tc>
        <w:tc>
          <w:tcPr>
            <w:tcW w:type="pct" w:w="10%"/>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Implemented</w:t>
            </w:r>
          </w:p>
        </w:tc>
      </w:tr>
      <w:tr>
        <w:trPr>
          <w:cantSplit/>
        </w:trPr>
        <w:tc>
          <w:tcPr>
            <w:tcW w:type="pct" w:w="8%"/>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NFR-21</w:t>
            </w:r>
          </w:p>
        </w:tc>
        <w:tc>
          <w:tcPr>
            <w:tcW w:type="pct" w:w="13%"/>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Resilience</w:t>
            </w:r>
          </w:p>
        </w:tc>
        <w:tc>
          <w:tcPr>
            <w:tcW w:type="pct" w:w="42%"/>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Circuit-breaking of failing LLM tiers (3 fails → 60s cooldown → half-open)</w:t>
            </w:r>
          </w:p>
        </w:tc>
        <w:tc>
          <w:tcPr>
            <w:tcW w:type="pct" w:w="27%"/>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llm_engine.py _PROVIDER_FAILURES</w:t>
            </w:r>
          </w:p>
        </w:tc>
        <w:tc>
          <w:tcPr>
            <w:tcW w:type="pct" w:w="10%"/>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Implemented</w:t>
            </w:r>
          </w:p>
        </w:tc>
      </w:tr>
      <w:tr>
        <w:trPr>
          <w:cantSplit/>
        </w:trPr>
        <w:tc>
          <w:tcPr>
            <w:tcW w:type="pct" w:w="8%"/>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NFR-22</w:t>
            </w:r>
          </w:p>
        </w:tc>
        <w:tc>
          <w:tcPr>
            <w:tcW w:type="pct" w:w="13%"/>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Data honesty</w:t>
            </w:r>
          </w:p>
        </w:tc>
        <w:tc>
          <w:tcPr>
            <w:tcW w:type="pct" w:w="42%"/>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Failed measurements render “غير متاح” with data_quality flags; fabricated fallbacks removed</w:t>
            </w:r>
          </w:p>
        </w:tc>
        <w:tc>
          <w:tcPr>
            <w:tcW w:type="pct" w:w="27%"/>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analytics data_quality; Phase2 null-honest</w:t>
            </w:r>
          </w:p>
        </w:tc>
        <w:tc>
          <w:tcPr>
            <w:tcW w:type="pct" w:w="10%"/>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Implemented</w:t>
            </w:r>
          </w:p>
        </w:tc>
      </w:tr>
      <w:tr>
        <w:trPr>
          <w:cantSplit/>
        </w:trPr>
        <w:tc>
          <w:tcPr>
            <w:tcW w:type="pct" w:w="8%"/>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NFR-23</w:t>
            </w:r>
          </w:p>
        </w:tc>
        <w:tc>
          <w:tcPr>
            <w:tcW w:type="pct" w:w="13%"/>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Safety</w:t>
            </w:r>
          </w:p>
        </w:tc>
        <w:tc>
          <w:tcPr>
            <w:tcW w:type="pct" w:w="42%"/>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Clinical hard-stops in chat and checkout; vertical safety_guard switching</w:t>
            </w:r>
          </w:p>
        </w:tc>
        <w:tc>
          <w:tcPr>
            <w:tcW w:type="pct" w:w="27%"/>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interaction_guard; order gates; pharmacy.yaml safety_guard</w:t>
            </w:r>
          </w:p>
        </w:tc>
        <w:tc>
          <w:tcPr>
            <w:tcW w:type="pct" w:w="10%"/>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Implemented</w:t>
            </w:r>
          </w:p>
        </w:tc>
      </w:tr>
      <w:tr>
        <w:trPr>
          <w:cantSplit/>
        </w:trPr>
        <w:tc>
          <w:tcPr>
            <w:tcW w:type="pct" w:w="8%"/>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NFR-24</w:t>
            </w:r>
          </w:p>
        </w:tc>
        <w:tc>
          <w:tcPr>
            <w:tcW w:type="pct" w:w="13%"/>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Recoverability</w:t>
            </w:r>
          </w:p>
        </w:tc>
        <w:tc>
          <w:tcPr>
            <w:tcW w:type="pct" w:w="42%"/>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Startup re-flush of emergency outbox; automation retry worker</w:t>
            </w:r>
          </w:p>
        </w:tc>
        <w:tc>
          <w:tcPr>
            <w:tcW w:type="pct" w:w="27%"/>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main.py; automation_retry_worker.py</w:t>
            </w:r>
          </w:p>
        </w:tc>
        <w:tc>
          <w:tcPr>
            <w:tcW w:type="pct" w:w="10%"/>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Implemented</w:t>
            </w:r>
          </w:p>
        </w:tc>
      </w:tr>
    </w:tbl>
    <w:p>
      <w:pPr>
        <w:pStyle w:val="Heading1"/>
        <w:pageBreakBefore/>
        <w:bidi/>
        <w:spacing w:after="200" w:before="400" w:line="340"/>
        <w:jc w:val="right"/>
      </w:pPr>
      <w:bookmarkStart w:id="100012" w:name="_Toc100012"/>
      <w:r>
        <w:rPr>
          <w:rFonts w:ascii="Times New Roman" w:cs="Simplified Arabic" w:hAnsi="Times New Roman"/>
          <w:b/>
          <w:bCs/>
          <w:color w:val="1F3A5F"/>
          <w:sz w:val="32"/>
          <w:szCs w:val="36"/>
          <w:rtl/>
        </w:rPr>
        <w:t xml:space="preserve">15. قواعد الأعمال (Business Rules)</w:t>
      </w:r>
      <w:bookmarkEnd w:id="100012"/>
    </w:p>
    <w:p>
      <w:pPr>
        <w:bidi/>
        <w:spacing w:after="120" w:line="312"/>
        <w:ind w:firstLine="340"/>
        <w:jc w:val="both"/>
      </w:pPr>
      <w:r>
        <w:rPr>
          <w:rFonts w:ascii="Times New Roman" w:cs="Traditional Arabic" w:hAnsi="Times New Roman"/>
          <w:b w:val="false"/>
          <w:i w:val="false"/>
          <w:iCs w:val="false"/>
          <w:color w:val="000000"/>
          <w:sz w:val="26"/>
          <w:szCs w:val="30"/>
          <w:rtl/>
        </w:rPr>
        <w:t xml:space="preserve">القواعد التالية مستخرجة حرفياً من الكود (لا من افتراض)، وكلها مفروضة برمجياً بحيث يمنع الكود المخالفة لا الحسن النية:</w:t>
      </w:r>
    </w:p>
    <w:p>
      <w:pPr>
        <w:keepNext/>
        <w:bidi/>
        <w:spacing w:after="80" w:before="160"/>
        <w:jc w:val="right"/>
      </w:pPr>
      <w:r>
        <w:rPr>
          <w:rFonts w:ascii="Times New Roman" w:cs="Traditional Arabic" w:hAnsi="Times New Roman"/>
          <w:b/>
          <w:bCs/>
          <w:i w:val="false"/>
          <w:iCs w:val="false"/>
          <w:color w:val="000000"/>
          <w:sz w:val="22"/>
          <w:szCs w:val="22"/>
          <w:rtl/>
        </w:rPr>
        <w:t xml:space="preserve">جدول 3: </w:t>
      </w:r>
      <w:r>
        <w:rPr>
          <w:rFonts w:ascii="Times New Roman" w:cs="Traditional Arabic" w:hAnsi="Times New Roman"/>
          <w:b w:val="false"/>
          <w:i w:val="false"/>
          <w:iCs w:val="false"/>
          <w:color w:val="000000"/>
          <w:sz w:val="22"/>
          <w:szCs w:val="22"/>
          <w:rtl/>
        </w:rPr>
        <w:t xml:space="preserve">قواعد الأعمال المفروضة برمجياً (30 قاعدة)</w:t>
      </w:r>
    </w:p>
    <w:tbl>
      <w:tblPr>
        <w:bidiVisual/>
        <w:tblW w:type="pct" w:w="100%"/>
        <w:tblBorders>
          <w:top w:val="single" w:color="9AA6B2" w:sz="6"/>
          <w:left w:val="none" w:color="FFFFFF" w:sz="0"/>
          <w:bottom w:val="single" w:color="9AA6B2" w:sz="6"/>
          <w:right w:val="none" w:color="FFFFFF" w:sz="0"/>
          <w:insideH w:val="single" w:color="D5DCE4" w:sz="2"/>
          <w:insideV w:val="single" w:color="D5DCE4" w:sz="2"/>
        </w:tblBorders>
      </w:tblPr>
      <w:tblGrid>
        <w:gridCol w:w="100"/>
        <w:gridCol w:w="100"/>
        <w:gridCol w:w="100"/>
        <w:gridCol w:w="100"/>
      </w:tblGrid>
      <w:tr>
        <w:trPr>
          <w:cantSplit/>
          <w:tblHeader/>
        </w:trPr>
        <w:tc>
          <w:tcPr>
            <w:tcW w:type="pct" w:w="7%"/>
            <w:shd w:fill="E8EDF3" w:val="clear"/>
            <w:tcMar>
              <w:top w:type="dxa" w:w="70"/>
              <w:left w:type="dxa" w:w="100"/>
              <w:bottom w:type="dxa" w:w="70"/>
              <w:right w:type="dxa" w:w="100"/>
            </w:tcMar>
            <w:vAlign w:val="center"/>
          </w:tcPr>
          <w:p>
            <w:pPr>
              <w:bidi/>
              <w:jc w:val="center"/>
            </w:pPr>
            <w:r>
              <w:rPr>
                <w:rFonts w:ascii="Times New Roman" w:cs="Traditional Arabic" w:hAnsi="Times New Roman"/>
                <w:b/>
                <w:bCs/>
                <w:i w:val="false"/>
                <w:iCs w:val="false"/>
                <w:color w:val="111111"/>
                <w:sz w:val="21"/>
                <w:szCs w:val="21"/>
                <w:rtl/>
              </w:rPr>
              <w:t xml:space="preserve">ID</w:t>
            </w:r>
          </w:p>
        </w:tc>
        <w:tc>
          <w:tcPr>
            <w:tcW w:type="pct" w:w="12%"/>
            <w:shd w:fill="E8EDF3" w:val="clear"/>
            <w:tcMar>
              <w:top w:type="dxa" w:w="70"/>
              <w:left w:type="dxa" w:w="100"/>
              <w:bottom w:type="dxa" w:w="70"/>
              <w:right w:type="dxa" w:w="100"/>
            </w:tcMar>
            <w:vAlign w:val="center"/>
          </w:tcPr>
          <w:p>
            <w:pPr>
              <w:bidi/>
              <w:jc w:val="center"/>
            </w:pPr>
            <w:r>
              <w:rPr>
                <w:rFonts w:ascii="Times New Roman" w:cs="Traditional Arabic" w:hAnsi="Times New Roman"/>
                <w:b/>
                <w:bCs/>
                <w:i w:val="false"/>
                <w:iCs w:val="false"/>
                <w:color w:val="111111"/>
                <w:sz w:val="21"/>
                <w:szCs w:val="21"/>
                <w:rtl/>
              </w:rPr>
              <w:t xml:space="preserve">المجال</w:t>
            </w:r>
          </w:p>
        </w:tc>
        <w:tc>
          <w:tcPr>
            <w:tcW w:type="pct" w:w="51%"/>
            <w:shd w:fill="E8EDF3" w:val="clear"/>
            <w:tcMar>
              <w:top w:type="dxa" w:w="70"/>
              <w:left w:type="dxa" w:w="100"/>
              <w:bottom w:type="dxa" w:w="70"/>
              <w:right w:type="dxa" w:w="100"/>
            </w:tcMar>
            <w:vAlign w:val="center"/>
          </w:tcPr>
          <w:p>
            <w:pPr>
              <w:bidi/>
              <w:jc w:val="center"/>
            </w:pPr>
            <w:r>
              <w:rPr>
                <w:rFonts w:ascii="Times New Roman" w:cs="Traditional Arabic" w:hAnsi="Times New Roman"/>
                <w:b/>
                <w:bCs/>
                <w:i w:val="false"/>
                <w:iCs w:val="false"/>
                <w:color w:val="111111"/>
                <w:sz w:val="21"/>
                <w:szCs w:val="21"/>
                <w:rtl/>
              </w:rPr>
              <w:t xml:space="preserve">القاعدة</w:t>
            </w:r>
          </w:p>
        </w:tc>
        <w:tc>
          <w:tcPr>
            <w:tcW w:type="pct" w:w="30%"/>
            <w:shd w:fill="E8EDF3" w:val="clear"/>
            <w:tcMar>
              <w:top w:type="dxa" w:w="70"/>
              <w:left w:type="dxa" w:w="100"/>
              <w:bottom w:type="dxa" w:w="70"/>
              <w:right w:type="dxa" w:w="100"/>
            </w:tcMar>
            <w:vAlign w:val="center"/>
          </w:tcPr>
          <w:p>
            <w:pPr>
              <w:bidi/>
              <w:jc w:val="center"/>
            </w:pPr>
            <w:r>
              <w:rPr>
                <w:rFonts w:ascii="Times New Roman" w:cs="Traditional Arabic" w:hAnsi="Times New Roman"/>
                <w:b/>
                <w:bCs/>
                <w:i w:val="false"/>
                <w:iCs w:val="false"/>
                <w:color w:val="111111"/>
                <w:sz w:val="21"/>
                <w:szCs w:val="21"/>
                <w:rtl/>
              </w:rPr>
              <w:t xml:space="preserve">الدليل</w:t>
            </w:r>
          </w:p>
        </w:tc>
      </w:tr>
      <w:tr>
        <w:trPr>
          <w:cantSplit/>
        </w:trPr>
        <w:tc>
          <w:tcPr>
            <w:tcW w:type="pct" w:w="7%"/>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BR-01</w:t>
            </w:r>
          </w:p>
        </w:tc>
        <w:tc>
          <w:tcPr>
            <w:tcW w:type="pct" w:w="12%"/>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Pricing</w:t>
            </w:r>
          </w:p>
        </w:tc>
        <w:tc>
          <w:tcPr>
            <w:tcW w:type="pct" w:w="51%"/>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إذا كانت تكلفة الخصم ≥ صافي ربح الطلب ⇒ الخصم = 0% (ترك العميل الخاسر)</w:t>
            </w:r>
          </w:p>
        </w:tc>
        <w:tc>
          <w:tcPr>
            <w:tcW w:type="pct" w:w="30%"/>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pricing.py:169-175 (cost_egp &gt;= order_net_profit ⇒ 0)</w:t>
            </w:r>
          </w:p>
        </w:tc>
      </w:tr>
      <w:tr>
        <w:trPr>
          <w:cantSplit/>
        </w:trPr>
        <w:tc>
          <w:tcPr>
            <w:tcW w:type="pct" w:w="7%"/>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BR-02</w:t>
            </w:r>
          </w:p>
        </w:tc>
        <w:tc>
          <w:tcPr>
            <w:tcW w:type="pct" w:w="12%"/>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Pricing</w:t>
            </w:r>
          </w:p>
        </w:tc>
        <w:tc>
          <w:tcPr>
            <w:tcW w:type="pct" w:w="51%"/>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سقوف الخصم حسب الفئة: مزمن 10%، تجميل/OTC 20%، عام 12% — ولا يتجاوزها رد الـ LLM</w:t>
            </w:r>
          </w:p>
        </w:tc>
        <w:tc>
          <w:tcPr>
            <w:tcW w:type="pct" w:w="30%"/>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pricing.py margin caps + post-parse clamp</w:t>
            </w:r>
          </w:p>
        </w:tc>
      </w:tr>
      <w:tr>
        <w:trPr>
          <w:cantSplit/>
        </w:trPr>
        <w:tc>
          <w:tcPr>
            <w:tcW w:type="pct" w:w="7%"/>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BR-03</w:t>
            </w:r>
          </w:p>
        </w:tc>
        <w:tc>
          <w:tcPr>
            <w:tcW w:type="pct" w:w="12%"/>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Pricing</w:t>
            </w:r>
          </w:p>
        </w:tc>
        <w:tc>
          <w:tcPr>
            <w:tcW w:type="pct" w:w="51%"/>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العائد على الاستنتاج محسوب من المحرك الحتمي فقط؛ رقم ROI من النموذج مرفوض</w:t>
            </w:r>
          </w:p>
        </w:tc>
        <w:tc>
          <w:tcPr>
            <w:tcW w:type="pct" w:w="30%"/>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pricing.py:244-245</w:t>
            </w:r>
          </w:p>
        </w:tc>
      </w:tr>
      <w:tr>
        <w:trPr>
          <w:cantSplit/>
        </w:trPr>
        <w:tc>
          <w:tcPr>
            <w:tcW w:type="pct" w:w="7%"/>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BR-04</w:t>
            </w:r>
          </w:p>
        </w:tc>
        <w:tc>
          <w:tcPr>
            <w:tcW w:type="pct" w:w="12%"/>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CDSS</w:t>
            </w:r>
          </w:p>
        </w:tc>
        <w:tc>
          <w:tcPr>
            <w:tcW w:type="pct" w:w="51%"/>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تطابق المادة الفعالة مع اختلاف التركيز ⇒ بديل غير قابل للاستبدال الذاتي (زر معطل)</w:t>
            </w:r>
          </w:p>
        </w:tc>
        <w:tc>
          <w:tcPr>
            <w:tcW w:type="pct" w:w="30%"/>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drug/service.py same_strength; MedicineDetailsModal disabled button</w:t>
            </w:r>
          </w:p>
        </w:tc>
      </w:tr>
      <w:tr>
        <w:trPr>
          <w:cantSplit/>
        </w:trPr>
        <w:tc>
          <w:tcPr>
            <w:tcW w:type="pct" w:w="7%"/>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BR-05</w:t>
            </w:r>
          </w:p>
        </w:tc>
        <w:tc>
          <w:tcPr>
            <w:tcW w:type="pct" w:w="12%"/>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CDSS</w:t>
            </w:r>
          </w:p>
        </w:tc>
        <w:tc>
          <w:tcPr>
            <w:tcW w:type="pct" w:w="51%"/>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أملاح ذات دلالة حركية (succinate/tartrate) تمنع التعادل في البدائل لكن لا تمنع كشف التكرار (نفس الجوهر)</w:t>
            </w:r>
          </w:p>
        </w:tc>
        <w:tc>
          <w:tcPr>
            <w:tcW w:type="pct" w:w="30%"/>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drug/service.py CLINICALLY_DISTINCT_SALTS</w:t>
            </w:r>
          </w:p>
        </w:tc>
      </w:tr>
      <w:tr>
        <w:trPr>
          <w:cantSplit/>
        </w:trPr>
        <w:tc>
          <w:tcPr>
            <w:tcW w:type="pct" w:w="7%"/>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BR-06</w:t>
            </w:r>
          </w:p>
        </w:tc>
        <w:tc>
          <w:tcPr>
            <w:tcW w:type="pct" w:w="12%"/>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CDSS</w:t>
            </w:r>
          </w:p>
        </w:tc>
        <w:tc>
          <w:tcPr>
            <w:tcW w:type="pct" w:w="51%"/>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تعارض high ⇒ حجب الطلب أو hard-stop محادثي فوري بلا توليد</w:t>
            </w:r>
          </w:p>
        </w:tc>
        <w:tc>
          <w:tcPr>
            <w:tcW w:type="pct" w:w="30%"/>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ai/service.py:859-895; order flow gates</w:t>
            </w:r>
          </w:p>
        </w:tc>
      </w:tr>
      <w:tr>
        <w:trPr>
          <w:cantSplit/>
        </w:trPr>
        <w:tc>
          <w:tcPr>
            <w:tcW w:type="pct" w:w="7%"/>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BR-07</w:t>
            </w:r>
          </w:p>
        </w:tc>
        <w:tc>
          <w:tcPr>
            <w:tcW w:type="pct" w:w="12%"/>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CDSS</w:t>
            </w:r>
          </w:p>
        </w:tc>
        <w:tc>
          <w:tcPr>
            <w:tcW w:type="pct" w:w="51%"/>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نفس الدواء مرتين في السلة = كمية لا تكرار علاجي (لا تحذير زائف)</w:t>
            </w:r>
          </w:p>
        </w:tc>
        <w:tc>
          <w:tcPr>
            <w:tcW w:type="pct" w:w="30%"/>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drug/service.py seen_drug_ids</w:t>
            </w:r>
          </w:p>
        </w:tc>
      </w:tr>
      <w:tr>
        <w:trPr>
          <w:cantSplit/>
        </w:trPr>
        <w:tc>
          <w:tcPr>
            <w:tcW w:type="pct" w:w="7%"/>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BR-08</w:t>
            </w:r>
          </w:p>
        </w:tc>
        <w:tc>
          <w:tcPr>
            <w:tcW w:type="pct" w:w="12%"/>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Orders</w:t>
            </w:r>
          </w:p>
        </w:tc>
        <w:tc>
          <w:tcPr>
            <w:tcW w:type="pct" w:w="51%"/>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المحاسبة مزدوجة القيد: إجمالي المدين = إجمالي الدائن (is_balanced)</w:t>
            </w:r>
          </w:p>
        </w:tc>
        <w:tc>
          <w:tcPr>
            <w:tcW w:type="pct" w:w="30%"/>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accounting.py JournalEntry</w:t>
            </w:r>
          </w:p>
        </w:tc>
      </w:tr>
      <w:tr>
        <w:trPr>
          <w:cantSplit/>
        </w:trPr>
        <w:tc>
          <w:tcPr>
            <w:tcW w:type="pct" w:w="7%"/>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BR-09</w:t>
            </w:r>
          </w:p>
        </w:tc>
        <w:tc>
          <w:tcPr>
            <w:tcW w:type="pct" w:w="12%"/>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Forensics</w:t>
            </w:r>
          </w:p>
        </w:tc>
        <w:tc>
          <w:tcPr>
            <w:tcW w:type="pct" w:w="51%"/>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بنفورد يستلزم n≥30 لعينة كافية وn≥110 لصلاحية χ² (أصغر خلية 0.0458n ≥ 5)؛ وإلا فـ MAD هو الحَكم</w:t>
            </w:r>
          </w:p>
        </w:tc>
        <w:tc>
          <w:tcPr>
            <w:tcW w:type="pct" w:w="30%"/>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forensics.py:71,89-91</w:t>
            </w:r>
          </w:p>
        </w:tc>
      </w:tr>
      <w:tr>
        <w:trPr>
          <w:cantSplit/>
        </w:trPr>
        <w:tc>
          <w:tcPr>
            <w:tcW w:type="pct" w:w="7%"/>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BR-10</w:t>
            </w:r>
          </w:p>
        </w:tc>
        <w:tc>
          <w:tcPr>
            <w:tcW w:type="pct" w:w="12%"/>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Forensics</w:t>
            </w:r>
          </w:p>
        </w:tc>
        <w:tc>
          <w:tcPr>
            <w:tcW w:type="pct" w:w="51%"/>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نقاط الخطر المركبة: بنفورد HIGH=50، دائرية HIGH=30، تحته سقف HIGH=30؛ ≥60 حرج، ≥30 شبهة</w:t>
            </w:r>
          </w:p>
        </w:tc>
        <w:tc>
          <w:tcPr>
            <w:tcW w:type="pct" w:w="30%"/>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forensics.py risk_points</w:t>
            </w:r>
          </w:p>
        </w:tc>
      </w:tr>
      <w:tr>
        <w:trPr>
          <w:cantSplit/>
        </w:trPr>
        <w:tc>
          <w:tcPr>
            <w:tcW w:type="pct" w:w="7%"/>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BR-11</w:t>
            </w:r>
          </w:p>
        </w:tc>
        <w:tc>
          <w:tcPr>
            <w:tcW w:type="pct" w:w="12%"/>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Coupons</w:t>
            </w:r>
          </w:p>
        </w:tc>
        <w:tc>
          <w:tcPr>
            <w:tcW w:type="pct" w:w="51%"/>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الكوبون له دورة حياة: غير موجود/منتهي/مستخدم سابقاً تُرفض عند الاسترداد، وفشل التخزين يمنع عرضه للعميل</w:t>
            </w:r>
          </w:p>
        </w:tc>
        <w:tc>
          <w:tcPr>
            <w:tcW w:type="pct" w:w="30%"/>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agents/router.py validate-coupon; coupon_persisted gate</w:t>
            </w:r>
          </w:p>
        </w:tc>
      </w:tr>
      <w:tr>
        <w:trPr>
          <w:cantSplit/>
        </w:trPr>
        <w:tc>
          <w:tcPr>
            <w:tcW w:type="pct" w:w="7%"/>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BR-12</w:t>
            </w:r>
          </w:p>
        </w:tc>
        <w:tc>
          <w:tcPr>
            <w:tcW w:type="pct" w:w="12%"/>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Coupons</w:t>
            </w:r>
          </w:p>
        </w:tc>
        <w:tc>
          <w:tcPr>
            <w:tcW w:type="pct" w:w="51%"/>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نشر قرار What-If ككوبون ممنوع إلا لحكم approved وخصم &gt; 0 (loss/danger/hold مرفوضة)</w:t>
            </w:r>
          </w:p>
        </w:tc>
        <w:tc>
          <w:tcPr>
            <w:tcW w:type="pct" w:w="30%"/>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simulator.py:evaluate_deploy_gate</w:t>
            </w:r>
          </w:p>
        </w:tc>
      </w:tr>
      <w:tr>
        <w:trPr>
          <w:cantSplit/>
        </w:trPr>
        <w:tc>
          <w:tcPr>
            <w:tcW w:type="pct" w:w="7%"/>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BR-13</w:t>
            </w:r>
          </w:p>
        </w:tc>
        <w:tc>
          <w:tcPr>
            <w:tcW w:type="pct" w:w="12%"/>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Tenancy</w:t>
            </w:r>
          </w:p>
        </w:tc>
        <w:tc>
          <w:tcPr>
            <w:tcW w:type="pct" w:w="51%"/>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كل جدول أعمال يحمل tenant_id؛ RLS يعزل قراءة/كتابة المستأجرين</w:t>
            </w:r>
          </w:p>
        </w:tc>
        <w:tc>
          <w:tcPr>
            <w:tcW w:type="pct" w:w="30%"/>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enable_rls.sql (20 policies)</w:t>
            </w:r>
          </w:p>
        </w:tc>
      </w:tr>
      <w:tr>
        <w:trPr>
          <w:cantSplit/>
        </w:trPr>
        <w:tc>
          <w:tcPr>
            <w:tcW w:type="pct" w:w="7%"/>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BR-14</w:t>
            </w:r>
          </w:p>
        </w:tc>
        <w:tc>
          <w:tcPr>
            <w:tcW w:type="pct" w:w="12%"/>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Tenancy</w:t>
            </w:r>
          </w:p>
        </w:tc>
        <w:tc>
          <w:tcPr>
            <w:tcW w:type="pct" w:w="51%"/>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السحب الدوائي يستلزم مستأجراً محدداً — ممنوع سحب صامت عبر المستأجرين (super_admin بلا tenant يُرفض 400)</w:t>
            </w:r>
          </w:p>
        </w:tc>
        <w:tc>
          <w:tcPr>
            <w:tcW w:type="pct" w:w="30%"/>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drug/service.py recall guard</w:t>
            </w:r>
          </w:p>
        </w:tc>
      </w:tr>
      <w:tr>
        <w:trPr>
          <w:cantSplit/>
        </w:trPr>
        <w:tc>
          <w:tcPr>
            <w:tcW w:type="pct" w:w="7%"/>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BR-15</w:t>
            </w:r>
          </w:p>
        </w:tc>
        <w:tc>
          <w:tcPr>
            <w:tcW w:type="pct" w:w="12%"/>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RBAC</w:t>
            </w:r>
          </w:p>
        </w:tc>
        <w:tc>
          <w:tcPr>
            <w:tcW w:type="pct" w:w="51%"/>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نقاط الأدمن تستلزم role ∈ {admin, super_admin}؛ pharmacist له صلاحيات تشغيلية محددة</w:t>
            </w:r>
          </w:p>
        </w:tc>
        <w:tc>
          <w:tcPr>
            <w:tcW w:type="pct" w:w="30%"/>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dependencies/auth.py:require_role</w:t>
            </w:r>
          </w:p>
        </w:tc>
      </w:tr>
      <w:tr>
        <w:trPr>
          <w:cantSplit/>
        </w:trPr>
        <w:tc>
          <w:tcPr>
            <w:tcW w:type="pct" w:w="7%"/>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BR-16</w:t>
            </w:r>
          </w:p>
        </w:tc>
        <w:tc>
          <w:tcPr>
            <w:tcW w:type="pct" w:w="12%"/>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RBAC</w:t>
            </w:r>
          </w:p>
        </w:tc>
        <w:tc>
          <w:tcPr>
            <w:tcW w:type="pct" w:w="51%"/>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قناتان للنقاط الحساسة: JWT أدمن أو X-Internal-Token للخدمات (وليس للوحة BIS كاملة — نقطة محصورة فقط)</w:t>
            </w:r>
          </w:p>
        </w:tc>
        <w:tc>
          <w:tcPr>
            <w:tcW w:type="pct" w:w="30%"/>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require_admin_or_internal; /internal/weekly-digest</w:t>
            </w:r>
          </w:p>
        </w:tc>
      </w:tr>
      <w:tr>
        <w:trPr>
          <w:cantSplit/>
        </w:trPr>
        <w:tc>
          <w:tcPr>
            <w:tcW w:type="pct" w:w="7%"/>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BR-17</w:t>
            </w:r>
          </w:p>
        </w:tc>
        <w:tc>
          <w:tcPr>
            <w:tcW w:type="pct" w:w="12%"/>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Governance</w:t>
            </w:r>
          </w:p>
        </w:tc>
        <w:tc>
          <w:tcPr>
            <w:tcW w:type="pct" w:w="51%"/>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قرار CRITICAL من وكيل السوق يستلزم اعتمادين من مستخدمين مختلفين (Maker-Checker) ونفس المستخدم لا يجمع الدورين</w:t>
            </w:r>
          </w:p>
        </w:tc>
        <w:tc>
          <w:tcPr>
            <w:tcW w:type="pct" w:w="30%"/>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market_intelligence.py maker-checker; ConflictError 409</w:t>
            </w:r>
          </w:p>
        </w:tc>
      </w:tr>
      <w:tr>
        <w:trPr>
          <w:cantSplit/>
        </w:trPr>
        <w:tc>
          <w:tcPr>
            <w:tcW w:type="pct" w:w="7%"/>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BR-18</w:t>
            </w:r>
          </w:p>
        </w:tc>
        <w:tc>
          <w:tcPr>
            <w:tcW w:type="pct" w:w="12%"/>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Governance</w:t>
            </w:r>
          </w:p>
        </w:tc>
        <w:tc>
          <w:tcPr>
            <w:tcW w:type="pct" w:w="51%"/>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أي إشارة سوق تُنفذ مادياً مرة واحدة داخل المستأجر (Signal-level idempotency) — الاعتماد الثاني يوثق بلا تكرار</w:t>
            </w:r>
          </w:p>
        </w:tc>
        <w:tc>
          <w:tcPr>
            <w:tcW w:type="pct" w:w="30%"/>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market_intelligence.py duplicate_of guard</w:t>
            </w:r>
          </w:p>
        </w:tc>
      </w:tr>
      <w:tr>
        <w:trPr>
          <w:cantSplit/>
        </w:trPr>
        <w:tc>
          <w:tcPr>
            <w:tcW w:type="pct" w:w="7%"/>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BR-19</w:t>
            </w:r>
          </w:p>
        </w:tc>
        <w:tc>
          <w:tcPr>
            <w:tcW w:type="pct" w:w="12%"/>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Governance</w:t>
            </w:r>
          </w:p>
        </w:tc>
        <w:tc>
          <w:tcPr>
            <w:tcW w:type="pct" w:w="51%"/>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الطوارئ المحادثية debounced 60 ثانية لكل جلسة لمنع إغراق الصيدلي</w:t>
            </w:r>
          </w:p>
        </w:tc>
        <w:tc>
          <w:tcPr>
            <w:tcW w:type="pct" w:w="30%"/>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ai/service.py _EMERGENCY_DEBOUNCE_SECONDS</w:t>
            </w:r>
          </w:p>
        </w:tc>
      </w:tr>
      <w:tr>
        <w:trPr>
          <w:cantSplit/>
        </w:trPr>
        <w:tc>
          <w:tcPr>
            <w:tcW w:type="pct" w:w="7%"/>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BR-20</w:t>
            </w:r>
          </w:p>
        </w:tc>
        <w:tc>
          <w:tcPr>
            <w:tcW w:type="pct" w:w="12%"/>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Governance</w:t>
            </w:r>
          </w:p>
        </w:tc>
        <w:tc>
          <w:tcPr>
            <w:tcW w:type="pct" w:w="51%"/>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رفض الوكيل لقرار منفذ = 409 Conflict وليس 404</w:t>
            </w:r>
          </w:p>
        </w:tc>
        <w:tc>
          <w:tcPr>
            <w:tcW w:type="pct" w:w="30%"/>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router.py + ConflictError</w:t>
            </w:r>
          </w:p>
        </w:tc>
      </w:tr>
      <w:tr>
        <w:trPr>
          <w:cantSplit/>
        </w:trPr>
        <w:tc>
          <w:tcPr>
            <w:tcW w:type="pct" w:w="7%"/>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BR-21</w:t>
            </w:r>
          </w:p>
        </w:tc>
        <w:tc>
          <w:tcPr>
            <w:tcW w:type="pct" w:w="12%"/>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Automation</w:t>
            </w:r>
          </w:p>
        </w:tc>
        <w:tc>
          <w:tcPr>
            <w:tcW w:type="pct" w:w="51%"/>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لا نشر إشعار يعرض كنجاح قبل قبول n8n؛ الفشل يفتح retry backoff 5 دقائق</w:t>
            </w:r>
          </w:p>
        </w:tc>
        <w:tc>
          <w:tcPr>
            <w:tcW w:type="pct" w:w="30%"/>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router.py /automation/callback; automation_retry_worker</w:t>
            </w:r>
          </w:p>
        </w:tc>
      </w:tr>
      <w:tr>
        <w:trPr>
          <w:cantSplit/>
        </w:trPr>
        <w:tc>
          <w:tcPr>
            <w:tcW w:type="pct" w:w="7%"/>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BR-22</w:t>
            </w:r>
          </w:p>
        </w:tc>
        <w:tc>
          <w:tcPr>
            <w:tcW w:type="pct" w:w="12%"/>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Automation</w:t>
            </w:r>
          </w:p>
        </w:tc>
        <w:tc>
          <w:tcPr>
            <w:tcW w:type="pct" w:w="51%"/>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الملخص الأسبوعي يُبنى من نقطة داخلية حقولها فقط — ولا يرسل رسالة بأرقام ملفقة عند فشل الجمع</w:t>
            </w:r>
          </w:p>
        </w:tc>
        <w:tc>
          <w:tcPr>
            <w:tcW w:type="pct" w:w="30%"/>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business_value internal/weekly-digest (no || fallbacks)</w:t>
            </w:r>
          </w:p>
        </w:tc>
      </w:tr>
      <w:tr>
        <w:trPr>
          <w:cantSplit/>
        </w:trPr>
        <w:tc>
          <w:tcPr>
            <w:tcW w:type="pct" w:w="7%"/>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BR-23</w:t>
            </w:r>
          </w:p>
        </w:tc>
        <w:tc>
          <w:tcPr>
            <w:tcW w:type="pct" w:w="12%"/>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AI</w:t>
            </w:r>
          </w:p>
        </w:tc>
        <w:tc>
          <w:tcPr>
            <w:tcW w:type="pct" w:w="51%"/>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النموذج اللغوي ممنوع من اختراع أرقام: السعر من الكتالوج الحتمي، الحساب من Math Engine، والملخص من KPIs فعلية</w:t>
            </w:r>
          </w:p>
        </w:tc>
        <w:tc>
          <w:tcPr>
            <w:tcW w:type="pct" w:w="30%"/>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ai/service.py deterministic engines قبل LLM</w:t>
            </w:r>
          </w:p>
        </w:tc>
      </w:tr>
      <w:tr>
        <w:trPr>
          <w:cantSplit/>
        </w:trPr>
        <w:tc>
          <w:tcPr>
            <w:tcW w:type="pct" w:w="7%"/>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BR-24</w:t>
            </w:r>
          </w:p>
        </w:tc>
        <w:tc>
          <w:tcPr>
            <w:tcW w:type="pct" w:w="12%"/>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AI</w:t>
            </w:r>
          </w:p>
        </w:tc>
        <w:tc>
          <w:tcPr>
            <w:tcW w:type="pct" w:w="51%"/>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أي رد وكيل n8n ناقص الشكل أو حامل error=true يُرفض ويسقط للمحلي</w:t>
            </w:r>
          </w:p>
        </w:tc>
        <w:tc>
          <w:tcPr>
            <w:tcW w:type="pct" w:w="30%"/>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agents/hybrid.py acceptance gate</w:t>
            </w:r>
          </w:p>
        </w:tc>
      </w:tr>
      <w:tr>
        <w:trPr>
          <w:cantSplit/>
        </w:trPr>
        <w:tc>
          <w:tcPr>
            <w:tcW w:type="pct" w:w="7%"/>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BR-25</w:t>
            </w:r>
          </w:p>
        </w:tc>
        <w:tc>
          <w:tcPr>
            <w:tcW w:type="pct" w:w="12%"/>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AI</w:t>
            </w:r>
          </w:p>
        </w:tc>
        <w:tc>
          <w:tcPr>
            <w:tcW w:type="pct" w:w="51%"/>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موديلات سحابية عبر Ollama تحمل كلمة cloud بالاسم تُعامل سحابياً وتُنقّح؛ المحلي الصريح في LOCAL_OLLAMA_MODELS فقط</w:t>
            </w:r>
          </w:p>
        </w:tc>
        <w:tc>
          <w:tcPr>
            <w:tcW w:type="pct" w:w="30%"/>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llm_engine.py _is_local_ollama_model; config LOCAL_OLLAMA_MODELS</w:t>
            </w:r>
          </w:p>
        </w:tc>
      </w:tr>
      <w:tr>
        <w:trPr>
          <w:cantSplit/>
        </w:trPr>
        <w:tc>
          <w:tcPr>
            <w:tcW w:type="pct" w:w="7%"/>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BR-26</w:t>
            </w:r>
          </w:p>
        </w:tc>
        <w:tc>
          <w:tcPr>
            <w:tcW w:type="pct" w:w="12%"/>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AI</w:t>
            </w:r>
          </w:p>
        </w:tc>
        <w:tc>
          <w:tcPr>
            <w:tcW w:type="pct" w:w="51%"/>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سؤال طوارئ = hard stop فوري بلا RAG ولا GPU-queue + تنبيه خارجي debounced</w:t>
            </w:r>
          </w:p>
        </w:tc>
        <w:tc>
          <w:tcPr>
            <w:tcW w:type="pct" w:w="30%"/>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ai/service.py emergency block</w:t>
            </w:r>
          </w:p>
        </w:tc>
      </w:tr>
      <w:tr>
        <w:trPr>
          <w:cantSplit/>
        </w:trPr>
        <w:tc>
          <w:tcPr>
            <w:tcW w:type="pct" w:w="7%"/>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BR-27</w:t>
            </w:r>
          </w:p>
        </w:tc>
        <w:tc>
          <w:tcPr>
            <w:tcW w:type="pct" w:w="12%"/>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Vertical</w:t>
            </w:r>
          </w:p>
        </w:tc>
        <w:tc>
          <w:tcPr>
            <w:tcW w:type="pct" w:w="51%"/>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حزمة pharmacy تفعّل safety_guard سريرياً (DDI) — حزم أخرى بلا هذا الحاجز لا تدّعي السلامة الدوائية</w:t>
            </w:r>
          </w:p>
        </w:tc>
        <w:tc>
          <w:tcPr>
            <w:tcW w:type="pct" w:w="30%"/>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verticals/pharmacy.yaml safety_guard</w:t>
            </w:r>
          </w:p>
        </w:tc>
      </w:tr>
      <w:tr>
        <w:trPr>
          <w:cantSplit/>
        </w:trPr>
        <w:tc>
          <w:tcPr>
            <w:tcW w:type="pct" w:w="7%"/>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BR-28</w:t>
            </w:r>
          </w:p>
        </w:tc>
        <w:tc>
          <w:tcPr>
            <w:tcW w:type="pct" w:w="12%"/>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Vertical</w:t>
            </w:r>
          </w:p>
        </w:tc>
        <w:tc>
          <w:tcPr>
            <w:tcW w:type="pct" w:w="51%"/>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سقف التسعير العام يمكن للحزمة تشديده فقط (min مع الكود) لا تخفيفه</w:t>
            </w:r>
          </w:p>
        </w:tc>
        <w:tc>
          <w:tcPr>
            <w:tcW w:type="pct" w:w="30%"/>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pricing.py: min(max_margin_cap, pack cap)</w:t>
            </w:r>
          </w:p>
        </w:tc>
      </w:tr>
      <w:tr>
        <w:trPr>
          <w:cantSplit/>
        </w:trPr>
        <w:tc>
          <w:tcPr>
            <w:tcW w:type="pct" w:w="7%"/>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BR-29</w:t>
            </w:r>
          </w:p>
        </w:tc>
        <w:tc>
          <w:tcPr>
            <w:tcW w:type="pct" w:w="12%"/>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Data</w:t>
            </w:r>
          </w:p>
        </w:tc>
        <w:tc>
          <w:tcPr>
            <w:tcW w:type="pct" w:w="51%"/>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القياس الفاشل يُعرض «غير متاح» مع علم data_quality — لا قيم افتراضية ملفقة</w:t>
            </w:r>
          </w:p>
        </w:tc>
        <w:tc>
          <w:tcPr>
            <w:tcW w:type="pct" w:w="30%"/>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analytics data_quality; Phase2 null-honest</w:t>
            </w:r>
          </w:p>
        </w:tc>
      </w:tr>
      <w:tr>
        <w:trPr>
          <w:cantSplit/>
        </w:trPr>
        <w:tc>
          <w:tcPr>
            <w:tcW w:type="pct" w:w="7%"/>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BR-30</w:t>
            </w:r>
          </w:p>
        </w:tc>
        <w:tc>
          <w:tcPr>
            <w:tcW w:type="pct" w:w="12%"/>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Recall</w:t>
            </w:r>
          </w:p>
        </w:tc>
        <w:tc>
          <w:tcPr>
            <w:tcW w:type="pct" w:w="51%"/>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inventory_locked يُرجع bool فعلي (عدد الصفوف المقفولة) ولا يدّعي نجاحاً على قاعدة فارغة</w:t>
            </w:r>
          </w:p>
        </w:tc>
        <w:tc>
          <w:tcPr>
            <w:tcW w:type="pct" w:w="30%"/>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drug/service.py recall (bool(inv_items))</w:t>
            </w:r>
          </w:p>
        </w:tc>
      </w:tr>
    </w:tbl>
    <w:p>
      <w:pPr>
        <w:pStyle w:val="Heading1"/>
        <w:pageBreakBefore/>
        <w:bidi/>
        <w:spacing w:after="200" w:before="400" w:line="340"/>
        <w:jc w:val="right"/>
      </w:pPr>
      <w:bookmarkStart w:id="100013" w:name="_Toc100013"/>
      <w:r>
        <w:rPr>
          <w:rFonts w:ascii="Times New Roman" w:cs="Simplified Arabic" w:hAnsi="Times New Roman"/>
          <w:b/>
          <w:bCs/>
          <w:color w:val="1F3A5F"/>
          <w:sz w:val="32"/>
          <w:szCs w:val="36"/>
          <w:rtl/>
        </w:rPr>
        <w:t xml:space="preserve">16. تحليل عمليات الأعمال (Business Process Analysis)</w:t>
      </w:r>
      <w:bookmarkEnd w:id="100013"/>
    </w:p>
    <w:p>
      <w:pPr>
        <w:bidi/>
        <w:spacing w:after="120" w:line="312"/>
        <w:ind w:firstLine="340"/>
        <w:jc w:val="both"/>
      </w:pPr>
      <w:r>
        <w:rPr>
          <w:rFonts w:ascii="Times New Roman" w:cs="Traditional Arabic" w:hAnsi="Times New Roman"/>
          <w:b w:val="false"/>
          <w:i w:val="false"/>
          <w:iCs w:val="false"/>
          <w:color w:val="000000"/>
          <w:sz w:val="26"/>
          <w:szCs w:val="30"/>
          <w:rtl/>
        </w:rPr>
        <w:t xml:space="preserve">العمليات الاثنتا عشرة التالية هي العمليات الفعلية الموازية لمستويات الـ DFD، وكل منها مسند إلى نطاق كود ومسارات API ومخرجات قابلة للقياس:</w:t>
      </w:r>
    </w:p>
    <w:p>
      <w:pPr>
        <w:keepNext/>
        <w:bidi/>
        <w:spacing w:after="80" w:before="160"/>
        <w:jc w:val="right"/>
      </w:pPr>
      <w:r>
        <w:rPr>
          <w:rFonts w:ascii="Times New Roman" w:cs="Traditional Arabic" w:hAnsi="Times New Roman"/>
          <w:b/>
          <w:bCs/>
          <w:i w:val="false"/>
          <w:iCs w:val="false"/>
          <w:color w:val="000000"/>
          <w:sz w:val="22"/>
          <w:szCs w:val="22"/>
          <w:rtl/>
        </w:rPr>
        <w:t xml:space="preserve">جدول 4: </w:t>
      </w:r>
      <w:r>
        <w:rPr>
          <w:rFonts w:ascii="Times New Roman" w:cs="Traditional Arabic" w:hAnsi="Times New Roman"/>
          <w:b w:val="false"/>
          <w:i w:val="false"/>
          <w:iCs w:val="false"/>
          <w:color w:val="000000"/>
          <w:sz w:val="22"/>
          <w:szCs w:val="22"/>
          <w:rtl/>
        </w:rPr>
        <w:t xml:space="preserve">عمليات الأعمال الأساسية (12 عملية)</w:t>
      </w:r>
    </w:p>
    <w:tbl>
      <w:tblPr>
        <w:bidiVisual/>
        <w:tblW w:type="pct" w:w="100%"/>
        <w:tblBorders>
          <w:top w:val="single" w:color="9AA6B2" w:sz="6"/>
          <w:left w:val="none" w:color="FFFFFF" w:sz="0"/>
          <w:bottom w:val="single" w:color="9AA6B2" w:sz="6"/>
          <w:right w:val="none" w:color="FFFFFF" w:sz="0"/>
          <w:insideH w:val="single" w:color="D5DCE4" w:sz="2"/>
          <w:insideV w:val="single" w:color="D5DCE4" w:sz="2"/>
        </w:tblBorders>
      </w:tblPr>
      <w:tblGrid>
        <w:gridCol w:w="100"/>
        <w:gridCol w:w="100"/>
        <w:gridCol w:w="100"/>
        <w:gridCol w:w="100"/>
        <w:gridCol w:w="100"/>
        <w:gridCol w:w="100"/>
        <w:gridCol w:w="100"/>
        <w:gridCol w:w="100"/>
      </w:tblGrid>
      <w:tr>
        <w:trPr>
          <w:cantSplit/>
          <w:tblHeader/>
        </w:trPr>
        <w:tc>
          <w:tcPr>
            <w:tcW w:type="pct" w:w="6%"/>
            <w:shd w:fill="E8EDF3" w:val="clear"/>
            <w:tcMar>
              <w:top w:type="dxa" w:w="70"/>
              <w:left w:type="dxa" w:w="100"/>
              <w:bottom w:type="dxa" w:w="70"/>
              <w:right w:type="dxa" w:w="100"/>
            </w:tcMar>
            <w:vAlign w:val="center"/>
          </w:tcPr>
          <w:p>
            <w:pPr>
              <w:bidi/>
              <w:jc w:val="center"/>
            </w:pPr>
            <w:r>
              <w:rPr>
                <w:rFonts w:ascii="Times New Roman" w:cs="Traditional Arabic" w:hAnsi="Times New Roman"/>
                <w:b/>
                <w:bCs/>
                <w:i w:val="false"/>
                <w:iCs w:val="false"/>
                <w:color w:val="111111"/>
                <w:sz w:val="21"/>
                <w:szCs w:val="21"/>
                <w:rtl/>
              </w:rPr>
              <w:t xml:space="preserve">#</w:t>
            </w:r>
          </w:p>
        </w:tc>
        <w:tc>
          <w:tcPr>
            <w:tcW w:type="pct" w:w="15%"/>
            <w:shd w:fill="E8EDF3" w:val="clear"/>
            <w:tcMar>
              <w:top w:type="dxa" w:w="70"/>
              <w:left w:type="dxa" w:w="100"/>
              <w:bottom w:type="dxa" w:w="70"/>
              <w:right w:type="dxa" w:w="100"/>
            </w:tcMar>
            <w:vAlign w:val="center"/>
          </w:tcPr>
          <w:p>
            <w:pPr>
              <w:bidi/>
              <w:jc w:val="center"/>
            </w:pPr>
            <w:r>
              <w:rPr>
                <w:rFonts w:ascii="Times New Roman" w:cs="Traditional Arabic" w:hAnsi="Times New Roman"/>
                <w:b/>
                <w:bCs/>
                <w:i w:val="false"/>
                <w:iCs w:val="false"/>
                <w:color w:val="111111"/>
                <w:sz w:val="21"/>
                <w:szCs w:val="21"/>
                <w:rtl/>
              </w:rPr>
              <w:t xml:space="preserve">العملية</w:t>
            </w:r>
          </w:p>
        </w:tc>
        <w:tc>
          <w:tcPr>
            <w:tcW w:type="pct" w:w="10%"/>
            <w:shd w:fill="E8EDF3" w:val="clear"/>
            <w:tcMar>
              <w:top w:type="dxa" w:w="70"/>
              <w:left w:type="dxa" w:w="100"/>
              <w:bottom w:type="dxa" w:w="70"/>
              <w:right w:type="dxa" w:w="100"/>
            </w:tcMar>
            <w:vAlign w:val="center"/>
          </w:tcPr>
          <w:p>
            <w:pPr>
              <w:bidi/>
              <w:jc w:val="center"/>
            </w:pPr>
            <w:r>
              <w:rPr>
                <w:rFonts w:ascii="Times New Roman" w:cs="Traditional Arabic" w:hAnsi="Times New Roman"/>
                <w:b/>
                <w:bCs/>
                <w:i w:val="false"/>
                <w:iCs w:val="false"/>
                <w:color w:val="111111"/>
                <w:sz w:val="21"/>
                <w:szCs w:val="21"/>
                <w:rtl/>
              </w:rPr>
              <w:t xml:space="preserve">المحفّز</w:t>
            </w:r>
          </w:p>
        </w:tc>
        <w:tc>
          <w:tcPr>
            <w:tcW w:type="pct" w:w="12%"/>
            <w:shd w:fill="E8EDF3" w:val="clear"/>
            <w:tcMar>
              <w:top w:type="dxa" w:w="70"/>
              <w:left w:type="dxa" w:w="100"/>
              <w:bottom w:type="dxa" w:w="70"/>
              <w:right w:type="dxa" w:w="100"/>
            </w:tcMar>
            <w:vAlign w:val="center"/>
          </w:tcPr>
          <w:p>
            <w:pPr>
              <w:bidi/>
              <w:jc w:val="center"/>
            </w:pPr>
            <w:r>
              <w:rPr>
                <w:rFonts w:ascii="Times New Roman" w:cs="Traditional Arabic" w:hAnsi="Times New Roman"/>
                <w:b/>
                <w:bCs/>
                <w:i w:val="false"/>
                <w:iCs w:val="false"/>
                <w:color w:val="111111"/>
                <w:sz w:val="21"/>
                <w:szCs w:val="21"/>
                <w:rtl/>
              </w:rPr>
              <w:t xml:space="preserve">المدخلات</w:t>
            </w:r>
          </w:p>
        </w:tc>
        <w:tc>
          <w:tcPr>
            <w:tcW w:type="pct" w:w="24%"/>
            <w:shd w:fill="E8EDF3" w:val="clear"/>
            <w:tcMar>
              <w:top w:type="dxa" w:w="70"/>
              <w:left w:type="dxa" w:w="100"/>
              <w:bottom w:type="dxa" w:w="70"/>
              <w:right w:type="dxa" w:w="100"/>
            </w:tcMar>
            <w:vAlign w:val="center"/>
          </w:tcPr>
          <w:p>
            <w:pPr>
              <w:bidi/>
              <w:jc w:val="center"/>
            </w:pPr>
            <w:r>
              <w:rPr>
                <w:rFonts w:ascii="Times New Roman" w:cs="Traditional Arabic" w:hAnsi="Times New Roman"/>
                <w:b/>
                <w:bCs/>
                <w:i w:val="false"/>
                <w:iCs w:val="false"/>
                <w:color w:val="111111"/>
                <w:sz w:val="21"/>
                <w:szCs w:val="21"/>
                <w:rtl/>
              </w:rPr>
              <w:t xml:space="preserve">الأنشطة الأساسية</w:t>
            </w:r>
          </w:p>
        </w:tc>
        <w:tc>
          <w:tcPr>
            <w:tcW w:type="pct" w:w="13%"/>
            <w:shd w:fill="E8EDF3" w:val="clear"/>
            <w:tcMar>
              <w:top w:type="dxa" w:w="70"/>
              <w:left w:type="dxa" w:w="100"/>
              <w:bottom w:type="dxa" w:w="70"/>
              <w:right w:type="dxa" w:w="100"/>
            </w:tcMar>
            <w:vAlign w:val="center"/>
          </w:tcPr>
          <w:p>
            <w:pPr>
              <w:bidi/>
              <w:jc w:val="center"/>
            </w:pPr>
            <w:r>
              <w:rPr>
                <w:rFonts w:ascii="Times New Roman" w:cs="Traditional Arabic" w:hAnsi="Times New Roman"/>
                <w:b/>
                <w:bCs/>
                <w:i w:val="false"/>
                <w:iCs w:val="false"/>
                <w:color w:val="111111"/>
                <w:sz w:val="21"/>
                <w:szCs w:val="21"/>
                <w:rtl/>
              </w:rPr>
              <w:t xml:space="preserve">المخرجات</w:t>
            </w:r>
          </w:p>
        </w:tc>
        <w:tc>
          <w:tcPr>
            <w:tcW w:type="pct" w:w="10%"/>
            <w:shd w:fill="E8EDF3" w:val="clear"/>
            <w:tcMar>
              <w:top w:type="dxa" w:w="70"/>
              <w:left w:type="dxa" w:w="100"/>
              <w:bottom w:type="dxa" w:w="70"/>
              <w:right w:type="dxa" w:w="100"/>
            </w:tcMar>
            <w:vAlign w:val="center"/>
          </w:tcPr>
          <w:p>
            <w:pPr>
              <w:bidi/>
              <w:jc w:val="center"/>
            </w:pPr>
            <w:r>
              <w:rPr>
                <w:rFonts w:ascii="Times New Roman" w:cs="Traditional Arabic" w:hAnsi="Times New Roman"/>
                <w:b/>
                <w:bCs/>
                <w:i w:val="false"/>
                <w:iCs w:val="false"/>
                <w:color w:val="111111"/>
                <w:sz w:val="21"/>
                <w:szCs w:val="21"/>
                <w:rtl/>
              </w:rPr>
              <w:t xml:space="preserve">الوكيل/المحرك</w:t>
            </w:r>
          </w:p>
        </w:tc>
        <w:tc>
          <w:tcPr>
            <w:tcW w:type="pct" w:w="10%"/>
            <w:shd w:fill="E8EDF3" w:val="clear"/>
            <w:tcMar>
              <w:top w:type="dxa" w:w="70"/>
              <w:left w:type="dxa" w:w="100"/>
              <w:bottom w:type="dxa" w:w="70"/>
              <w:right w:type="dxa" w:w="100"/>
            </w:tcMar>
            <w:vAlign w:val="center"/>
          </w:tcPr>
          <w:p>
            <w:pPr>
              <w:bidi/>
              <w:jc w:val="center"/>
            </w:pPr>
            <w:r>
              <w:rPr>
                <w:rFonts w:ascii="Times New Roman" w:cs="Traditional Arabic" w:hAnsi="Times New Roman"/>
                <w:b/>
                <w:bCs/>
                <w:i w:val="false"/>
                <w:iCs w:val="false"/>
                <w:color w:val="111111"/>
                <w:sz w:val="21"/>
                <w:szCs w:val="21"/>
                <w:rtl/>
              </w:rPr>
              <w:t xml:space="preserve">الدليل</w:t>
            </w:r>
          </w:p>
        </w:tc>
      </w:tr>
      <w:tr>
        <w:trPr>
          <w:cantSplit/>
        </w:trPr>
        <w:tc>
          <w:tcPr>
            <w:tcW w:type="pct" w:w="6%"/>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BP-01</w:t>
            </w:r>
          </w:p>
        </w:tc>
        <w:tc>
          <w:tcPr>
            <w:tcW w:type="pct" w:w="15%"/>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7"/>
                <w:szCs w:val="17"/>
                <w:rtl/>
              </w:rPr>
              <w:t xml:space="preserve">إدارة الكتالوج والمخزون</w:t>
            </w:r>
          </w:p>
        </w:tc>
        <w:tc>
          <w:tcPr>
            <w:tcW w:type="pct" w:w="10%"/>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7"/>
                <w:szCs w:val="17"/>
                <w:rtl/>
              </w:rPr>
              <w:t xml:space="preserve">أدمن / مزود</w:t>
            </w:r>
          </w:p>
        </w:tc>
        <w:tc>
          <w:tcPr>
            <w:tcW w:type="pct" w:w="12%"/>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7"/>
                <w:szCs w:val="17"/>
                <w:rtl/>
              </w:rPr>
              <w:t xml:space="preserve">أصناف، أسعار، P2P</w:t>
            </w:r>
          </w:p>
        </w:tc>
        <w:tc>
          <w:tcPr>
            <w:tcW w:type="pct" w:w="24%"/>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7"/>
                <w:szCs w:val="17"/>
                <w:rtl/>
              </w:rPr>
              <w:t xml:space="preserve">إضافة/تحديث، حدود إعادة الطلب، سرعة صرف 90 يوم</w:t>
            </w:r>
          </w:p>
        </w:tc>
        <w:tc>
          <w:tcPr>
            <w:tcW w:type="pct" w:w="13%"/>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7"/>
                <w:szCs w:val="17"/>
                <w:rtl/>
              </w:rPr>
              <w:t xml:space="preserve">كتالوج حي + تنبيهات مخزون</w:t>
            </w:r>
          </w:p>
        </w:tc>
        <w:tc>
          <w:tcPr>
            <w:tcW w:type="pct" w:w="10%"/>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Inventory Agent</w:t>
            </w:r>
          </w:p>
        </w:tc>
        <w:tc>
          <w:tcPr>
            <w:tcW w:type="pct" w:w="10%"/>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drug/, inventory/</w:t>
            </w:r>
          </w:p>
        </w:tc>
      </w:tr>
      <w:tr>
        <w:trPr>
          <w:cantSplit/>
        </w:trPr>
        <w:tc>
          <w:tcPr>
            <w:tcW w:type="pct" w:w="6%"/>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BP-02</w:t>
            </w:r>
          </w:p>
        </w:tc>
        <w:tc>
          <w:tcPr>
            <w:tcW w:type="pct" w:w="15%"/>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7"/>
                <w:szCs w:val="17"/>
                <w:rtl/>
              </w:rPr>
              <w:t xml:space="preserve">الطلب مع بوابة السلامة</w:t>
            </w:r>
          </w:p>
        </w:tc>
        <w:tc>
          <w:tcPr>
            <w:tcW w:type="pct" w:w="10%"/>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7"/>
                <w:szCs w:val="17"/>
                <w:rtl/>
              </w:rPr>
              <w:t xml:space="preserve">عميل</w:t>
            </w:r>
          </w:p>
        </w:tc>
        <w:tc>
          <w:tcPr>
            <w:tcW w:type="pct" w:w="12%"/>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7"/>
                <w:szCs w:val="17"/>
                <w:rtl/>
              </w:rPr>
              <w:t xml:space="preserve">سلة، كوبون</w:t>
            </w:r>
          </w:p>
        </w:tc>
        <w:tc>
          <w:tcPr>
            <w:tcW w:type="pct" w:w="24%"/>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7"/>
                <w:szCs w:val="17"/>
                <w:rtl/>
              </w:rPr>
              <w:t xml:space="preserve">CDSS، تحقق كوبون، تسجيل، قيد محاسبي</w:t>
            </w:r>
          </w:p>
        </w:tc>
        <w:tc>
          <w:tcPr>
            <w:tcW w:type="pct" w:w="13%"/>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7"/>
                <w:szCs w:val="17"/>
                <w:rtl/>
              </w:rPr>
              <w:t xml:space="preserve">طلب + فاتورة QR</w:t>
            </w:r>
          </w:p>
        </w:tc>
        <w:tc>
          <w:tcPr>
            <w:tcW w:type="pct" w:w="10%"/>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CDSS + Math</w:t>
            </w:r>
          </w:p>
        </w:tc>
        <w:tc>
          <w:tcPr>
            <w:tcW w:type="pct" w:w="10%"/>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order/, drug/</w:t>
            </w:r>
          </w:p>
        </w:tc>
      </w:tr>
      <w:tr>
        <w:trPr>
          <w:cantSplit/>
        </w:trPr>
        <w:tc>
          <w:tcPr>
            <w:tcW w:type="pct" w:w="6%"/>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BP-03</w:t>
            </w:r>
          </w:p>
        </w:tc>
        <w:tc>
          <w:tcPr>
            <w:tcW w:type="pct" w:w="15%"/>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7"/>
                <w:szCs w:val="17"/>
                <w:rtl/>
              </w:rPr>
              <w:t xml:space="preserve">خط الروشتات</w:t>
            </w:r>
          </w:p>
        </w:tc>
        <w:tc>
          <w:tcPr>
            <w:tcW w:type="pct" w:w="10%"/>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7"/>
                <w:szCs w:val="17"/>
                <w:rtl/>
              </w:rPr>
              <w:t xml:space="preserve">عميل</w:t>
            </w:r>
          </w:p>
        </w:tc>
        <w:tc>
          <w:tcPr>
            <w:tcW w:type="pct" w:w="12%"/>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7"/>
                <w:szCs w:val="17"/>
                <w:rtl/>
              </w:rPr>
              <w:t xml:space="preserve">صورة روشتة</w:t>
            </w:r>
          </w:p>
        </w:tc>
        <w:tc>
          <w:tcPr>
            <w:tcW w:type="pct" w:w="24%"/>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7"/>
                <w:szCs w:val="17"/>
                <w:rtl/>
              </w:rPr>
              <w:t xml:space="preserve">رؤية → مطابقة ≥65% → مراجعة بشرية → سلة</w:t>
            </w:r>
          </w:p>
        </w:tc>
        <w:tc>
          <w:tcPr>
            <w:tcW w:type="pct" w:w="13%"/>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7"/>
                <w:szCs w:val="17"/>
                <w:rtl/>
              </w:rPr>
              <w:t xml:space="preserve">أصناف مصروفة/مراجعة</w:t>
            </w:r>
          </w:p>
        </w:tc>
        <w:tc>
          <w:tcPr>
            <w:tcW w:type="pct" w:w="10%"/>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Vision OCR</w:t>
            </w:r>
          </w:p>
        </w:tc>
        <w:tc>
          <w:tcPr>
            <w:tcW w:type="pct" w:w="10%"/>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prescriptions/</w:t>
            </w:r>
          </w:p>
        </w:tc>
      </w:tr>
      <w:tr>
        <w:trPr>
          <w:cantSplit/>
        </w:trPr>
        <w:tc>
          <w:tcPr>
            <w:tcW w:type="pct" w:w="6%"/>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BP-04</w:t>
            </w:r>
          </w:p>
        </w:tc>
        <w:tc>
          <w:tcPr>
            <w:tcW w:type="pct" w:w="15%"/>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7"/>
                <w:szCs w:val="17"/>
                <w:rtl/>
              </w:rPr>
              <w:t xml:space="preserve">المحادثة والدعم</w:t>
            </w:r>
          </w:p>
        </w:tc>
        <w:tc>
          <w:tcPr>
            <w:tcW w:type="pct" w:w="10%"/>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7"/>
                <w:szCs w:val="17"/>
                <w:rtl/>
              </w:rPr>
              <w:t xml:space="preserve">عميل</w:t>
            </w:r>
          </w:p>
        </w:tc>
        <w:tc>
          <w:tcPr>
            <w:tcW w:type="pct" w:w="12%"/>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7"/>
                <w:szCs w:val="17"/>
                <w:rtl/>
              </w:rPr>
              <w:t xml:space="preserve">سؤال/شكوى</w:t>
            </w:r>
          </w:p>
        </w:tc>
        <w:tc>
          <w:tcPr>
            <w:tcW w:type="pct" w:w="24%"/>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7"/>
                <w:szCs w:val="17"/>
                <w:rtl/>
              </w:rPr>
              <w:t xml:space="preserve">RAG → حتمي → LLM؛ تصنيف شكوى وتصعيد</w:t>
            </w:r>
          </w:p>
        </w:tc>
        <w:tc>
          <w:tcPr>
            <w:tcW w:type="pct" w:w="13%"/>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7"/>
                <w:szCs w:val="17"/>
                <w:rtl/>
              </w:rPr>
              <w:t xml:space="preserve">رد موثق + حالة شكوى</w:t>
            </w:r>
          </w:p>
        </w:tc>
        <w:tc>
          <w:tcPr>
            <w:tcW w:type="pct" w:w="10%"/>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RAG + Support</w:t>
            </w:r>
          </w:p>
        </w:tc>
        <w:tc>
          <w:tcPr>
            <w:tcW w:type="pct" w:w="10%"/>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ai/, agents/support</w:t>
            </w:r>
          </w:p>
        </w:tc>
      </w:tr>
      <w:tr>
        <w:trPr>
          <w:cantSplit/>
        </w:trPr>
        <w:tc>
          <w:tcPr>
            <w:tcW w:type="pct" w:w="6%"/>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BP-05</w:t>
            </w:r>
          </w:p>
        </w:tc>
        <w:tc>
          <w:tcPr>
            <w:tcW w:type="pct" w:w="15%"/>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7"/>
                <w:szCs w:val="17"/>
                <w:rtl/>
              </w:rPr>
              <w:t xml:space="preserve">التذكير الدوري</w:t>
            </w:r>
          </w:p>
        </w:tc>
        <w:tc>
          <w:tcPr>
            <w:tcW w:type="pct" w:w="10%"/>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7"/>
                <w:szCs w:val="17"/>
                <w:rtl/>
              </w:rPr>
              <w:t xml:space="preserve">جدولة n8n 9AM</w:t>
            </w:r>
          </w:p>
        </w:tc>
        <w:tc>
          <w:tcPr>
            <w:tcW w:type="pct" w:w="12%"/>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7"/>
                <w:szCs w:val="17"/>
                <w:rtl/>
              </w:rPr>
              <w:t xml:space="preserve">دورات، churn</w:t>
            </w:r>
          </w:p>
        </w:tc>
        <w:tc>
          <w:tcPr>
            <w:tcW w:type="pct" w:w="24%"/>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7"/>
                <w:szCs w:val="17"/>
                <w:rtl/>
              </w:rPr>
              <w:t xml:space="preserve">حساب المستحقين → كوبون مشروط → إرسال</w:t>
            </w:r>
          </w:p>
        </w:tc>
        <w:tc>
          <w:tcPr>
            <w:tcW w:type="pct" w:w="13%"/>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7"/>
                <w:szCs w:val="17"/>
                <w:rtl/>
              </w:rPr>
              <w:t xml:space="preserve">تذكيرات مسلمة مقاسة</w:t>
            </w:r>
          </w:p>
        </w:tc>
        <w:tc>
          <w:tcPr>
            <w:tcW w:type="pct" w:w="10%"/>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n8n Combined Reminder</w:t>
            </w:r>
          </w:p>
        </w:tc>
        <w:tc>
          <w:tcPr>
            <w:tcW w:type="pct" w:w="10%"/>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n8n final/Combined</w:t>
            </w:r>
          </w:p>
        </w:tc>
      </w:tr>
      <w:tr>
        <w:trPr>
          <w:cantSplit/>
        </w:trPr>
        <w:tc>
          <w:tcPr>
            <w:tcW w:type="pct" w:w="6%"/>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BP-06</w:t>
            </w:r>
          </w:p>
        </w:tc>
        <w:tc>
          <w:tcPr>
            <w:tcW w:type="pct" w:w="15%"/>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7"/>
                <w:szCs w:val="17"/>
                <w:rtl/>
              </w:rPr>
              <w:t xml:space="preserve">قرار التسعير</w:t>
            </w:r>
          </w:p>
        </w:tc>
        <w:tc>
          <w:tcPr>
            <w:tcW w:type="pct" w:w="10%"/>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7"/>
                <w:szCs w:val="17"/>
                <w:rtl/>
              </w:rPr>
              <w:t xml:space="preserve">أدمن</w:t>
            </w:r>
          </w:p>
        </w:tc>
        <w:tc>
          <w:tcPr>
            <w:tcW w:type="pct" w:w="12%"/>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7"/>
                <w:szCs w:val="17"/>
                <w:rtl/>
              </w:rPr>
              <w:t xml:space="preserve">عميل، churn، فئة</w:t>
            </w:r>
          </w:p>
        </w:tc>
        <w:tc>
          <w:tcPr>
            <w:tcW w:type="pct" w:w="24%"/>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7"/>
                <w:szCs w:val="17"/>
                <w:rtl/>
              </w:rPr>
              <w:t xml:space="preserve">هوامش صافية، بوابة جدوى، ROI</w:t>
            </w:r>
          </w:p>
        </w:tc>
        <w:tc>
          <w:tcPr>
            <w:tcW w:type="pct" w:w="13%"/>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7"/>
                <w:szCs w:val="17"/>
                <w:rtl/>
              </w:rPr>
              <w:t xml:space="preserve">نسبة خصم آمنة</w:t>
            </w:r>
          </w:p>
        </w:tc>
        <w:tc>
          <w:tcPr>
            <w:tcW w:type="pct" w:w="10%"/>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Pricing Agent</w:t>
            </w:r>
          </w:p>
        </w:tc>
        <w:tc>
          <w:tcPr>
            <w:tcW w:type="pct" w:w="10%"/>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agents/pricing.py</w:t>
            </w:r>
          </w:p>
        </w:tc>
      </w:tr>
      <w:tr>
        <w:trPr>
          <w:cantSplit/>
        </w:trPr>
        <w:tc>
          <w:tcPr>
            <w:tcW w:type="pct" w:w="6%"/>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BP-07</w:t>
            </w:r>
          </w:p>
        </w:tc>
        <w:tc>
          <w:tcPr>
            <w:tcW w:type="pct" w:w="15%"/>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7"/>
                <w:szCs w:val="17"/>
                <w:rtl/>
              </w:rPr>
              <w:t xml:space="preserve">استخبارات السوق</w:t>
            </w:r>
          </w:p>
        </w:tc>
        <w:tc>
          <w:tcPr>
            <w:tcW w:type="pct" w:w="10%"/>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7"/>
                <w:szCs w:val="17"/>
                <w:rtl/>
              </w:rPr>
              <w:t xml:space="preserve">أدمن (زر فحص)</w:t>
            </w:r>
          </w:p>
        </w:tc>
        <w:tc>
          <w:tcPr>
            <w:tcW w:type="pct" w:w="12%"/>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7"/>
                <w:szCs w:val="17"/>
                <w:rtl/>
              </w:rPr>
              <w:t xml:space="preserve">منشورات/نواقص</w:t>
            </w:r>
          </w:p>
        </w:tc>
        <w:tc>
          <w:tcPr>
            <w:tcW w:type="pct" w:w="24%"/>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7"/>
                <w:szCs w:val="17"/>
                <w:rtl/>
              </w:rPr>
              <w:t xml:space="preserve">توليد قرارات تنفيذية → اعتماد ثنائي → تنفيذ</w:t>
            </w:r>
          </w:p>
        </w:tc>
        <w:tc>
          <w:tcPr>
            <w:tcW w:type="pct" w:w="13%"/>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7"/>
                <w:szCs w:val="17"/>
                <w:rtl/>
              </w:rPr>
              <w:t xml:space="preserve">أفعال موقعة WORM</w:t>
            </w:r>
          </w:p>
        </w:tc>
        <w:tc>
          <w:tcPr>
            <w:tcW w:type="pct" w:w="10%"/>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MI Agent + Gemini</w:t>
            </w:r>
          </w:p>
        </w:tc>
        <w:tc>
          <w:tcPr>
            <w:tcW w:type="pct" w:w="10%"/>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agents/market_intelligence.py</w:t>
            </w:r>
          </w:p>
        </w:tc>
      </w:tr>
      <w:tr>
        <w:trPr>
          <w:cantSplit/>
        </w:trPr>
        <w:tc>
          <w:tcPr>
            <w:tcW w:type="pct" w:w="6%"/>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BP-08</w:t>
            </w:r>
          </w:p>
        </w:tc>
        <w:tc>
          <w:tcPr>
            <w:tcW w:type="pct" w:w="15%"/>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7"/>
                <w:szCs w:val="17"/>
                <w:rtl/>
              </w:rPr>
              <w:t xml:space="preserve">المشتريات P2P</w:t>
            </w:r>
          </w:p>
        </w:tc>
        <w:tc>
          <w:tcPr>
            <w:tcW w:type="pct" w:w="10%"/>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7"/>
                <w:szCs w:val="17"/>
                <w:rtl/>
              </w:rPr>
              <w:t xml:space="preserve">مخزون/وكيل</w:t>
            </w:r>
          </w:p>
        </w:tc>
        <w:tc>
          <w:tcPr>
            <w:tcW w:type="pct" w:w="12%"/>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7"/>
                <w:szCs w:val="17"/>
                <w:rtl/>
              </w:rPr>
              <w:t xml:space="preserve">حاجة شراء</w:t>
            </w:r>
          </w:p>
        </w:tc>
        <w:tc>
          <w:tcPr>
            <w:tcW w:type="pct" w:w="24%"/>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7"/>
                <w:szCs w:val="17"/>
                <w:rtl/>
              </w:rPr>
              <w:t xml:space="preserve">PO DRAFT → اعتماد → توريد → قيد</w:t>
            </w:r>
          </w:p>
        </w:tc>
        <w:tc>
          <w:tcPr>
            <w:tcW w:type="pct" w:w="13%"/>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7"/>
                <w:szCs w:val="17"/>
                <w:rtl/>
              </w:rPr>
              <w:t xml:space="preserve">أمر شراء + قيد</w:t>
            </w:r>
          </w:p>
        </w:tc>
        <w:tc>
          <w:tcPr>
            <w:tcW w:type="pct" w:w="10%"/>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Procurement</w:t>
            </w:r>
          </w:p>
        </w:tc>
        <w:tc>
          <w:tcPr>
            <w:tcW w:type="pct" w:w="10%"/>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procurement/</w:t>
            </w:r>
          </w:p>
        </w:tc>
      </w:tr>
      <w:tr>
        <w:trPr>
          <w:cantSplit/>
        </w:trPr>
        <w:tc>
          <w:tcPr>
            <w:tcW w:type="pct" w:w="6%"/>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BP-09</w:t>
            </w:r>
          </w:p>
        </w:tc>
        <w:tc>
          <w:tcPr>
            <w:tcW w:type="pct" w:w="15%"/>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7"/>
                <w:szCs w:val="17"/>
                <w:rtl/>
              </w:rPr>
              <w:t xml:space="preserve">المحاسبة والجنائي</w:t>
            </w:r>
          </w:p>
        </w:tc>
        <w:tc>
          <w:tcPr>
            <w:tcW w:type="pct" w:w="10%"/>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7"/>
                <w:szCs w:val="17"/>
                <w:rtl/>
              </w:rPr>
              <w:t xml:space="preserve">نظام</w:t>
            </w:r>
          </w:p>
        </w:tc>
        <w:tc>
          <w:tcPr>
            <w:tcW w:type="pct" w:w="12%"/>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7"/>
                <w:szCs w:val="17"/>
                <w:rtl/>
              </w:rPr>
              <w:t xml:space="preserve">قيود، فواتير</w:t>
            </w:r>
          </w:p>
        </w:tc>
        <w:tc>
          <w:tcPr>
            <w:tcW w:type="pct" w:w="24%"/>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7"/>
                <w:szCs w:val="17"/>
                <w:rtl/>
              </w:rPr>
              <w:t xml:space="preserve">ميزان مزدوج، بنفورد، دائرية، سقوف</w:t>
            </w:r>
          </w:p>
        </w:tc>
        <w:tc>
          <w:tcPr>
            <w:tcW w:type="pct" w:w="13%"/>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7"/>
                <w:szCs w:val="17"/>
                <w:rtl/>
              </w:rPr>
              <w:t xml:space="preserve">صك سلامة/شبهة</w:t>
            </w:r>
          </w:p>
        </w:tc>
        <w:tc>
          <w:tcPr>
            <w:tcW w:type="pct" w:w="10%"/>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Forensics</w:t>
            </w:r>
          </w:p>
        </w:tc>
        <w:tc>
          <w:tcPr>
            <w:tcW w:type="pct" w:w="10%"/>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accounting/forensics.py</w:t>
            </w:r>
          </w:p>
        </w:tc>
      </w:tr>
      <w:tr>
        <w:trPr>
          <w:cantSplit/>
        </w:trPr>
        <w:tc>
          <w:tcPr>
            <w:tcW w:type="pct" w:w="6%"/>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BP-10</w:t>
            </w:r>
          </w:p>
        </w:tc>
        <w:tc>
          <w:tcPr>
            <w:tcW w:type="pct" w:w="15%"/>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7"/>
                <w:szCs w:val="17"/>
                <w:rtl/>
              </w:rPr>
              <w:t xml:space="preserve">التنبؤ والتحليلات</w:t>
            </w:r>
          </w:p>
        </w:tc>
        <w:tc>
          <w:tcPr>
            <w:tcW w:type="pct" w:w="10%"/>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7"/>
                <w:szCs w:val="17"/>
                <w:rtl/>
              </w:rPr>
              <w:t xml:space="preserve">جدولة</w:t>
            </w:r>
          </w:p>
        </w:tc>
        <w:tc>
          <w:tcPr>
            <w:tcW w:type="pct" w:w="12%"/>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7"/>
                <w:szCs w:val="17"/>
                <w:rtl/>
              </w:rPr>
              <w:t xml:space="preserve">طلبات تاريخية</w:t>
            </w:r>
          </w:p>
        </w:tc>
        <w:tc>
          <w:tcPr>
            <w:tcW w:type="pct" w:w="24%"/>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7"/>
                <w:szCs w:val="17"/>
                <w:rtl/>
              </w:rPr>
              <w:t xml:space="preserve">دورة قادمة + CI 95%، churn score، SHAP</w:t>
            </w:r>
          </w:p>
        </w:tc>
        <w:tc>
          <w:tcPr>
            <w:tcW w:type="pct" w:w="13%"/>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7"/>
                <w:szCs w:val="17"/>
                <w:rtl/>
              </w:rPr>
              <w:t xml:space="preserve">توقعات موثقة</w:t>
            </w:r>
          </w:p>
        </w:tc>
        <w:tc>
          <w:tcPr>
            <w:tcW w:type="pct" w:w="10%"/>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Prediction</w:t>
            </w:r>
          </w:p>
        </w:tc>
        <w:tc>
          <w:tcPr>
            <w:tcW w:type="pct" w:w="10%"/>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prediction/</w:t>
            </w:r>
          </w:p>
        </w:tc>
      </w:tr>
      <w:tr>
        <w:trPr>
          <w:cantSplit/>
        </w:trPr>
        <w:tc>
          <w:tcPr>
            <w:tcW w:type="pct" w:w="6%"/>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BP-11</w:t>
            </w:r>
          </w:p>
        </w:tc>
        <w:tc>
          <w:tcPr>
            <w:tcW w:type="pct" w:w="15%"/>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7"/>
                <w:szCs w:val="17"/>
                <w:rtl/>
              </w:rPr>
              <w:t xml:space="preserve">إدارة الحزم العمودية</w:t>
            </w:r>
          </w:p>
        </w:tc>
        <w:tc>
          <w:tcPr>
            <w:tcW w:type="pct" w:w="10%"/>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7"/>
                <w:szCs w:val="17"/>
                <w:rtl/>
              </w:rPr>
              <w:t xml:space="preserve">أدمن</w:t>
            </w:r>
          </w:p>
        </w:tc>
        <w:tc>
          <w:tcPr>
            <w:tcW w:type="pct" w:w="12%"/>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7"/>
                <w:szCs w:val="17"/>
                <w:rtl/>
              </w:rPr>
              <w:t xml:space="preserve">اختيار حزمة</w:t>
            </w:r>
          </w:p>
        </w:tc>
        <w:tc>
          <w:tcPr>
            <w:tcW w:type="pct" w:w="24%"/>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7"/>
                <w:szCs w:val="17"/>
                <w:rtl/>
              </w:rPr>
              <w:t xml:space="preserve">تفعيل، إبطال كاش، تبديل مصطلحات/سقوف</w:t>
            </w:r>
          </w:p>
        </w:tc>
        <w:tc>
          <w:tcPr>
            <w:tcW w:type="pct" w:w="13%"/>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7"/>
                <w:szCs w:val="17"/>
                <w:rtl/>
              </w:rPr>
              <w:t xml:space="preserve">نظام معاد تكوينه</w:t>
            </w:r>
          </w:p>
        </w:tc>
        <w:tc>
          <w:tcPr>
            <w:tcW w:type="pct" w:w="10%"/>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Verticals Loader</w:t>
            </w:r>
          </w:p>
        </w:tc>
        <w:tc>
          <w:tcPr>
            <w:tcW w:type="pct" w:w="10%"/>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core/verticals/</w:t>
            </w:r>
          </w:p>
        </w:tc>
      </w:tr>
      <w:tr>
        <w:trPr>
          <w:cantSplit/>
        </w:trPr>
        <w:tc>
          <w:tcPr>
            <w:tcW w:type="pct" w:w="6%"/>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BP-12</w:t>
            </w:r>
          </w:p>
        </w:tc>
        <w:tc>
          <w:tcPr>
            <w:tcW w:type="pct" w:w="15%"/>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7"/>
                <w:szCs w:val="17"/>
                <w:rtl/>
              </w:rPr>
              <w:t xml:space="preserve">الحوكمة والمراساة</w:t>
            </w:r>
          </w:p>
        </w:tc>
        <w:tc>
          <w:tcPr>
            <w:tcW w:type="pct" w:w="10%"/>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7"/>
                <w:szCs w:val="17"/>
                <w:rtl/>
              </w:rPr>
              <w:t xml:space="preserve">نظام</w:t>
            </w:r>
          </w:p>
        </w:tc>
        <w:tc>
          <w:tcPr>
            <w:tcW w:type="pct" w:w="12%"/>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7"/>
                <w:szCs w:val="17"/>
                <w:rtl/>
              </w:rPr>
              <w:t xml:space="preserve">أحداث حرجة</w:t>
            </w:r>
          </w:p>
        </w:tc>
        <w:tc>
          <w:tcPr>
            <w:tcW w:type="pct" w:w="24%"/>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7"/>
                <w:szCs w:val="17"/>
                <w:rtl/>
              </w:rPr>
              <w:t xml:space="preserve">audit → WORM chain → مرساة خارجية → تحقق ثنائي</w:t>
            </w:r>
          </w:p>
        </w:tc>
        <w:tc>
          <w:tcPr>
            <w:tcW w:type="pct" w:w="13%"/>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7"/>
                <w:szCs w:val="17"/>
                <w:rtl/>
              </w:rPr>
              <w:t xml:space="preserve">إثبات عدم تلاعب</w:t>
            </w:r>
          </w:p>
        </w:tc>
        <w:tc>
          <w:tcPr>
            <w:tcW w:type="pct" w:w="10%"/>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WORM Worker</w:t>
            </w:r>
          </w:p>
        </w:tc>
        <w:tc>
          <w:tcPr>
            <w:tcW w:type="pct" w:w="10%"/>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core/worm_ledger.py</w:t>
            </w:r>
          </w:p>
        </w:tc>
      </w:tr>
    </w:tbl>
    <w:p>
      <w:pPr>
        <w:bidi/>
        <w:spacing w:after="120" w:line="312"/>
        <w:ind w:firstLine="340"/>
        <w:jc w:val="both"/>
      </w:pPr>
      <w:r>
        <w:rPr>
          <w:rFonts w:ascii="Times New Roman" w:cs="Traditional Arabic" w:hAnsi="Times New Roman"/>
          <w:b w:val="false"/>
          <w:i w:val="false"/>
          <w:iCs w:val="false"/>
          <w:color w:val="000000"/>
          <w:sz w:val="26"/>
          <w:szCs w:val="30"/>
          <w:rtl/>
        </w:rPr>
        <w:t xml:space="preserve">وتُعرض تفصيلات العمليات الحرجة في مخططات النشاط (قسم 24) ومخططات التسلسل (قسم 25)، وتفجير مستويات الـ DFD (أقسام 18-21).</w:t>
      </w:r>
    </w:p>
    <w:p>
      <w:pPr>
        <w:pStyle w:val="Heading1"/>
        <w:pageBreakBefore/>
        <w:bidi/>
        <w:spacing w:after="200" w:before="400" w:line="340"/>
        <w:jc w:val="right"/>
      </w:pPr>
      <w:bookmarkStart w:id="100014" w:name="_Toc100014"/>
      <w:r>
        <w:rPr>
          <w:rFonts w:ascii="Times New Roman" w:cs="Simplified Arabic" w:hAnsi="Times New Roman"/>
          <w:b/>
          <w:bCs/>
          <w:color w:val="1F3A5F"/>
          <w:sz w:val="32"/>
          <w:szCs w:val="36"/>
          <w:rtl/>
        </w:rPr>
        <w:t xml:space="preserve">17. سياق النظام (System Context)</w:t>
      </w:r>
      <w:bookmarkEnd w:id="100014"/>
    </w:p>
    <w:p>
      <w:pPr>
        <w:bidi/>
        <w:spacing w:after="120" w:line="312"/>
        <w:ind w:firstLine="340"/>
        <w:jc w:val="both"/>
      </w:pPr>
      <w:r>
        <w:rPr>
          <w:rFonts w:ascii="Times New Roman" w:cs="Traditional Arabic" w:hAnsi="Times New Roman"/>
          <w:b w:val="false"/>
          <w:i w:val="false"/>
          <w:iCs w:val="false"/>
          <w:color w:val="000000"/>
          <w:sz w:val="26"/>
          <w:szCs w:val="30"/>
          <w:rtl/>
        </w:rPr>
        <w:t xml:space="preserve">يوضح مخطط السياق حدود النظام مع بيئته: من يتفاعل معه، وما يتبادلانه. النظام يجلس في المركز ويستهلك ويخدم سبع جهات خارجية، مع بقاء قاعدة البيانات والمصادقة ضمن منظومة Supabase المضيفة.</w:t>
      </w:r>
    </w:p>
    <w:p>
      <w:pPr>
        <w:spacing w:after="60" w:before="140"/>
        <w:jc w:val="center"/>
      </w:pPr>
      <w:r>
        <w:drawing>
          <wp:inline distT="0" distB="0" distL="0" distR="0">
            <wp:extent cx="542925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29250" cy="3609975"/>
                    </a:xfrm>
                    <a:prstGeom prst="rect">
                      <a:avLst/>
                    </a:prstGeom>
                  </pic:spPr>
                </pic:pic>
              </a:graphicData>
            </a:graphic>
          </wp:inline>
        </w:drawing>
      </w:r>
    </w:p>
    <w:p>
      <w:pPr>
        <w:spacing w:after="200"/>
        <w:jc w:val="center"/>
      </w:pPr>
      <w:r>
        <w:rPr>
          <w:rFonts w:ascii="Times New Roman" w:eastAsia="Times New Roman" w:hAnsi="Times New Roman"/>
          <w:b/>
          <w:bCs/>
          <w:i w:val="false"/>
          <w:iCs w:val="false"/>
          <w:color w:val="1F3A5F"/>
          <w:sz w:val="20"/>
          <w:szCs w:val="20"/>
        </w:rPr>
        <w:t xml:space="preserve">Figure 1. </w:t>
      </w:r>
      <w:r>
        <w:rPr>
          <w:rFonts w:ascii="Times New Roman" w:eastAsia="Times New Roman" w:hAnsi="Times New Roman"/>
          <w:b w:val="false"/>
          <w:bCs w:val="false"/>
          <w:i w:val="false"/>
          <w:iCs w:val="false"/>
          <w:color w:val="333333"/>
          <w:sz w:val="20"/>
          <w:szCs w:val="20"/>
        </w:rPr>
        <w:t xml:space="preserve">System Context Diagram — external entities and their data flows with AI-COS</w:t>
      </w:r>
    </w:p>
    <w:p>
      <w:pPr>
        <w:bidi/>
        <w:spacing w:after="120" w:line="312"/>
        <w:ind w:firstLine="340"/>
        <w:jc w:val="both"/>
      </w:pPr>
      <w:r>
        <w:rPr>
          <w:rFonts w:ascii="Times New Roman" w:cs="Traditional Arabic" w:hAnsi="Times New Roman"/>
          <w:b w:val="false"/>
          <w:i w:val="false"/>
          <w:iCs w:val="false"/>
          <w:color w:val="000000"/>
          <w:sz w:val="26"/>
          <w:szCs w:val="30"/>
          <w:rtl/>
        </w:rPr>
        <w:t xml:space="preserve">ملاحظة حدود مهمة مثبتة سلوكياً: النظام لا يستدعي مزود سحابي إلا بعد تنقيح PII، ومع فشل السحابة يعمل محلياً بلا انقطاع (استراتيجية local-first الموثقة في llm_engine).</w:t>
      </w:r>
    </w:p>
    <w:p>
      <w:pPr>
        <w:pStyle w:val="Heading1"/>
        <w:pageBreakBefore/>
        <w:bidi/>
        <w:spacing w:after="200" w:before="400" w:line="340"/>
        <w:jc w:val="right"/>
      </w:pPr>
      <w:bookmarkStart w:id="100015" w:name="_Toc100015"/>
      <w:r>
        <w:rPr>
          <w:rFonts w:ascii="Times New Roman" w:cs="Simplified Arabic" w:hAnsi="Times New Roman"/>
          <w:b/>
          <w:bCs/>
          <w:color w:val="1F3A5F"/>
          <w:sz w:val="32"/>
          <w:szCs w:val="36"/>
          <w:rtl/>
        </w:rPr>
        <w:t xml:space="preserve">18. مخطط تدفق البيانات — المستوى صفر (DFD Level 0)</w:t>
      </w:r>
      <w:bookmarkEnd w:id="100015"/>
    </w:p>
    <w:p>
      <w:pPr>
        <w:bidi/>
        <w:spacing w:after="120" w:line="312"/>
        <w:ind w:firstLine="340"/>
        <w:jc w:val="both"/>
      </w:pPr>
      <w:r>
        <w:rPr>
          <w:rFonts w:ascii="Times New Roman" w:cs="Traditional Arabic" w:hAnsi="Times New Roman"/>
          <w:b w:val="false"/>
          <w:i w:val="false"/>
          <w:iCs w:val="false"/>
          <w:color w:val="000000"/>
          <w:sz w:val="26"/>
          <w:szCs w:val="30"/>
          <w:rtl/>
        </w:rPr>
        <w:t xml:space="preserve">المستوى صفر يكثف النظام في عملية واحدة «0. AI-COS» مع التبادلات الخارجية الحقيقية كما تظهر في مسارات الـ API وسير عمل n8n:</w:t>
      </w:r>
    </w:p>
    <w:p>
      <w:pPr>
        <w:spacing w:after="60" w:before="140"/>
        <w:jc w:val="center"/>
      </w:pPr>
      <w:r>
        <w:drawing>
          <wp:inline distT="0" distB="0" distL="0" distR="0">
            <wp:extent cx="520065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00650" cy="3457575"/>
                    </a:xfrm>
                    <a:prstGeom prst="rect">
                      <a:avLst/>
                    </a:prstGeom>
                  </pic:spPr>
                </pic:pic>
              </a:graphicData>
            </a:graphic>
          </wp:inline>
        </w:drawing>
      </w:r>
    </w:p>
    <w:p>
      <w:pPr>
        <w:spacing w:after="200"/>
        <w:jc w:val="center"/>
      </w:pPr>
      <w:r>
        <w:rPr>
          <w:rFonts w:ascii="Times New Roman" w:eastAsia="Times New Roman" w:hAnsi="Times New Roman"/>
          <w:b/>
          <w:bCs/>
          <w:i w:val="false"/>
          <w:iCs w:val="false"/>
          <w:color w:val="1F3A5F"/>
          <w:sz w:val="20"/>
          <w:szCs w:val="20"/>
        </w:rPr>
        <w:t xml:space="preserve">Figure 2. </w:t>
      </w:r>
      <w:r>
        <w:rPr>
          <w:rFonts w:ascii="Times New Roman" w:eastAsia="Times New Roman" w:hAnsi="Times New Roman"/>
          <w:b w:val="false"/>
          <w:bCs w:val="false"/>
          <w:i w:val="false"/>
          <w:iCs w:val="false"/>
          <w:color w:val="333333"/>
          <w:sz w:val="20"/>
          <w:szCs w:val="20"/>
        </w:rPr>
        <w:t xml:space="preserve">DFD Level 0 — AI-COS as a single process with external entities</w:t>
      </w:r>
    </w:p>
    <w:p>
      <w:pPr>
        <w:bidi/>
        <w:spacing w:after="120" w:line="312"/>
        <w:ind w:firstLine="340"/>
        <w:jc w:val="both"/>
      </w:pPr>
      <w:r>
        <w:rPr>
          <w:rFonts w:ascii="Times New Roman" w:cs="Traditional Arabic" w:hAnsi="Times New Roman"/>
          <w:b w:val="false"/>
          <w:i w:val="false"/>
          <w:iCs w:val="false"/>
          <w:color w:val="000000"/>
          <w:sz w:val="26"/>
          <w:szCs w:val="30"/>
          <w:rtl/>
        </w:rPr>
        <w:t xml:space="preserve">التدفقات ليست رمزية: «طلبات • روشتات • شات» تسير فعلياً عبر POST /orders وPOST prescriptions وPOST /ai/chat؛ و«تذكيرات» تخرج عبر ن8ن إلى تليجرام/واتساب؛ و«prompts» تنطلق نحو Ollama/Gemini بعد تنقيح PII.</w:t>
      </w:r>
    </w:p>
    <w:p>
      <w:pPr>
        <w:pStyle w:val="Heading1"/>
        <w:pageBreakBefore/>
        <w:bidi/>
        <w:spacing w:after="200" w:before="400" w:line="340"/>
        <w:jc w:val="right"/>
      </w:pPr>
      <w:bookmarkStart w:id="100016" w:name="_Toc100016"/>
      <w:r>
        <w:rPr>
          <w:rFonts w:ascii="Times New Roman" w:cs="Simplified Arabic" w:hAnsi="Times New Roman"/>
          <w:b/>
          <w:bCs/>
          <w:color w:val="1F3A5F"/>
          <w:sz w:val="32"/>
          <w:szCs w:val="36"/>
          <w:rtl/>
        </w:rPr>
        <w:t xml:space="preserve">19. مخطط تدفق البيانات — المستوى الأول (DFD Level 1)</w:t>
      </w:r>
      <w:bookmarkEnd w:id="100016"/>
    </w:p>
    <w:p>
      <w:pPr>
        <w:bidi/>
        <w:spacing w:after="120" w:line="312"/>
        <w:ind w:firstLine="340"/>
        <w:jc w:val="both"/>
      </w:pPr>
      <w:r>
        <w:rPr>
          <w:rFonts w:ascii="Times New Roman" w:cs="Traditional Arabic" w:hAnsi="Times New Roman"/>
          <w:b w:val="false"/>
          <w:i w:val="false"/>
          <w:iCs w:val="false"/>
          <w:color w:val="000000"/>
          <w:sz w:val="26"/>
          <w:szCs w:val="30"/>
          <w:rtl/>
        </w:rPr>
        <w:t xml:space="preserve">يُفجّر النظام إلى 12 عملية رئيسية موازية للنطاقات والوكلاء الفعليين، مع مخازن البيانات الحقيقية المسماة بأسمائها في الكود:</w:t>
      </w:r>
    </w:p>
    <w:p>
      <w:pPr>
        <w:spacing w:after="60" w:before="140"/>
        <w:jc w:val="center"/>
      </w:pPr>
      <w:r>
        <w:drawing>
          <wp:inline distT="0" distB="0" distL="0" distR="0">
            <wp:extent cx="5905500" cy="3829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829050"/>
                    </a:xfrm>
                    <a:prstGeom prst="rect">
                      <a:avLst/>
                    </a:prstGeom>
                  </pic:spPr>
                </pic:pic>
              </a:graphicData>
            </a:graphic>
          </wp:inline>
        </w:drawing>
      </w:r>
    </w:p>
    <w:p>
      <w:pPr>
        <w:spacing w:after="200"/>
        <w:jc w:val="center"/>
      </w:pPr>
      <w:r>
        <w:rPr>
          <w:rFonts w:ascii="Times New Roman" w:eastAsia="Times New Roman" w:hAnsi="Times New Roman"/>
          <w:b/>
          <w:bCs/>
          <w:i w:val="false"/>
          <w:iCs w:val="false"/>
          <w:color w:val="1F3A5F"/>
          <w:sz w:val="20"/>
          <w:szCs w:val="20"/>
        </w:rPr>
        <w:t xml:space="preserve">Figure 3. </w:t>
      </w:r>
      <w:r>
        <w:rPr>
          <w:rFonts w:ascii="Times New Roman" w:eastAsia="Times New Roman" w:hAnsi="Times New Roman"/>
          <w:b w:val="false"/>
          <w:bCs w:val="false"/>
          <w:i w:val="false"/>
          <w:iCs w:val="false"/>
          <w:color w:val="333333"/>
          <w:sz w:val="20"/>
          <w:szCs w:val="20"/>
        </w:rPr>
        <w:t xml:space="preserve">DFD Level 1 — twelve major processes with real data stores</w:t>
      </w:r>
    </w:p>
    <w:p>
      <w:pPr>
        <w:bidi/>
        <w:spacing w:after="120" w:line="312"/>
        <w:ind w:firstLine="340"/>
        <w:jc w:val="both"/>
      </w:pPr>
      <w:r>
        <w:rPr>
          <w:rFonts w:ascii="Times New Roman" w:cs="Traditional Arabic" w:hAnsi="Times New Roman"/>
          <w:b w:val="false"/>
          <w:i w:val="false"/>
          <w:iCs w:val="false"/>
          <w:color w:val="000000"/>
          <w:sz w:val="26"/>
          <w:szCs w:val="30"/>
          <w:rtl/>
        </w:rPr>
        <w:t xml:space="preserve">لاحظ حلقتي حوكمة مغلقتين ظاهرتين في المخطط: (1) «عمليات → D7 audit_logs → WORM» حيث كل حدث حرج يُسلسل تشفيرياً؛ (2) «n8n ↔ 6.0 automation_runs» حيث كل إرسال يقاس بالـ callback العائد، فلا نسب تسليم مستهدفة.</w:t>
      </w:r>
    </w:p>
    <w:p>
      <w:pPr>
        <w:pStyle w:val="Heading1"/>
        <w:pageBreakBefore/>
        <w:bidi/>
        <w:spacing w:after="200" w:before="400" w:line="340"/>
        <w:jc w:val="right"/>
      </w:pPr>
      <w:bookmarkStart w:id="100017" w:name="_Toc100017"/>
      <w:r>
        <w:rPr>
          <w:rFonts w:ascii="Times New Roman" w:cs="Simplified Arabic" w:hAnsi="Times New Roman"/>
          <w:b/>
          <w:bCs/>
          <w:color w:val="1F3A5F"/>
          <w:sz w:val="32"/>
          <w:szCs w:val="36"/>
          <w:rtl/>
        </w:rPr>
        <w:t xml:space="preserve">20. مخطط تدفق البيانات — المستوى الثاني (DFD Level 2)</w:t>
      </w:r>
      <w:bookmarkEnd w:id="100017"/>
    </w:p>
    <w:p>
      <w:pPr>
        <w:bidi/>
        <w:spacing w:after="120" w:line="312"/>
        <w:ind w:firstLine="340"/>
        <w:jc w:val="both"/>
      </w:pPr>
      <w:r>
        <w:rPr>
          <w:rFonts w:ascii="Times New Roman" w:cs="Traditional Arabic" w:hAnsi="Times New Roman"/>
          <w:b w:val="false"/>
          <w:i w:val="false"/>
          <w:iCs w:val="false"/>
          <w:color w:val="000000"/>
          <w:sz w:val="26"/>
          <w:szCs w:val="30"/>
          <w:rtl/>
        </w:rPr>
        <w:t xml:space="preserve">اخترنا تفجير العملية 2.0 «الطلب والسلامة السريرية» لأنها تقاطع الأعمال مع السلامة — أهم تقاطع في المشروع:</w:t>
      </w:r>
    </w:p>
    <w:p>
      <w:pPr>
        <w:spacing w:after="60" w:before="140"/>
        <w:jc w:val="center"/>
      </w:pPr>
      <w:r>
        <w:drawing>
          <wp:inline distT="0" distB="0" distL="0" distR="0">
            <wp:extent cx="5667375" cy="405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67375" cy="4057650"/>
                    </a:xfrm>
                    <a:prstGeom prst="rect">
                      <a:avLst/>
                    </a:prstGeom>
                  </pic:spPr>
                </pic:pic>
              </a:graphicData>
            </a:graphic>
          </wp:inline>
        </w:drawing>
      </w:r>
    </w:p>
    <w:p>
      <w:pPr>
        <w:spacing w:after="200"/>
        <w:jc w:val="center"/>
      </w:pPr>
      <w:r>
        <w:rPr>
          <w:rFonts w:ascii="Times New Roman" w:eastAsia="Times New Roman" w:hAnsi="Times New Roman"/>
          <w:b/>
          <w:bCs/>
          <w:i w:val="false"/>
          <w:iCs w:val="false"/>
          <w:color w:val="1F3A5F"/>
          <w:sz w:val="20"/>
          <w:szCs w:val="20"/>
        </w:rPr>
        <w:t xml:space="preserve">Figure 4. </w:t>
      </w:r>
      <w:r>
        <w:rPr>
          <w:rFonts w:ascii="Times New Roman" w:eastAsia="Times New Roman" w:hAnsi="Times New Roman"/>
          <w:b w:val="false"/>
          <w:bCs w:val="false"/>
          <w:i w:val="false"/>
          <w:iCs w:val="false"/>
          <w:color w:val="333333"/>
          <w:sz w:val="20"/>
          <w:szCs w:val="20"/>
        </w:rPr>
        <w:t xml:space="preserve">DFD Level 2 — explosion of Ordering &amp; Clinical Safety (2.0)</w:t>
      </w:r>
    </w:p>
    <w:p>
      <w:pPr>
        <w:bidi/>
        <w:spacing w:after="120" w:line="312"/>
        <w:ind w:firstLine="340"/>
        <w:jc w:val="both"/>
      </w:pPr>
      <w:r>
        <w:rPr>
          <w:rFonts w:ascii="Times New Roman" w:cs="Traditional Arabic" w:hAnsi="Times New Roman"/>
          <w:b w:val="false"/>
          <w:i w:val="false"/>
          <w:iCs w:val="false"/>
          <w:color w:val="000000"/>
          <w:sz w:val="26"/>
          <w:szCs w:val="30"/>
          <w:rtl/>
        </w:rPr>
        <w:t xml:space="preserve">تظهر البوابات الحتمية الثلاث بوضوح: فحص التداخلات (2.3) بقيود a&lt;b، فحص التكرار العلاجي (2.4) بخريطة المواد الفعالة، وبوابة الكوبون (2.5) بدورة حياة كاملة — وكل حجب ينعكس في D1.7 audit_logs.</w:t>
      </w:r>
    </w:p>
    <w:p>
      <w:pPr>
        <w:pStyle w:val="Heading1"/>
        <w:pageBreakBefore/>
        <w:bidi/>
        <w:spacing w:after="200" w:before="400" w:line="340"/>
        <w:jc w:val="right"/>
      </w:pPr>
      <w:bookmarkStart w:id="100018" w:name="_Toc100018"/>
      <w:r>
        <w:rPr>
          <w:rFonts w:ascii="Times New Roman" w:cs="Simplified Arabic" w:hAnsi="Times New Roman"/>
          <w:b/>
          <w:bCs/>
          <w:color w:val="1F3A5F"/>
          <w:sz w:val="32"/>
          <w:szCs w:val="36"/>
          <w:rtl/>
        </w:rPr>
        <w:t xml:space="preserve">21. مخطط تدفق البيانات — المستوى الثالث (DFD Level 3)</w:t>
      </w:r>
      <w:bookmarkEnd w:id="100018"/>
    </w:p>
    <w:p>
      <w:pPr>
        <w:bidi/>
        <w:spacing w:after="120" w:line="312"/>
        <w:ind w:firstLine="340"/>
        <w:jc w:val="both"/>
      </w:pPr>
      <w:r>
        <w:rPr>
          <w:rFonts w:ascii="Times New Roman" w:cs="Traditional Arabic" w:hAnsi="Times New Roman"/>
          <w:b w:val="false"/>
          <w:i w:val="false"/>
          <w:iCs w:val="false"/>
          <w:color w:val="000000"/>
          <w:sz w:val="26"/>
          <w:szCs w:val="30"/>
          <w:rtl/>
        </w:rPr>
        <w:t xml:space="preserve">أعمق مستوى يفجّر محرك CDSS نفسه إلى خطواته الحقيقية كما في drug/service.py وinteraction_guard.py — من تطبيع المادة الفعالة حتى قرار الحجب:</w:t>
      </w:r>
    </w:p>
    <w:p>
      <w:pPr>
        <w:spacing w:after="60" w:before="140"/>
        <w:jc w:val="center"/>
      </w:pPr>
      <w:r>
        <w:drawing>
          <wp:inline distT="0" distB="0" distL="0" distR="0">
            <wp:extent cx="5667375" cy="405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67375" cy="4057650"/>
                    </a:xfrm>
                    <a:prstGeom prst="rect">
                      <a:avLst/>
                    </a:prstGeom>
                  </pic:spPr>
                </pic:pic>
              </a:graphicData>
            </a:graphic>
          </wp:inline>
        </w:drawing>
      </w:r>
    </w:p>
    <w:p>
      <w:pPr>
        <w:spacing w:after="200"/>
        <w:jc w:val="center"/>
      </w:pPr>
      <w:r>
        <w:rPr>
          <w:rFonts w:ascii="Times New Roman" w:eastAsia="Times New Roman" w:hAnsi="Times New Roman"/>
          <w:b/>
          <w:bCs/>
          <w:i w:val="false"/>
          <w:iCs w:val="false"/>
          <w:color w:val="1F3A5F"/>
          <w:sz w:val="20"/>
          <w:szCs w:val="20"/>
        </w:rPr>
        <w:t xml:space="preserve">Figure 5. </w:t>
      </w:r>
      <w:r>
        <w:rPr>
          <w:rFonts w:ascii="Times New Roman" w:eastAsia="Times New Roman" w:hAnsi="Times New Roman"/>
          <w:b w:val="false"/>
          <w:bCs w:val="false"/>
          <w:i w:val="false"/>
          <w:iCs w:val="false"/>
          <w:color w:val="333333"/>
          <w:sz w:val="20"/>
          <w:szCs w:val="20"/>
        </w:rPr>
        <w:t xml:space="preserve">DFD Level 3 — CDSS engine internals (normalization → lookup → decision gate)</w:t>
      </w:r>
    </w:p>
    <w:p>
      <w:pPr>
        <w:bidi/>
        <w:spacing w:after="120" w:line="312"/>
        <w:ind w:firstLine="340"/>
        <w:jc w:val="both"/>
      </w:pPr>
      <w:r>
        <w:rPr>
          <w:rFonts w:ascii="Times New Roman" w:cs="Traditional Arabic" w:hAnsi="Times New Roman"/>
          <w:b w:val="false"/>
          <w:i w:val="false"/>
          <w:iCs w:val="false"/>
          <w:color w:val="000000"/>
          <w:sz w:val="26"/>
          <w:szCs w:val="30"/>
          <w:rtl/>
        </w:rPr>
        <w:t xml:space="preserve">هذا المستوى يكشف لماذا النظام قليل الهلوسة سريرياً: لا يوجد LLM في أي خطوة هنا — كلها استعلامات وقواعد مطابقة وتطبيع نصي حتمي (إزالة الأملاح الشائعة، فصل المركبات + / / ، / ،، مع حفظ succinate/tartrate لقاعدة البدائل فقط).</w:t>
      </w:r>
    </w:p>
    <w:p>
      <w:pPr>
        <w:pStyle w:val="Heading1"/>
        <w:pageBreakBefore/>
        <w:bidi/>
        <w:spacing w:after="200" w:before="400" w:line="340"/>
        <w:jc w:val="right"/>
      </w:pPr>
      <w:bookmarkStart w:id="100019" w:name="_Toc100019"/>
      <w:r>
        <w:rPr>
          <w:rFonts w:ascii="Times New Roman" w:cs="Simplified Arabic" w:hAnsi="Times New Roman"/>
          <w:b/>
          <w:bCs/>
          <w:color w:val="1F3A5F"/>
          <w:sz w:val="32"/>
          <w:szCs w:val="36"/>
          <w:rtl/>
        </w:rPr>
        <w:t xml:space="preserve">22. تحليل حالات الاستخدام (Use Case Analysis)</w:t>
      </w:r>
      <w:bookmarkEnd w:id="100019"/>
    </w:p>
    <w:p>
      <w:pPr>
        <w:bidi/>
        <w:spacing w:after="120" w:line="312"/>
        <w:ind w:firstLine="340"/>
        <w:jc w:val="both"/>
      </w:pPr>
      <w:r>
        <w:rPr>
          <w:rFonts w:ascii="Times New Roman" w:cs="Traditional Arabic" w:hAnsi="Times New Roman"/>
          <w:b w:val="false"/>
          <w:i w:val="false"/>
          <w:iCs w:val="false"/>
          <w:color w:val="000000"/>
          <w:sz w:val="26"/>
          <w:szCs w:val="30"/>
          <w:rtl/>
        </w:rPr>
        <w:t xml:space="preserve">تغطي حالات الاستخدام العشر التالية الوظائف الجوهرية الفعلية للنظام كما تظهر في مسارات الـ API والواجهات. كل حالة موثقة بجدول كامل، والمسارات البديلة والاستثنائية مأخوذة من سلوك الكود الحقيقي (بوابات، احتياطات، رفض) لا من سيناريوهات مثالية.</w:t>
      </w:r>
    </w:p>
    <w:p>
      <w:pPr>
        <w:keepNext/>
        <w:bidi/>
        <w:spacing w:after="80" w:before="160"/>
        <w:jc w:val="right"/>
      </w:pPr>
      <w:r>
        <w:rPr>
          <w:rFonts w:ascii="Times New Roman" w:cs="Traditional Arabic" w:hAnsi="Times New Roman"/>
          <w:b/>
          <w:bCs/>
          <w:i w:val="false"/>
          <w:iCs w:val="false"/>
          <w:color w:val="000000"/>
          <w:sz w:val="22"/>
          <w:szCs w:val="22"/>
          <w:rtl/>
        </w:rPr>
        <w:t xml:space="preserve">جدول 5: </w:t>
      </w:r>
      <w:r>
        <w:rPr>
          <w:rFonts w:ascii="Times New Roman" w:cs="Traditional Arabic" w:hAnsi="Times New Roman"/>
          <w:b w:val="false"/>
          <w:i w:val="false"/>
          <w:iCs w:val="false"/>
          <w:color w:val="000000"/>
          <w:sz w:val="22"/>
          <w:szCs w:val="22"/>
          <w:rtl/>
        </w:rPr>
        <w:t xml:space="preserve">UC-01 — تقديم طلب شراء مع بوابة السلامة الدوائية (Place Order with CDSS Gate)</w:t>
      </w:r>
    </w:p>
    <w:tbl>
      <w:tblPr>
        <w:bidiVisual/>
        <w:tblW w:type="pct" w:w="100%"/>
        <w:tblBorders>
          <w:top w:val="single" w:color="9AA6B2" w:sz="6"/>
          <w:left w:val="none" w:color="FFFFFF" w:sz="0"/>
          <w:bottom w:val="single" w:color="9AA6B2" w:sz="6"/>
          <w:right w:val="none" w:color="FFFFFF" w:sz="0"/>
          <w:insideH w:val="single" w:color="D5DCE4" w:sz="2"/>
          <w:insideV w:val="single" w:color="D5DCE4" w:sz="2"/>
        </w:tblBorders>
      </w:tblPr>
      <w:tblGrid>
        <w:gridCol w:w="100"/>
        <w:gridCol w:w="100"/>
      </w:tblGrid>
      <w:tr>
        <w:trPr>
          <w:cantSplit/>
          <w:tblHeader/>
        </w:trPr>
        <w:tc>
          <w:tcPr>
            <w:tcW w:type="pct" w:w="18%"/>
            <w:shd w:fill="E8EDF3" w:val="clear"/>
            <w:tcMar>
              <w:top w:type="dxa" w:w="70"/>
              <w:left w:type="dxa" w:w="100"/>
              <w:bottom w:type="dxa" w:w="70"/>
              <w:right w:type="dxa" w:w="100"/>
            </w:tcMar>
            <w:vAlign w:val="center"/>
          </w:tcPr>
          <w:p>
            <w:pPr>
              <w:bidi/>
              <w:jc w:val="center"/>
            </w:pPr>
            <w:r>
              <w:rPr>
                <w:rFonts w:ascii="Times New Roman" w:cs="Traditional Arabic" w:hAnsi="Times New Roman"/>
                <w:b/>
                <w:bCs/>
                <w:i w:val="false"/>
                <w:iCs w:val="false"/>
                <w:color w:val="111111"/>
                <w:sz w:val="21"/>
                <w:szCs w:val="21"/>
                <w:rtl/>
              </w:rPr>
              <w:t xml:space="preserve">الحقل</w:t>
            </w:r>
          </w:p>
        </w:tc>
        <w:tc>
          <w:tcPr>
            <w:tcW w:type="pct" w:w="82%"/>
            <w:shd w:fill="E8EDF3" w:val="clear"/>
            <w:tcMar>
              <w:top w:type="dxa" w:w="70"/>
              <w:left w:type="dxa" w:w="100"/>
              <w:bottom w:type="dxa" w:w="70"/>
              <w:right w:type="dxa" w:w="100"/>
            </w:tcMar>
            <w:vAlign w:val="center"/>
          </w:tcPr>
          <w:p>
            <w:pPr>
              <w:bidi/>
              <w:jc w:val="center"/>
            </w:pPr>
            <w:r>
              <w:rPr>
                <w:rFonts w:ascii="Times New Roman" w:cs="Traditional Arabic" w:hAnsi="Times New Roman"/>
                <w:b/>
                <w:bCs/>
                <w:i w:val="false"/>
                <w:iCs w:val="false"/>
                <w:color w:val="111111"/>
                <w:sz w:val="21"/>
                <w:szCs w:val="21"/>
                <w:rtl/>
              </w:rPr>
              <w:t xml:space="preserve">الوصف</w:t>
            </w:r>
          </w:p>
        </w:tc>
      </w:tr>
      <w:tr>
        <w:trPr>
          <w:cantSplit/>
        </w:trPr>
        <w:tc>
          <w:tcPr>
            <w:tcW w:type="pct" w:w="18%"/>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ID</w:t>
            </w:r>
          </w:p>
        </w:tc>
        <w:tc>
          <w:tcPr>
            <w:tcW w:type="pct" w:w="82%"/>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UC-01</w:t>
            </w:r>
          </w:p>
        </w:tc>
      </w:tr>
      <w:tr>
        <w:trPr>
          <w:cantSplit/>
        </w:trPr>
        <w:tc>
          <w:tcPr>
            <w:tcW w:type="pct" w:w="18%"/>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Name</w:t>
            </w:r>
          </w:p>
        </w:tc>
        <w:tc>
          <w:tcPr>
            <w:tcW w:type="pct" w:w="82%"/>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تقديم طلب شراء مع بوابة السلامة الدوائية (Place Order with CDSS Gate)</w:t>
            </w:r>
          </w:p>
        </w:tc>
      </w:tr>
      <w:tr>
        <w:trPr>
          <w:cantSplit/>
        </w:trPr>
        <w:tc>
          <w:tcPr>
            <w:tcW w:type="pct" w:w="18%"/>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Actor</w:t>
            </w:r>
          </w:p>
        </w:tc>
        <w:tc>
          <w:tcPr>
            <w:tcW w:type="pct" w:w="82%"/>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Customer</w:t>
            </w:r>
          </w:p>
        </w:tc>
      </w:tr>
      <w:tr>
        <w:trPr>
          <w:cantSplit/>
        </w:trPr>
        <w:tc>
          <w:tcPr>
            <w:tcW w:type="pct" w:w="18%"/>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Goal</w:t>
            </w:r>
          </w:p>
        </w:tc>
        <w:tc>
          <w:tcPr>
            <w:tcW w:type="pct" w:w="82%"/>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إتمام شراء أدوية بأمان سريري محقق آلياً</w:t>
            </w:r>
          </w:p>
        </w:tc>
      </w:tr>
      <w:tr>
        <w:trPr>
          <w:cantSplit/>
        </w:trPr>
        <w:tc>
          <w:tcPr>
            <w:tcW w:type="pct" w:w="18%"/>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Preconditions</w:t>
            </w:r>
          </w:p>
        </w:tc>
        <w:tc>
          <w:tcPr>
            <w:tcW w:type="pct" w:w="82%"/>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عميل مصادق؛ سلة تحتوي صنفاً واحداً على الأقل؛ الأصناف موجودة في D1 drugs</w:t>
            </w:r>
          </w:p>
        </w:tc>
      </w:tr>
      <w:tr>
        <w:trPr>
          <w:cantSplit/>
        </w:trPr>
        <w:tc>
          <w:tcPr>
            <w:tcW w:type="pct" w:w="18%"/>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Main Flow</w:t>
            </w:r>
          </w:p>
        </w:tc>
        <w:tc>
          <w:tcPr>
            <w:tcW w:type="pct" w:w="82%"/>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1) تصفح الكتالوج 2) إضافة للسلة 3) استدعاء check-duplicate-therapy وcheck-interactions 4) نجاح ⇒ إدخال كوبون اختياري 5) validate-coupon 6) تسجيل order + order_items 7) ترحيل قيد مزدوج 8) كتابة audit_logs</w:t>
            </w:r>
          </w:p>
        </w:tc>
      </w:tr>
      <w:tr>
        <w:trPr>
          <w:cantSplit/>
        </w:trPr>
        <w:tc>
          <w:tcPr>
            <w:tcW w:type="pct" w:w="18%"/>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Alternative Flow</w:t>
            </w:r>
          </w:p>
        </w:tc>
        <w:tc>
          <w:tcPr>
            <w:tcW w:type="pct" w:w="82%"/>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وجود كوبون منتهي/مستخدم ⇒ رفض مع reason (expired/already_used) والمتابعة بدون خصم</w:t>
            </w:r>
          </w:p>
        </w:tc>
      </w:tr>
      <w:tr>
        <w:trPr>
          <w:cantSplit/>
        </w:trPr>
        <w:tc>
          <w:tcPr>
            <w:tcW w:type="pct" w:w="18%"/>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Exception Flow</w:t>
            </w:r>
          </w:p>
        </w:tc>
        <w:tc>
          <w:tcPr>
            <w:tcW w:type="pct" w:w="82%"/>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تعارض high أو تكرار علاجي ⇒ حجب الطلب (hard stop) مع عرض البدائل المكافئة وsame_strength=false معطل الزر</w:t>
            </w:r>
          </w:p>
        </w:tc>
      </w:tr>
      <w:tr>
        <w:trPr>
          <w:cantSplit/>
        </w:trPr>
        <w:tc>
          <w:tcPr>
            <w:tcW w:type="pct" w:w="18%"/>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Postconditions</w:t>
            </w:r>
          </w:p>
        </w:tc>
        <w:tc>
          <w:tcPr>
            <w:tcW w:type="pct" w:w="82%"/>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طلب مسجل بحالة أولية، مخزون محجوز منطقياً، قيد متوازن، أثر audit</w:t>
            </w:r>
          </w:p>
        </w:tc>
      </w:tr>
      <w:tr>
        <w:trPr>
          <w:cantSplit/>
        </w:trPr>
        <w:tc>
          <w:tcPr>
            <w:tcW w:type="pct" w:w="18%"/>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Business Rules</w:t>
            </w:r>
          </w:p>
        </w:tc>
        <w:tc>
          <w:tcPr>
            <w:tcW w:type="pct" w:w="82%"/>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BR-02, BR-05, BR-06, BR-07, BR-11, BR-13</w:t>
            </w:r>
          </w:p>
        </w:tc>
      </w:tr>
      <w:tr>
        <w:trPr>
          <w:cantSplit/>
        </w:trPr>
        <w:tc>
          <w:tcPr>
            <w:tcW w:type="pct" w:w="18%"/>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Implementation Evidence</w:t>
            </w:r>
          </w:p>
        </w:tc>
        <w:tc>
          <w:tcPr>
            <w:tcW w:type="pct" w:w="82%"/>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drug/service.py:check_interactions/check_duplicate_therapy; agents/router.py validate-coupon; order domain</w:t>
            </w:r>
          </w:p>
        </w:tc>
      </w:tr>
    </w:tbl>
    <w:p>
      <w:pPr>
        <w:keepNext/>
        <w:bidi/>
        <w:spacing w:after="80" w:before="160"/>
        <w:jc w:val="right"/>
      </w:pPr>
      <w:r>
        <w:rPr>
          <w:rFonts w:ascii="Times New Roman" w:cs="Traditional Arabic" w:hAnsi="Times New Roman"/>
          <w:b/>
          <w:bCs/>
          <w:i w:val="false"/>
          <w:iCs w:val="false"/>
          <w:color w:val="000000"/>
          <w:sz w:val="22"/>
          <w:szCs w:val="22"/>
          <w:rtl/>
        </w:rPr>
        <w:t xml:space="preserve">جدول 6: </w:t>
      </w:r>
      <w:r>
        <w:rPr>
          <w:rFonts w:ascii="Times New Roman" w:cs="Traditional Arabic" w:hAnsi="Times New Roman"/>
          <w:b w:val="false"/>
          <w:i w:val="false"/>
          <w:iCs w:val="false"/>
          <w:color w:val="000000"/>
          <w:sz w:val="22"/>
          <w:szCs w:val="22"/>
          <w:rtl/>
        </w:rPr>
        <w:t xml:space="preserve">UC-02 — رفع روشتة يدوية ومعالجتها بالرؤية (Upload &amp; Process Prescription)</w:t>
      </w:r>
    </w:p>
    <w:tbl>
      <w:tblPr>
        <w:bidiVisual/>
        <w:tblW w:type="pct" w:w="100%"/>
        <w:tblBorders>
          <w:top w:val="single" w:color="9AA6B2" w:sz="6"/>
          <w:left w:val="none" w:color="FFFFFF" w:sz="0"/>
          <w:bottom w:val="single" w:color="9AA6B2" w:sz="6"/>
          <w:right w:val="none" w:color="FFFFFF" w:sz="0"/>
          <w:insideH w:val="single" w:color="D5DCE4" w:sz="2"/>
          <w:insideV w:val="single" w:color="D5DCE4" w:sz="2"/>
        </w:tblBorders>
      </w:tblPr>
      <w:tblGrid>
        <w:gridCol w:w="100"/>
        <w:gridCol w:w="100"/>
      </w:tblGrid>
      <w:tr>
        <w:trPr>
          <w:cantSplit/>
          <w:tblHeader/>
        </w:trPr>
        <w:tc>
          <w:tcPr>
            <w:tcW w:type="pct" w:w="18%"/>
            <w:shd w:fill="E8EDF3" w:val="clear"/>
            <w:tcMar>
              <w:top w:type="dxa" w:w="70"/>
              <w:left w:type="dxa" w:w="100"/>
              <w:bottom w:type="dxa" w:w="70"/>
              <w:right w:type="dxa" w:w="100"/>
            </w:tcMar>
            <w:vAlign w:val="center"/>
          </w:tcPr>
          <w:p>
            <w:pPr>
              <w:bidi/>
              <w:jc w:val="center"/>
            </w:pPr>
            <w:r>
              <w:rPr>
                <w:rFonts w:ascii="Times New Roman" w:cs="Traditional Arabic" w:hAnsi="Times New Roman"/>
                <w:b/>
                <w:bCs/>
                <w:i w:val="false"/>
                <w:iCs w:val="false"/>
                <w:color w:val="111111"/>
                <w:sz w:val="21"/>
                <w:szCs w:val="21"/>
                <w:rtl/>
              </w:rPr>
              <w:t xml:space="preserve">الحقل</w:t>
            </w:r>
          </w:p>
        </w:tc>
        <w:tc>
          <w:tcPr>
            <w:tcW w:type="pct" w:w="82%"/>
            <w:shd w:fill="E8EDF3" w:val="clear"/>
            <w:tcMar>
              <w:top w:type="dxa" w:w="70"/>
              <w:left w:type="dxa" w:w="100"/>
              <w:bottom w:type="dxa" w:w="70"/>
              <w:right w:type="dxa" w:w="100"/>
            </w:tcMar>
            <w:vAlign w:val="center"/>
          </w:tcPr>
          <w:p>
            <w:pPr>
              <w:bidi/>
              <w:jc w:val="center"/>
            </w:pPr>
            <w:r>
              <w:rPr>
                <w:rFonts w:ascii="Times New Roman" w:cs="Traditional Arabic" w:hAnsi="Times New Roman"/>
                <w:b/>
                <w:bCs/>
                <w:i w:val="false"/>
                <w:iCs w:val="false"/>
                <w:color w:val="111111"/>
                <w:sz w:val="21"/>
                <w:szCs w:val="21"/>
                <w:rtl/>
              </w:rPr>
              <w:t xml:space="preserve">الوصف</w:t>
            </w:r>
          </w:p>
        </w:tc>
      </w:tr>
      <w:tr>
        <w:trPr>
          <w:cantSplit/>
        </w:trPr>
        <w:tc>
          <w:tcPr>
            <w:tcW w:type="pct" w:w="18%"/>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ID</w:t>
            </w:r>
          </w:p>
        </w:tc>
        <w:tc>
          <w:tcPr>
            <w:tcW w:type="pct" w:w="82%"/>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UC-02</w:t>
            </w:r>
          </w:p>
        </w:tc>
      </w:tr>
      <w:tr>
        <w:trPr>
          <w:cantSplit/>
        </w:trPr>
        <w:tc>
          <w:tcPr>
            <w:tcW w:type="pct" w:w="18%"/>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Name</w:t>
            </w:r>
          </w:p>
        </w:tc>
        <w:tc>
          <w:tcPr>
            <w:tcW w:type="pct" w:w="82%"/>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رفع روشتة يدوية ومعالجتها بالرؤية (Upload &amp; Process Prescription)</w:t>
            </w:r>
          </w:p>
        </w:tc>
      </w:tr>
      <w:tr>
        <w:trPr>
          <w:cantSplit/>
        </w:trPr>
        <w:tc>
          <w:tcPr>
            <w:tcW w:type="pct" w:w="18%"/>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Actor</w:t>
            </w:r>
          </w:p>
        </w:tc>
        <w:tc>
          <w:tcPr>
            <w:tcW w:type="pct" w:w="82%"/>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Customer → Pharmacist</w:t>
            </w:r>
          </w:p>
        </w:tc>
      </w:tr>
      <w:tr>
        <w:trPr>
          <w:cantSplit/>
        </w:trPr>
        <w:tc>
          <w:tcPr>
            <w:tcW w:type="pct" w:w="18%"/>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Goal</w:t>
            </w:r>
          </w:p>
        </w:tc>
        <w:tc>
          <w:tcPr>
            <w:tcW w:type="pct" w:w="82%"/>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تحويل روشتة ورقية إلى سلة قابلة للصرف بأمان</w:t>
            </w:r>
          </w:p>
        </w:tc>
      </w:tr>
      <w:tr>
        <w:trPr>
          <w:cantSplit/>
        </w:trPr>
        <w:tc>
          <w:tcPr>
            <w:tcW w:type="pct" w:w="18%"/>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Preconditions</w:t>
            </w:r>
          </w:p>
        </w:tc>
        <w:tc>
          <w:tcPr>
            <w:tcW w:type="pct" w:w="82%"/>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صورة روشتة مقروءة؛ خدمة الرؤية (9202) تعمل</w:t>
            </w:r>
          </w:p>
        </w:tc>
      </w:tr>
      <w:tr>
        <w:trPr>
          <w:cantSplit/>
        </w:trPr>
        <w:tc>
          <w:tcPr>
            <w:tcW w:type="pct" w:w="18%"/>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Main Flow</w:t>
            </w:r>
          </w:p>
        </w:tc>
        <w:tc>
          <w:tcPr>
            <w:tcW w:type="pct" w:w="82%"/>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1) رفع الصورة 2) استخراج الأسماء والجرعات (TrOCR/Vision) 3) مطابقة ضبابية ≥65% مع الكتالوج 4) فحص المخزون والتعارضات 5) درجة أقل من العتبة ⇒ AI Review Queue 6) صيدلي يعتمد/يعدل 7) تحويل المتاح للسلة</w:t>
            </w:r>
          </w:p>
        </w:tc>
      </w:tr>
      <w:tr>
        <w:trPr>
          <w:cantSplit/>
        </w:trPr>
        <w:tc>
          <w:tcPr>
            <w:tcW w:type="pct" w:w="18%"/>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Alternative Flow</w:t>
            </w:r>
          </w:p>
        </w:tc>
        <w:tc>
          <w:tcPr>
            <w:tcW w:type="pct" w:w="82%"/>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دواء غير متوفر ⇒ بطاقة حمراء مع بدائل مكافئة بنفس المادة الفعالة</w:t>
            </w:r>
          </w:p>
        </w:tc>
      </w:tr>
      <w:tr>
        <w:trPr>
          <w:cantSplit/>
        </w:trPr>
        <w:tc>
          <w:tcPr>
            <w:tcW w:type="pct" w:w="18%"/>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Exception Flow</w:t>
            </w:r>
          </w:p>
        </w:tc>
        <w:tc>
          <w:tcPr>
            <w:tcW w:type="pct" w:w="82%"/>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صورة غير مقروءة أو تطابق تحت العتبة ⇒ توجيه لمراجعة بشرية إلزامياً (لا صرف آلي)</w:t>
            </w:r>
          </w:p>
        </w:tc>
      </w:tr>
      <w:tr>
        <w:trPr>
          <w:cantSplit/>
        </w:trPr>
        <w:tc>
          <w:tcPr>
            <w:tcW w:type="pct" w:w="18%"/>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Postconditions</w:t>
            </w:r>
          </w:p>
        </w:tc>
        <w:tc>
          <w:tcPr>
            <w:tcW w:type="pct" w:w="82%"/>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روشتة محللة موثقة (prescriptions + ocr_corrections) وسلة مقترحة</w:t>
            </w:r>
          </w:p>
        </w:tc>
      </w:tr>
      <w:tr>
        <w:trPr>
          <w:cantSplit/>
        </w:trPr>
        <w:tc>
          <w:tcPr>
            <w:tcW w:type="pct" w:w="18%"/>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Business Rules</w:t>
            </w:r>
          </w:p>
        </w:tc>
        <w:tc>
          <w:tcPr>
            <w:tcW w:type="pct" w:w="82%"/>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BR-04, BR-23</w:t>
            </w:r>
          </w:p>
        </w:tc>
      </w:tr>
      <w:tr>
        <w:trPr>
          <w:cantSplit/>
        </w:trPr>
        <w:tc>
          <w:tcPr>
            <w:tcW w:type="pct" w:w="18%"/>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Implementation Evidence</w:t>
            </w:r>
          </w:p>
        </w:tc>
        <w:tc>
          <w:tcPr>
            <w:tcW w:type="pct" w:w="82%"/>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prescriptions/vision.py, matching.py, corrections.py; admin/prescriptions/[id]/review</w:t>
            </w:r>
          </w:p>
        </w:tc>
      </w:tr>
    </w:tbl>
    <w:p>
      <w:pPr>
        <w:keepNext/>
        <w:bidi/>
        <w:spacing w:after="80" w:before="160"/>
        <w:jc w:val="right"/>
      </w:pPr>
      <w:r>
        <w:rPr>
          <w:rFonts w:ascii="Times New Roman" w:cs="Traditional Arabic" w:hAnsi="Times New Roman"/>
          <w:b/>
          <w:bCs/>
          <w:i w:val="false"/>
          <w:iCs w:val="false"/>
          <w:color w:val="000000"/>
          <w:sz w:val="22"/>
          <w:szCs w:val="22"/>
          <w:rtl/>
        </w:rPr>
        <w:t xml:space="preserve">جدول 7: </w:t>
      </w:r>
      <w:r>
        <w:rPr>
          <w:rFonts w:ascii="Times New Roman" w:cs="Traditional Arabic" w:hAnsi="Times New Roman"/>
          <w:b w:val="false"/>
          <w:i w:val="false"/>
          <w:iCs w:val="false"/>
          <w:color w:val="000000"/>
          <w:sz w:val="22"/>
          <w:szCs w:val="22"/>
          <w:rtl/>
        </w:rPr>
        <w:t xml:space="preserve">UC-03 — محادثة المساعد الصيدلي (Chat with AI Assistant — RAG)</w:t>
      </w:r>
    </w:p>
    <w:tbl>
      <w:tblPr>
        <w:bidiVisual/>
        <w:tblW w:type="pct" w:w="100%"/>
        <w:tblBorders>
          <w:top w:val="single" w:color="9AA6B2" w:sz="6"/>
          <w:left w:val="none" w:color="FFFFFF" w:sz="0"/>
          <w:bottom w:val="single" w:color="9AA6B2" w:sz="6"/>
          <w:right w:val="none" w:color="FFFFFF" w:sz="0"/>
          <w:insideH w:val="single" w:color="D5DCE4" w:sz="2"/>
          <w:insideV w:val="single" w:color="D5DCE4" w:sz="2"/>
        </w:tblBorders>
      </w:tblPr>
      <w:tblGrid>
        <w:gridCol w:w="100"/>
        <w:gridCol w:w="100"/>
      </w:tblGrid>
      <w:tr>
        <w:trPr>
          <w:cantSplit/>
          <w:tblHeader/>
        </w:trPr>
        <w:tc>
          <w:tcPr>
            <w:tcW w:type="pct" w:w="18%"/>
            <w:shd w:fill="E8EDF3" w:val="clear"/>
            <w:tcMar>
              <w:top w:type="dxa" w:w="70"/>
              <w:left w:type="dxa" w:w="100"/>
              <w:bottom w:type="dxa" w:w="70"/>
              <w:right w:type="dxa" w:w="100"/>
            </w:tcMar>
            <w:vAlign w:val="center"/>
          </w:tcPr>
          <w:p>
            <w:pPr>
              <w:bidi/>
              <w:jc w:val="center"/>
            </w:pPr>
            <w:r>
              <w:rPr>
                <w:rFonts w:ascii="Times New Roman" w:cs="Traditional Arabic" w:hAnsi="Times New Roman"/>
                <w:b/>
                <w:bCs/>
                <w:i w:val="false"/>
                <w:iCs w:val="false"/>
                <w:color w:val="111111"/>
                <w:sz w:val="21"/>
                <w:szCs w:val="21"/>
                <w:rtl/>
              </w:rPr>
              <w:t xml:space="preserve">الحقل</w:t>
            </w:r>
          </w:p>
        </w:tc>
        <w:tc>
          <w:tcPr>
            <w:tcW w:type="pct" w:w="82%"/>
            <w:shd w:fill="E8EDF3" w:val="clear"/>
            <w:tcMar>
              <w:top w:type="dxa" w:w="70"/>
              <w:left w:type="dxa" w:w="100"/>
              <w:bottom w:type="dxa" w:w="70"/>
              <w:right w:type="dxa" w:w="100"/>
            </w:tcMar>
            <w:vAlign w:val="center"/>
          </w:tcPr>
          <w:p>
            <w:pPr>
              <w:bidi/>
              <w:jc w:val="center"/>
            </w:pPr>
            <w:r>
              <w:rPr>
                <w:rFonts w:ascii="Times New Roman" w:cs="Traditional Arabic" w:hAnsi="Times New Roman"/>
                <w:b/>
                <w:bCs/>
                <w:i w:val="false"/>
                <w:iCs w:val="false"/>
                <w:color w:val="111111"/>
                <w:sz w:val="21"/>
                <w:szCs w:val="21"/>
                <w:rtl/>
              </w:rPr>
              <w:t xml:space="preserve">الوصف</w:t>
            </w:r>
          </w:p>
        </w:tc>
      </w:tr>
      <w:tr>
        <w:trPr>
          <w:cantSplit/>
        </w:trPr>
        <w:tc>
          <w:tcPr>
            <w:tcW w:type="pct" w:w="18%"/>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ID</w:t>
            </w:r>
          </w:p>
        </w:tc>
        <w:tc>
          <w:tcPr>
            <w:tcW w:type="pct" w:w="82%"/>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UC-03</w:t>
            </w:r>
          </w:p>
        </w:tc>
      </w:tr>
      <w:tr>
        <w:trPr>
          <w:cantSplit/>
        </w:trPr>
        <w:tc>
          <w:tcPr>
            <w:tcW w:type="pct" w:w="18%"/>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Name</w:t>
            </w:r>
          </w:p>
        </w:tc>
        <w:tc>
          <w:tcPr>
            <w:tcW w:type="pct" w:w="82%"/>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محادثة المساعد الصيدلي (Chat with AI Assistant — RAG)</w:t>
            </w:r>
          </w:p>
        </w:tc>
      </w:tr>
      <w:tr>
        <w:trPr>
          <w:cantSplit/>
        </w:trPr>
        <w:tc>
          <w:tcPr>
            <w:tcW w:type="pct" w:w="18%"/>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Actor</w:t>
            </w:r>
          </w:p>
        </w:tc>
        <w:tc>
          <w:tcPr>
            <w:tcW w:type="pct" w:w="82%"/>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Customer / Admin</w:t>
            </w:r>
          </w:p>
        </w:tc>
      </w:tr>
      <w:tr>
        <w:trPr>
          <w:cantSplit/>
        </w:trPr>
        <w:tc>
          <w:tcPr>
            <w:tcW w:type="pct" w:w="18%"/>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Goal</w:t>
            </w:r>
          </w:p>
        </w:tc>
        <w:tc>
          <w:tcPr>
            <w:tcW w:type="pct" w:w="82%"/>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إجابة مؤصلة صفرية-الهلوسة الرقمية على أسئلة دوائية وتجارية</w:t>
            </w:r>
          </w:p>
        </w:tc>
      </w:tr>
      <w:tr>
        <w:trPr>
          <w:cantSplit/>
        </w:trPr>
        <w:tc>
          <w:tcPr>
            <w:tcW w:type="pct" w:w="18%"/>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Preconditions</w:t>
            </w:r>
          </w:p>
        </w:tc>
        <w:tc>
          <w:tcPr>
            <w:tcW w:type="pct" w:w="82%"/>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جلسة موقعة HMAC؛ خدمة Ollama متاحة (وإلا سحابة منقّى)</w:t>
            </w:r>
          </w:p>
        </w:tc>
      </w:tr>
      <w:tr>
        <w:trPr>
          <w:cantSplit/>
        </w:trPr>
        <w:tc>
          <w:tcPr>
            <w:tcW w:type="pct" w:w="18%"/>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Main Flow</w:t>
            </w:r>
          </w:p>
        </w:tc>
        <w:tc>
          <w:tcPr>
            <w:tcW w:type="pct" w:w="82%"/>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1) إرسال السؤال 2) تنقية وفحص حقن 3) استرجاع متوازٍ (vector/lexical/DDI/intent) 4) دمج 60/40 وبوابة نطاق 5) محركات حتمية (معرفة/كتالوج/حساب) إن كفت 6) وإلا tiered LLM 7) تنظيف + شارة ثقة 8) SSE للعميل وتسجيل ai_chat_logs</w:t>
            </w:r>
          </w:p>
        </w:tc>
      </w:tr>
      <w:tr>
        <w:trPr>
          <w:cantSplit/>
        </w:trPr>
        <w:tc>
          <w:tcPr>
            <w:tcW w:type="pct" w:w="18%"/>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Alternative Flow</w:t>
            </w:r>
          </w:p>
        </w:tc>
        <w:tc>
          <w:tcPr>
            <w:tcW w:type="pct" w:w="82%"/>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سؤال طوارئ ⇒ توقف صامت لكل المعالجة + رد إخلاء مسؤولية + تنبيه n8n فوري (debounce 60ث)</w:t>
            </w:r>
          </w:p>
        </w:tc>
      </w:tr>
      <w:tr>
        <w:trPr>
          <w:cantSplit/>
        </w:trPr>
        <w:tc>
          <w:tcPr>
            <w:tcW w:type="pct" w:w="18%"/>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Exception Flow</w:t>
            </w:r>
          </w:p>
        </w:tc>
        <w:tc>
          <w:tcPr>
            <w:tcW w:type="pct" w:w="82%"/>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فشل كل المستويات ⇒ Context-Only Fallback بصياغة اعتذارية موثقة</w:t>
            </w:r>
          </w:p>
        </w:tc>
      </w:tr>
      <w:tr>
        <w:trPr>
          <w:cantSplit/>
        </w:trPr>
        <w:tc>
          <w:tcPr>
            <w:tcW w:type="pct" w:w="18%"/>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Postconditions</w:t>
            </w:r>
          </w:p>
        </w:tc>
        <w:tc>
          <w:tcPr>
            <w:tcW w:type="pct" w:w="82%"/>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رد موثق بمصدره وشارة ثقته ومخاطر الهلوسة في quality_metrics</w:t>
            </w:r>
          </w:p>
        </w:tc>
      </w:tr>
      <w:tr>
        <w:trPr>
          <w:cantSplit/>
        </w:trPr>
        <w:tc>
          <w:tcPr>
            <w:tcW w:type="pct" w:w="18%"/>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Business Rules</w:t>
            </w:r>
          </w:p>
        </w:tc>
        <w:tc>
          <w:tcPr>
            <w:tcW w:type="pct" w:w="82%"/>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BR-19, BR-23, BR-26, NFR-03</w:t>
            </w:r>
          </w:p>
        </w:tc>
      </w:tr>
      <w:tr>
        <w:trPr>
          <w:cantSplit/>
        </w:trPr>
        <w:tc>
          <w:tcPr>
            <w:tcW w:type="pct" w:w="18%"/>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Implementation Evidence</w:t>
            </w:r>
          </w:p>
        </w:tc>
        <w:tc>
          <w:tcPr>
            <w:tcW w:type="pct" w:w="82%"/>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ai/service.py:generate_ai_response; llm_engine.py:execute_tiered_llm</w:t>
            </w:r>
          </w:p>
        </w:tc>
      </w:tr>
    </w:tbl>
    <w:p>
      <w:pPr>
        <w:keepNext/>
        <w:bidi/>
        <w:spacing w:after="80" w:before="160"/>
        <w:jc w:val="right"/>
      </w:pPr>
      <w:r>
        <w:rPr>
          <w:rFonts w:ascii="Times New Roman" w:cs="Traditional Arabic" w:hAnsi="Times New Roman"/>
          <w:b/>
          <w:bCs/>
          <w:i w:val="false"/>
          <w:iCs w:val="false"/>
          <w:color w:val="000000"/>
          <w:sz w:val="22"/>
          <w:szCs w:val="22"/>
          <w:rtl/>
        </w:rPr>
        <w:t xml:space="preserve">جدول 8: </w:t>
      </w:r>
      <w:r>
        <w:rPr>
          <w:rFonts w:ascii="Times New Roman" w:cs="Traditional Arabic" w:hAnsi="Times New Roman"/>
          <w:b w:val="false"/>
          <w:i w:val="false"/>
          <w:iCs w:val="false"/>
          <w:color w:val="000000"/>
          <w:sz w:val="22"/>
          <w:szCs w:val="22"/>
          <w:rtl/>
        </w:rPr>
        <w:t xml:space="preserve">UC-04 — قرار تسعير/خصم بمحرك مصرفي (Run Pricing Decision)</w:t>
      </w:r>
    </w:p>
    <w:tbl>
      <w:tblPr>
        <w:bidiVisual/>
        <w:tblW w:type="pct" w:w="100%"/>
        <w:tblBorders>
          <w:top w:val="single" w:color="9AA6B2" w:sz="6"/>
          <w:left w:val="none" w:color="FFFFFF" w:sz="0"/>
          <w:bottom w:val="single" w:color="9AA6B2" w:sz="6"/>
          <w:right w:val="none" w:color="FFFFFF" w:sz="0"/>
          <w:insideH w:val="single" w:color="D5DCE4" w:sz="2"/>
          <w:insideV w:val="single" w:color="D5DCE4" w:sz="2"/>
        </w:tblBorders>
      </w:tblPr>
      <w:tblGrid>
        <w:gridCol w:w="100"/>
        <w:gridCol w:w="100"/>
      </w:tblGrid>
      <w:tr>
        <w:trPr>
          <w:cantSplit/>
          <w:tblHeader/>
        </w:trPr>
        <w:tc>
          <w:tcPr>
            <w:tcW w:type="pct" w:w="18%"/>
            <w:shd w:fill="E8EDF3" w:val="clear"/>
            <w:tcMar>
              <w:top w:type="dxa" w:w="70"/>
              <w:left w:type="dxa" w:w="100"/>
              <w:bottom w:type="dxa" w:w="70"/>
              <w:right w:type="dxa" w:w="100"/>
            </w:tcMar>
            <w:vAlign w:val="center"/>
          </w:tcPr>
          <w:p>
            <w:pPr>
              <w:bidi/>
              <w:jc w:val="center"/>
            </w:pPr>
            <w:r>
              <w:rPr>
                <w:rFonts w:ascii="Times New Roman" w:cs="Traditional Arabic" w:hAnsi="Times New Roman"/>
                <w:b/>
                <w:bCs/>
                <w:i w:val="false"/>
                <w:iCs w:val="false"/>
                <w:color w:val="111111"/>
                <w:sz w:val="21"/>
                <w:szCs w:val="21"/>
                <w:rtl/>
              </w:rPr>
              <w:t xml:space="preserve">الحقل</w:t>
            </w:r>
          </w:p>
        </w:tc>
        <w:tc>
          <w:tcPr>
            <w:tcW w:type="pct" w:w="82%"/>
            <w:shd w:fill="E8EDF3" w:val="clear"/>
            <w:tcMar>
              <w:top w:type="dxa" w:w="70"/>
              <w:left w:type="dxa" w:w="100"/>
              <w:bottom w:type="dxa" w:w="70"/>
              <w:right w:type="dxa" w:w="100"/>
            </w:tcMar>
            <w:vAlign w:val="center"/>
          </w:tcPr>
          <w:p>
            <w:pPr>
              <w:bidi/>
              <w:jc w:val="center"/>
            </w:pPr>
            <w:r>
              <w:rPr>
                <w:rFonts w:ascii="Times New Roman" w:cs="Traditional Arabic" w:hAnsi="Times New Roman"/>
                <w:b/>
                <w:bCs/>
                <w:i w:val="false"/>
                <w:iCs w:val="false"/>
                <w:color w:val="111111"/>
                <w:sz w:val="21"/>
                <w:szCs w:val="21"/>
                <w:rtl/>
              </w:rPr>
              <w:t xml:space="preserve">الوصف</w:t>
            </w:r>
          </w:p>
        </w:tc>
      </w:tr>
      <w:tr>
        <w:trPr>
          <w:cantSplit/>
        </w:trPr>
        <w:tc>
          <w:tcPr>
            <w:tcW w:type="pct" w:w="18%"/>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ID</w:t>
            </w:r>
          </w:p>
        </w:tc>
        <w:tc>
          <w:tcPr>
            <w:tcW w:type="pct" w:w="82%"/>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UC-04</w:t>
            </w:r>
          </w:p>
        </w:tc>
      </w:tr>
      <w:tr>
        <w:trPr>
          <w:cantSplit/>
        </w:trPr>
        <w:tc>
          <w:tcPr>
            <w:tcW w:type="pct" w:w="18%"/>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Name</w:t>
            </w:r>
          </w:p>
        </w:tc>
        <w:tc>
          <w:tcPr>
            <w:tcW w:type="pct" w:w="82%"/>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قرار تسعير/خصم بمحرك مصرفي (Run Pricing Decision)</w:t>
            </w:r>
          </w:p>
        </w:tc>
      </w:tr>
      <w:tr>
        <w:trPr>
          <w:cantSplit/>
        </w:trPr>
        <w:tc>
          <w:tcPr>
            <w:tcW w:type="pct" w:w="18%"/>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Actor</w:t>
            </w:r>
          </w:p>
        </w:tc>
        <w:tc>
          <w:tcPr>
            <w:tcW w:type="pct" w:w="82%"/>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Admin</w:t>
            </w:r>
          </w:p>
        </w:tc>
      </w:tr>
      <w:tr>
        <w:trPr>
          <w:cantSplit/>
        </w:trPr>
        <w:tc>
          <w:tcPr>
            <w:tcW w:type="pct" w:w="18%"/>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Goal</w:t>
            </w:r>
          </w:p>
        </w:tc>
        <w:tc>
          <w:tcPr>
            <w:tcW w:type="pct" w:w="82%"/>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نسبة خصم تزيد الاحتفاظ دون خرق الهامش الصافي</w:t>
            </w:r>
          </w:p>
        </w:tc>
      </w:tr>
      <w:tr>
        <w:trPr>
          <w:cantSplit/>
        </w:trPr>
        <w:tc>
          <w:tcPr>
            <w:tcW w:type="pct" w:w="18%"/>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Preconditions</w:t>
            </w:r>
          </w:p>
        </w:tc>
        <w:tc>
          <w:tcPr>
            <w:tcW w:type="pct" w:w="82%"/>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عميل محدد؛ بيانات طلبات حقيقية في القاعدة</w:t>
            </w:r>
          </w:p>
        </w:tc>
      </w:tr>
      <w:tr>
        <w:trPr>
          <w:cantSplit/>
        </w:trPr>
        <w:tc>
          <w:tcPr>
            <w:tcW w:type="pct" w:w="18%"/>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Main Flow</w:t>
            </w:r>
          </w:p>
        </w:tc>
        <w:tc>
          <w:tcPr>
            <w:tcW w:type="pct" w:w="82%"/>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1) إدخال العميل/السياق 2) حساب AOV وهامش الفئة 3) CLV وexpected profit loss 4) بوابة الجدوى 5) صياغة LLM للتبرير 6) فرض السقوف حتمياً بعد الرد 7) حساب ROI من المحرك</w:t>
            </w:r>
          </w:p>
        </w:tc>
      </w:tr>
      <w:tr>
        <w:trPr>
          <w:cantSplit/>
        </w:trPr>
        <w:tc>
          <w:tcPr>
            <w:tcW w:type="pct" w:w="18%"/>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Alternative Flow</w:t>
            </w:r>
          </w:p>
        </w:tc>
        <w:tc>
          <w:tcPr>
            <w:tcW w:type="pct" w:w="82%"/>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عميل عالي القيمة وخطر مرتفع ⇒ خصم ضمن السقف بتكلفة &lt; نصف ربح الطلب</w:t>
            </w:r>
          </w:p>
        </w:tc>
      </w:tr>
      <w:tr>
        <w:trPr>
          <w:cantSplit/>
        </w:trPr>
        <w:tc>
          <w:tcPr>
            <w:tcW w:type="pct" w:w="18%"/>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Exception Flow</w:t>
            </w:r>
          </w:p>
        </w:tc>
        <w:tc>
          <w:tcPr>
            <w:tcW w:type="pct" w:w="82%"/>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عميل غير مربح (صافي &lt; 15ج أو خسارة متوقعة &lt; 25ج) ⇒ خصم 0% وقرار abandon موثق</w:t>
            </w:r>
          </w:p>
        </w:tc>
      </w:tr>
      <w:tr>
        <w:trPr>
          <w:cantSplit/>
        </w:trPr>
        <w:tc>
          <w:tcPr>
            <w:tcW w:type="pct" w:w="18%"/>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Postconditions</w:t>
            </w:r>
          </w:p>
        </w:tc>
        <w:tc>
          <w:tcPr>
            <w:tcW w:type="pct" w:w="82%"/>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قرار خصم مبرر بالأرقام مع ROI من المحرك فقط</w:t>
            </w:r>
          </w:p>
        </w:tc>
      </w:tr>
      <w:tr>
        <w:trPr>
          <w:cantSplit/>
        </w:trPr>
        <w:tc>
          <w:tcPr>
            <w:tcW w:type="pct" w:w="18%"/>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Business Rules</w:t>
            </w:r>
          </w:p>
        </w:tc>
        <w:tc>
          <w:tcPr>
            <w:tcW w:type="pct" w:w="82%"/>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BR-01, BR-02, BR-03</w:t>
            </w:r>
          </w:p>
        </w:tc>
      </w:tr>
      <w:tr>
        <w:trPr>
          <w:cantSplit/>
        </w:trPr>
        <w:tc>
          <w:tcPr>
            <w:tcW w:type="pct" w:w="18%"/>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Implementation Evidence</w:t>
            </w:r>
          </w:p>
        </w:tc>
        <w:tc>
          <w:tcPr>
            <w:tcW w:type="pct" w:w="82%"/>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agents/pricing.py:calculate_pricing_discount</w:t>
            </w:r>
          </w:p>
        </w:tc>
      </w:tr>
    </w:tbl>
    <w:p>
      <w:pPr>
        <w:keepNext/>
        <w:bidi/>
        <w:spacing w:after="80" w:before="160"/>
        <w:jc w:val="right"/>
      </w:pPr>
      <w:r>
        <w:rPr>
          <w:rFonts w:ascii="Times New Roman" w:cs="Traditional Arabic" w:hAnsi="Times New Roman"/>
          <w:b/>
          <w:bCs/>
          <w:i w:val="false"/>
          <w:iCs w:val="false"/>
          <w:color w:val="000000"/>
          <w:sz w:val="22"/>
          <w:szCs w:val="22"/>
          <w:rtl/>
        </w:rPr>
        <w:t xml:space="preserve">جدول 9: </w:t>
      </w:r>
      <w:r>
        <w:rPr>
          <w:rFonts w:ascii="Times New Roman" w:cs="Traditional Arabic" w:hAnsi="Times New Roman"/>
          <w:b w:val="false"/>
          <w:i w:val="false"/>
          <w:iCs w:val="false"/>
          <w:color w:val="000000"/>
          <w:sz w:val="22"/>
          <w:szCs w:val="22"/>
          <w:rtl/>
        </w:rPr>
        <w:t xml:space="preserve">UC-05 — اعتماد قرار تنفيذي من استخبارات السوق (Approve Market Action — Maker-Checker)</w:t>
      </w:r>
    </w:p>
    <w:tbl>
      <w:tblPr>
        <w:bidiVisual/>
        <w:tblW w:type="pct" w:w="100%"/>
        <w:tblBorders>
          <w:top w:val="single" w:color="9AA6B2" w:sz="6"/>
          <w:left w:val="none" w:color="FFFFFF" w:sz="0"/>
          <w:bottom w:val="single" w:color="9AA6B2" w:sz="6"/>
          <w:right w:val="none" w:color="FFFFFF" w:sz="0"/>
          <w:insideH w:val="single" w:color="D5DCE4" w:sz="2"/>
          <w:insideV w:val="single" w:color="D5DCE4" w:sz="2"/>
        </w:tblBorders>
      </w:tblPr>
      <w:tblGrid>
        <w:gridCol w:w="100"/>
        <w:gridCol w:w="100"/>
      </w:tblGrid>
      <w:tr>
        <w:trPr>
          <w:cantSplit/>
          <w:tblHeader/>
        </w:trPr>
        <w:tc>
          <w:tcPr>
            <w:tcW w:type="pct" w:w="18%"/>
            <w:shd w:fill="E8EDF3" w:val="clear"/>
            <w:tcMar>
              <w:top w:type="dxa" w:w="70"/>
              <w:left w:type="dxa" w:w="100"/>
              <w:bottom w:type="dxa" w:w="70"/>
              <w:right w:type="dxa" w:w="100"/>
            </w:tcMar>
            <w:vAlign w:val="center"/>
          </w:tcPr>
          <w:p>
            <w:pPr>
              <w:bidi/>
              <w:jc w:val="center"/>
            </w:pPr>
            <w:r>
              <w:rPr>
                <w:rFonts w:ascii="Times New Roman" w:cs="Traditional Arabic" w:hAnsi="Times New Roman"/>
                <w:b/>
                <w:bCs/>
                <w:i w:val="false"/>
                <w:iCs w:val="false"/>
                <w:color w:val="111111"/>
                <w:sz w:val="21"/>
                <w:szCs w:val="21"/>
                <w:rtl/>
              </w:rPr>
              <w:t xml:space="preserve">الحقل</w:t>
            </w:r>
          </w:p>
        </w:tc>
        <w:tc>
          <w:tcPr>
            <w:tcW w:type="pct" w:w="82%"/>
            <w:shd w:fill="E8EDF3" w:val="clear"/>
            <w:tcMar>
              <w:top w:type="dxa" w:w="70"/>
              <w:left w:type="dxa" w:w="100"/>
              <w:bottom w:type="dxa" w:w="70"/>
              <w:right w:type="dxa" w:w="100"/>
            </w:tcMar>
            <w:vAlign w:val="center"/>
          </w:tcPr>
          <w:p>
            <w:pPr>
              <w:bidi/>
              <w:jc w:val="center"/>
            </w:pPr>
            <w:r>
              <w:rPr>
                <w:rFonts w:ascii="Times New Roman" w:cs="Traditional Arabic" w:hAnsi="Times New Roman"/>
                <w:b/>
                <w:bCs/>
                <w:i w:val="false"/>
                <w:iCs w:val="false"/>
                <w:color w:val="111111"/>
                <w:sz w:val="21"/>
                <w:szCs w:val="21"/>
                <w:rtl/>
              </w:rPr>
              <w:t xml:space="preserve">الوصف</w:t>
            </w:r>
          </w:p>
        </w:tc>
      </w:tr>
      <w:tr>
        <w:trPr>
          <w:cantSplit/>
        </w:trPr>
        <w:tc>
          <w:tcPr>
            <w:tcW w:type="pct" w:w="18%"/>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ID</w:t>
            </w:r>
          </w:p>
        </w:tc>
        <w:tc>
          <w:tcPr>
            <w:tcW w:type="pct" w:w="82%"/>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UC-05</w:t>
            </w:r>
          </w:p>
        </w:tc>
      </w:tr>
      <w:tr>
        <w:trPr>
          <w:cantSplit/>
        </w:trPr>
        <w:tc>
          <w:tcPr>
            <w:tcW w:type="pct" w:w="18%"/>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Name</w:t>
            </w:r>
          </w:p>
        </w:tc>
        <w:tc>
          <w:tcPr>
            <w:tcW w:type="pct" w:w="82%"/>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اعتماد قرار تنفيذي من استخبارات السوق (Approve Market Action — Maker-Checker)</w:t>
            </w:r>
          </w:p>
        </w:tc>
      </w:tr>
      <w:tr>
        <w:trPr>
          <w:cantSplit/>
        </w:trPr>
        <w:tc>
          <w:tcPr>
            <w:tcW w:type="pct" w:w="18%"/>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Actor</w:t>
            </w:r>
          </w:p>
        </w:tc>
        <w:tc>
          <w:tcPr>
            <w:tcW w:type="pct" w:w="82%"/>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Admin (Maker) + Admin (Checker)</w:t>
            </w:r>
          </w:p>
        </w:tc>
      </w:tr>
      <w:tr>
        <w:trPr>
          <w:cantSplit/>
        </w:trPr>
        <w:tc>
          <w:tcPr>
            <w:tcW w:type="pct" w:w="18%"/>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Goal</w:t>
            </w:r>
          </w:p>
        </w:tc>
        <w:tc>
          <w:tcPr>
            <w:tcW w:type="pct" w:w="82%"/>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تنفيذ أفعال حرجة (حجر/شراء/تذكير) بتحقق بشري مزدوج</w:t>
            </w:r>
          </w:p>
        </w:tc>
      </w:tr>
      <w:tr>
        <w:trPr>
          <w:cantSplit/>
        </w:trPr>
        <w:tc>
          <w:tcPr>
            <w:tcW w:type="pct" w:w="18%"/>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Preconditions</w:t>
            </w:r>
          </w:p>
        </w:tc>
        <w:tc>
          <w:tcPr>
            <w:tcW w:type="pct" w:w="82%"/>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إشارة سوق مقترحة بحالة PENDING_APPROVAL؛ معتمدان بحسابين مختلفين</w:t>
            </w:r>
          </w:p>
        </w:tc>
      </w:tr>
      <w:tr>
        <w:trPr>
          <w:cantSplit/>
        </w:trPr>
        <w:tc>
          <w:tcPr>
            <w:tcW w:type="pct" w:w="18%"/>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Main Flow</w:t>
            </w:r>
          </w:p>
        </w:tc>
        <w:tc>
          <w:tcPr>
            <w:tcW w:type="pct" w:w="82%"/>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1) Maker يعتمد ⇒ AWAITING_SECOND_APPROVAL + توقيع WORM ‏(MI-CHK) 2) Checker مختلف يعتمد 3) تنفيذ مادي (خصم مخزون/أمر شراء/تذكير) 4) audit + WORM نهائي 5) إشعار n8n بعد الالتزام</w:t>
            </w:r>
          </w:p>
        </w:tc>
      </w:tr>
      <w:tr>
        <w:trPr>
          <w:cantSplit/>
        </w:trPr>
        <w:tc>
          <w:tcPr>
            <w:tcW w:type="pct" w:w="18%"/>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Alternative Flow</w:t>
            </w:r>
          </w:p>
        </w:tc>
        <w:tc>
          <w:tcPr>
            <w:tcW w:type="pct" w:w="82%"/>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إشارة نُفذت سابقاً بنفس المعرف ⇒ idempotency guard يوثق دون تكرار مادي</w:t>
            </w:r>
          </w:p>
        </w:tc>
      </w:tr>
      <w:tr>
        <w:trPr>
          <w:cantSplit/>
        </w:trPr>
        <w:tc>
          <w:tcPr>
            <w:tcW w:type="pct" w:w="18%"/>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Exception Flow</w:t>
            </w:r>
          </w:p>
        </w:tc>
        <w:tc>
          <w:tcPr>
            <w:tcW w:type="pct" w:w="82%"/>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نفس المستخدم يحاول الاعتمادين ⇒ 409 Conflict ؛ رفض قرار منفذ ⇒ 409</w:t>
            </w:r>
          </w:p>
        </w:tc>
      </w:tr>
      <w:tr>
        <w:trPr>
          <w:cantSplit/>
        </w:trPr>
        <w:tc>
          <w:tcPr>
            <w:tcW w:type="pct" w:w="18%"/>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Postconditions</w:t>
            </w:r>
          </w:p>
        </w:tc>
        <w:tc>
          <w:tcPr>
            <w:tcW w:type="pct" w:w="82%"/>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أفعال منفذة موقعة WORM بحقل maker/checker في execution_result</w:t>
            </w:r>
          </w:p>
        </w:tc>
      </w:tr>
      <w:tr>
        <w:trPr>
          <w:cantSplit/>
        </w:trPr>
        <w:tc>
          <w:tcPr>
            <w:tcW w:type="pct" w:w="18%"/>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Business Rules</w:t>
            </w:r>
          </w:p>
        </w:tc>
        <w:tc>
          <w:tcPr>
            <w:tcW w:type="pct" w:w="82%"/>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BR-17, BR-18, BR-20</w:t>
            </w:r>
          </w:p>
        </w:tc>
      </w:tr>
      <w:tr>
        <w:trPr>
          <w:cantSplit/>
        </w:trPr>
        <w:tc>
          <w:tcPr>
            <w:tcW w:type="pct" w:w="18%"/>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Implementation Evidence</w:t>
            </w:r>
          </w:p>
        </w:tc>
        <w:tc>
          <w:tcPr>
            <w:tcW w:type="pct" w:w="82%"/>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agents/market_intelligence.py:approve_and_execute_action</w:t>
            </w:r>
          </w:p>
        </w:tc>
      </w:tr>
    </w:tbl>
    <w:p>
      <w:pPr>
        <w:keepNext/>
        <w:bidi/>
        <w:spacing w:after="80" w:before="160"/>
        <w:jc w:val="right"/>
      </w:pPr>
      <w:r>
        <w:rPr>
          <w:rFonts w:ascii="Times New Roman" w:cs="Traditional Arabic" w:hAnsi="Times New Roman"/>
          <w:b/>
          <w:bCs/>
          <w:i w:val="false"/>
          <w:iCs w:val="false"/>
          <w:color w:val="000000"/>
          <w:sz w:val="22"/>
          <w:szCs w:val="22"/>
          <w:rtl/>
        </w:rPr>
        <w:t xml:space="preserve">جدول 10: </w:t>
      </w:r>
      <w:r>
        <w:rPr>
          <w:rFonts w:ascii="Times New Roman" w:cs="Traditional Arabic" w:hAnsi="Times New Roman"/>
          <w:b w:val="false"/>
          <w:i w:val="false"/>
          <w:iCs w:val="false"/>
          <w:color w:val="000000"/>
          <w:sz w:val="22"/>
          <w:szCs w:val="22"/>
          <w:rtl/>
        </w:rPr>
        <w:t xml:space="preserve">UC-06 — تشغيل الأتمتة وقياسها (Trigger n8n Automation)</w:t>
      </w:r>
    </w:p>
    <w:tbl>
      <w:tblPr>
        <w:bidiVisual/>
        <w:tblW w:type="pct" w:w="100%"/>
        <w:tblBorders>
          <w:top w:val="single" w:color="9AA6B2" w:sz="6"/>
          <w:left w:val="none" w:color="FFFFFF" w:sz="0"/>
          <w:bottom w:val="single" w:color="9AA6B2" w:sz="6"/>
          <w:right w:val="none" w:color="FFFFFF" w:sz="0"/>
          <w:insideH w:val="single" w:color="D5DCE4" w:sz="2"/>
          <w:insideV w:val="single" w:color="D5DCE4" w:sz="2"/>
        </w:tblBorders>
      </w:tblPr>
      <w:tblGrid>
        <w:gridCol w:w="100"/>
        <w:gridCol w:w="100"/>
      </w:tblGrid>
      <w:tr>
        <w:trPr>
          <w:cantSplit/>
          <w:tblHeader/>
        </w:trPr>
        <w:tc>
          <w:tcPr>
            <w:tcW w:type="pct" w:w="18%"/>
            <w:shd w:fill="E8EDF3" w:val="clear"/>
            <w:tcMar>
              <w:top w:type="dxa" w:w="70"/>
              <w:left w:type="dxa" w:w="100"/>
              <w:bottom w:type="dxa" w:w="70"/>
              <w:right w:type="dxa" w:w="100"/>
            </w:tcMar>
            <w:vAlign w:val="center"/>
          </w:tcPr>
          <w:p>
            <w:pPr>
              <w:bidi/>
              <w:jc w:val="center"/>
            </w:pPr>
            <w:r>
              <w:rPr>
                <w:rFonts w:ascii="Times New Roman" w:cs="Traditional Arabic" w:hAnsi="Times New Roman"/>
                <w:b/>
                <w:bCs/>
                <w:i w:val="false"/>
                <w:iCs w:val="false"/>
                <w:color w:val="111111"/>
                <w:sz w:val="21"/>
                <w:szCs w:val="21"/>
                <w:rtl/>
              </w:rPr>
              <w:t xml:space="preserve">الحقل</w:t>
            </w:r>
          </w:p>
        </w:tc>
        <w:tc>
          <w:tcPr>
            <w:tcW w:type="pct" w:w="82%"/>
            <w:shd w:fill="E8EDF3" w:val="clear"/>
            <w:tcMar>
              <w:top w:type="dxa" w:w="70"/>
              <w:left w:type="dxa" w:w="100"/>
              <w:bottom w:type="dxa" w:w="70"/>
              <w:right w:type="dxa" w:w="100"/>
            </w:tcMar>
            <w:vAlign w:val="center"/>
          </w:tcPr>
          <w:p>
            <w:pPr>
              <w:bidi/>
              <w:jc w:val="center"/>
            </w:pPr>
            <w:r>
              <w:rPr>
                <w:rFonts w:ascii="Times New Roman" w:cs="Traditional Arabic" w:hAnsi="Times New Roman"/>
                <w:b/>
                <w:bCs/>
                <w:i w:val="false"/>
                <w:iCs w:val="false"/>
                <w:color w:val="111111"/>
                <w:sz w:val="21"/>
                <w:szCs w:val="21"/>
                <w:rtl/>
              </w:rPr>
              <w:t xml:space="preserve">الوصف</w:t>
            </w:r>
          </w:p>
        </w:tc>
      </w:tr>
      <w:tr>
        <w:trPr>
          <w:cantSplit/>
        </w:trPr>
        <w:tc>
          <w:tcPr>
            <w:tcW w:type="pct" w:w="18%"/>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ID</w:t>
            </w:r>
          </w:p>
        </w:tc>
        <w:tc>
          <w:tcPr>
            <w:tcW w:type="pct" w:w="82%"/>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UC-06</w:t>
            </w:r>
          </w:p>
        </w:tc>
      </w:tr>
      <w:tr>
        <w:trPr>
          <w:cantSplit/>
        </w:trPr>
        <w:tc>
          <w:tcPr>
            <w:tcW w:type="pct" w:w="18%"/>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Name</w:t>
            </w:r>
          </w:p>
        </w:tc>
        <w:tc>
          <w:tcPr>
            <w:tcW w:type="pct" w:w="82%"/>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تشغيل الأتمتة وقياسها (Trigger n8n Automation)</w:t>
            </w:r>
          </w:p>
        </w:tc>
      </w:tr>
      <w:tr>
        <w:trPr>
          <w:cantSplit/>
        </w:trPr>
        <w:tc>
          <w:tcPr>
            <w:tcW w:type="pct" w:w="18%"/>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Actor</w:t>
            </w:r>
          </w:p>
        </w:tc>
        <w:tc>
          <w:tcPr>
            <w:tcW w:type="pct" w:w="82%"/>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Admin / System (agents)</w:t>
            </w:r>
          </w:p>
        </w:tc>
      </w:tr>
      <w:tr>
        <w:trPr>
          <w:cantSplit/>
        </w:trPr>
        <w:tc>
          <w:tcPr>
            <w:tcW w:type="pct" w:w="18%"/>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Goal</w:t>
            </w:r>
          </w:p>
        </w:tc>
        <w:tc>
          <w:tcPr>
            <w:tcW w:type="pct" w:w="82%"/>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إرسال تذكير/تنبيه خارجي مع قياس مغلق للنجاح</w:t>
            </w:r>
          </w:p>
        </w:tc>
      </w:tr>
      <w:tr>
        <w:trPr>
          <w:cantSplit/>
        </w:trPr>
        <w:tc>
          <w:tcPr>
            <w:tcW w:type="pct" w:w="18%"/>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Preconditions</w:t>
            </w:r>
          </w:p>
        </w:tc>
        <w:tc>
          <w:tcPr>
            <w:tcW w:type="pct" w:w="82%"/>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n8n يعمل والتوكن الداخلي متطابقاً</w:t>
            </w:r>
          </w:p>
        </w:tc>
      </w:tr>
      <w:tr>
        <w:trPr>
          <w:cantSplit/>
        </w:trPr>
        <w:tc>
          <w:tcPr>
            <w:tcW w:type="pct" w:w="18%"/>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Main Flow</w:t>
            </w:r>
          </w:p>
        </w:tc>
        <w:tc>
          <w:tcPr>
            <w:tcW w:type="pct" w:w="82%"/>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1) فتح automation_runs (pending) 2) استدعاء webhook بالتوكن وrun_id 3) تنفيذ n8n (تليجرام/واتساب) 4) callback يحدث delivered/failed 5) فشل ⇒ retry backoff 5د 6) metrics حقيقية</w:t>
            </w:r>
          </w:p>
        </w:tc>
      </w:tr>
      <w:tr>
        <w:trPr>
          <w:cantSplit/>
        </w:trPr>
        <w:tc>
          <w:tcPr>
            <w:tcW w:type="pct" w:w="18%"/>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Alternative Flow</w:t>
            </w:r>
          </w:p>
        </w:tc>
        <w:tc>
          <w:tcPr>
            <w:tcW w:type="pct" w:w="82%"/>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n8n غير متاح ⇒ status=trigger_failed مع البقاء في الطابور</w:t>
            </w:r>
          </w:p>
        </w:tc>
      </w:tr>
      <w:tr>
        <w:trPr>
          <w:cantSplit/>
        </w:trPr>
        <w:tc>
          <w:tcPr>
            <w:tcW w:type="pct" w:w="18%"/>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Exception Flow</w:t>
            </w:r>
          </w:p>
        </w:tc>
        <w:tc>
          <w:tcPr>
            <w:tcW w:type="pct" w:w="82%"/>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طوارئ وn8n ساقط ⇒ كتابة emergency_outbox (بدون tenant يُتخطى بالتسجيل) ثم إعادة الإرسال عند إقلاع النظام</w:t>
            </w:r>
          </w:p>
        </w:tc>
      </w:tr>
      <w:tr>
        <w:trPr>
          <w:cantSplit/>
        </w:trPr>
        <w:tc>
          <w:tcPr>
            <w:tcW w:type="pct" w:w="18%"/>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Postconditions</w:t>
            </w:r>
          </w:p>
        </w:tc>
        <w:tc>
          <w:tcPr>
            <w:tcW w:type="pct" w:w="82%"/>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نسب تسليم فعلية لكل workflow + أثر audit</w:t>
            </w:r>
          </w:p>
        </w:tc>
      </w:tr>
      <w:tr>
        <w:trPr>
          <w:cantSplit/>
        </w:trPr>
        <w:tc>
          <w:tcPr>
            <w:tcW w:type="pct" w:w="18%"/>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Business Rules</w:t>
            </w:r>
          </w:p>
        </w:tc>
        <w:tc>
          <w:tcPr>
            <w:tcW w:type="pct" w:w="82%"/>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BR-21, NFR-08, NFR-20</w:t>
            </w:r>
          </w:p>
        </w:tc>
      </w:tr>
      <w:tr>
        <w:trPr>
          <w:cantSplit/>
        </w:trPr>
        <w:tc>
          <w:tcPr>
            <w:tcW w:type="pct" w:w="18%"/>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Implementation Evidence</w:t>
            </w:r>
          </w:p>
        </w:tc>
        <w:tc>
          <w:tcPr>
            <w:tcW w:type="pct" w:w="82%"/>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router.py /automation/trigger,/callback,/metrics; automation_retry_worker.py</w:t>
            </w:r>
          </w:p>
        </w:tc>
      </w:tr>
    </w:tbl>
    <w:p>
      <w:pPr>
        <w:keepNext/>
        <w:bidi/>
        <w:spacing w:after="80" w:before="160"/>
        <w:jc w:val="right"/>
      </w:pPr>
      <w:r>
        <w:rPr>
          <w:rFonts w:ascii="Times New Roman" w:cs="Traditional Arabic" w:hAnsi="Times New Roman"/>
          <w:b/>
          <w:bCs/>
          <w:i w:val="false"/>
          <w:iCs w:val="false"/>
          <w:color w:val="000000"/>
          <w:sz w:val="22"/>
          <w:szCs w:val="22"/>
          <w:rtl/>
        </w:rPr>
        <w:t xml:space="preserve">جدول 11: </w:t>
      </w:r>
      <w:r>
        <w:rPr>
          <w:rFonts w:ascii="Times New Roman" w:cs="Traditional Arabic" w:hAnsi="Times New Roman"/>
          <w:b w:val="false"/>
          <w:i w:val="false"/>
          <w:iCs w:val="false"/>
          <w:color w:val="000000"/>
          <w:sz w:val="22"/>
          <w:szCs w:val="22"/>
          <w:rtl/>
        </w:rPr>
        <w:t xml:space="preserve">UC-07 — الملخص التنفيذي الأسبوعي (Weekly Executive Digest)</w:t>
      </w:r>
    </w:p>
    <w:tbl>
      <w:tblPr>
        <w:bidiVisual/>
        <w:tblW w:type="pct" w:w="100%"/>
        <w:tblBorders>
          <w:top w:val="single" w:color="9AA6B2" w:sz="6"/>
          <w:left w:val="none" w:color="FFFFFF" w:sz="0"/>
          <w:bottom w:val="single" w:color="9AA6B2" w:sz="6"/>
          <w:right w:val="none" w:color="FFFFFF" w:sz="0"/>
          <w:insideH w:val="single" w:color="D5DCE4" w:sz="2"/>
          <w:insideV w:val="single" w:color="D5DCE4" w:sz="2"/>
        </w:tblBorders>
      </w:tblPr>
      <w:tblGrid>
        <w:gridCol w:w="100"/>
        <w:gridCol w:w="100"/>
      </w:tblGrid>
      <w:tr>
        <w:trPr>
          <w:cantSplit/>
          <w:tblHeader/>
        </w:trPr>
        <w:tc>
          <w:tcPr>
            <w:tcW w:type="pct" w:w="18%"/>
            <w:shd w:fill="E8EDF3" w:val="clear"/>
            <w:tcMar>
              <w:top w:type="dxa" w:w="70"/>
              <w:left w:type="dxa" w:w="100"/>
              <w:bottom w:type="dxa" w:w="70"/>
              <w:right w:type="dxa" w:w="100"/>
            </w:tcMar>
            <w:vAlign w:val="center"/>
          </w:tcPr>
          <w:p>
            <w:pPr>
              <w:bidi/>
              <w:jc w:val="center"/>
            </w:pPr>
            <w:r>
              <w:rPr>
                <w:rFonts w:ascii="Times New Roman" w:cs="Traditional Arabic" w:hAnsi="Times New Roman"/>
                <w:b/>
                <w:bCs/>
                <w:i w:val="false"/>
                <w:iCs w:val="false"/>
                <w:color w:val="111111"/>
                <w:sz w:val="21"/>
                <w:szCs w:val="21"/>
                <w:rtl/>
              </w:rPr>
              <w:t xml:space="preserve">الحقل</w:t>
            </w:r>
          </w:p>
        </w:tc>
        <w:tc>
          <w:tcPr>
            <w:tcW w:type="pct" w:w="82%"/>
            <w:shd w:fill="E8EDF3" w:val="clear"/>
            <w:tcMar>
              <w:top w:type="dxa" w:w="70"/>
              <w:left w:type="dxa" w:w="100"/>
              <w:bottom w:type="dxa" w:w="70"/>
              <w:right w:type="dxa" w:w="100"/>
            </w:tcMar>
            <w:vAlign w:val="center"/>
          </w:tcPr>
          <w:p>
            <w:pPr>
              <w:bidi/>
              <w:jc w:val="center"/>
            </w:pPr>
            <w:r>
              <w:rPr>
                <w:rFonts w:ascii="Times New Roman" w:cs="Traditional Arabic" w:hAnsi="Times New Roman"/>
                <w:b/>
                <w:bCs/>
                <w:i w:val="false"/>
                <w:iCs w:val="false"/>
                <w:color w:val="111111"/>
                <w:sz w:val="21"/>
                <w:szCs w:val="21"/>
                <w:rtl/>
              </w:rPr>
              <w:t xml:space="preserve">الوصف</w:t>
            </w:r>
          </w:p>
        </w:tc>
      </w:tr>
      <w:tr>
        <w:trPr>
          <w:cantSplit/>
        </w:trPr>
        <w:tc>
          <w:tcPr>
            <w:tcW w:type="pct" w:w="18%"/>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ID</w:t>
            </w:r>
          </w:p>
        </w:tc>
        <w:tc>
          <w:tcPr>
            <w:tcW w:type="pct" w:w="82%"/>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UC-07</w:t>
            </w:r>
          </w:p>
        </w:tc>
      </w:tr>
      <w:tr>
        <w:trPr>
          <w:cantSplit/>
        </w:trPr>
        <w:tc>
          <w:tcPr>
            <w:tcW w:type="pct" w:w="18%"/>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Name</w:t>
            </w:r>
          </w:p>
        </w:tc>
        <w:tc>
          <w:tcPr>
            <w:tcW w:type="pct" w:w="82%"/>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الملخص التنفيذي الأسبوعي (Weekly Executive Digest)</w:t>
            </w:r>
          </w:p>
        </w:tc>
      </w:tr>
      <w:tr>
        <w:trPr>
          <w:cantSplit/>
        </w:trPr>
        <w:tc>
          <w:tcPr>
            <w:tcW w:type="pct" w:w="18%"/>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Actor</w:t>
            </w:r>
          </w:p>
        </w:tc>
        <w:tc>
          <w:tcPr>
            <w:tcW w:type="pct" w:w="82%"/>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n8n (schedule) → Board</w:t>
            </w:r>
          </w:p>
        </w:tc>
      </w:tr>
      <w:tr>
        <w:trPr>
          <w:cantSplit/>
        </w:trPr>
        <w:tc>
          <w:tcPr>
            <w:tcW w:type="pct" w:w="18%"/>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Goal</w:t>
            </w:r>
          </w:p>
        </w:tc>
        <w:tc>
          <w:tcPr>
            <w:tcW w:type="pct" w:w="82%"/>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إيصال تقرير أداء أسبوعي بأرقام حية إلى إدارة الصيدلية</w:t>
            </w:r>
          </w:p>
        </w:tc>
      </w:tr>
      <w:tr>
        <w:trPr>
          <w:cantSplit/>
        </w:trPr>
        <w:tc>
          <w:tcPr>
            <w:tcW w:type="pct" w:w="18%"/>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Preconditions</w:t>
            </w:r>
          </w:p>
        </w:tc>
        <w:tc>
          <w:tcPr>
            <w:tcW w:type="pct" w:w="82%"/>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الباكند يعمل؛ نقطة internal/weekly-digest متاحة</w:t>
            </w:r>
          </w:p>
        </w:tc>
      </w:tr>
      <w:tr>
        <w:trPr>
          <w:cantSplit/>
        </w:trPr>
        <w:tc>
          <w:tcPr>
            <w:tcW w:type="pct" w:w="18%"/>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Main Flow</w:t>
            </w:r>
          </w:p>
        </w:tc>
        <w:tc>
          <w:tcPr>
            <w:tcW w:type="pct" w:w="82%"/>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1) cron إثنين 8ص أو نداء webhook موثق 2) GET نقطة الحقول الأربعة 3) صياغة رسالة HTML 4) إرسال تليجرام لمجلس الإدارة</w:t>
            </w:r>
          </w:p>
        </w:tc>
      </w:tr>
      <w:tr>
        <w:trPr>
          <w:cantSplit/>
        </w:trPr>
        <w:tc>
          <w:tcPr>
            <w:tcW w:type="pct" w:w="18%"/>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Alternative Flow</w:t>
            </w:r>
          </w:p>
        </w:tc>
        <w:tc>
          <w:tcPr>
            <w:tcW w:type="pct" w:w="82%"/>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فشل الجمع ⇒ لا رسالة ملفقة (سلوك صادق) ويظهر فشل في Executions</w:t>
            </w:r>
          </w:p>
        </w:tc>
      </w:tr>
      <w:tr>
        <w:trPr>
          <w:cantSplit/>
        </w:trPr>
        <w:tc>
          <w:tcPr>
            <w:tcW w:type="pct" w:w="18%"/>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Exception Flow</w:t>
            </w:r>
          </w:p>
        </w:tc>
        <w:tc>
          <w:tcPr>
            <w:tcW w:type="pct" w:w="82%"/>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توكن خاطئ على الـ webhook ⇒ فرع رفض صامت (NoOp)</w:t>
            </w:r>
          </w:p>
        </w:tc>
      </w:tr>
      <w:tr>
        <w:trPr>
          <w:cantSplit/>
        </w:trPr>
        <w:tc>
          <w:tcPr>
            <w:tcW w:type="pct" w:w="18%"/>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Postconditions</w:t>
            </w:r>
          </w:p>
        </w:tc>
        <w:tc>
          <w:tcPr>
            <w:tcW w:type="pct" w:w="82%"/>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رسالة أسبوعية بأرقام حية موثقة المنهجية</w:t>
            </w:r>
          </w:p>
        </w:tc>
      </w:tr>
      <w:tr>
        <w:trPr>
          <w:cantSplit/>
        </w:trPr>
        <w:tc>
          <w:tcPr>
            <w:tcW w:type="pct" w:w="18%"/>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Business Rules</w:t>
            </w:r>
          </w:p>
        </w:tc>
        <w:tc>
          <w:tcPr>
            <w:tcW w:type="pct" w:w="82%"/>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BR-16, BR-22</w:t>
            </w:r>
          </w:p>
        </w:tc>
      </w:tr>
      <w:tr>
        <w:trPr>
          <w:cantSplit/>
        </w:trPr>
        <w:tc>
          <w:tcPr>
            <w:tcW w:type="pct" w:w="18%"/>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Implementation Evidence</w:t>
            </w:r>
          </w:p>
        </w:tc>
        <w:tc>
          <w:tcPr>
            <w:tcW w:type="pct" w:w="82%"/>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business_value/router.py internal/weekly-digest; n8n Weekly (FIXED)</w:t>
            </w:r>
          </w:p>
        </w:tc>
      </w:tr>
    </w:tbl>
    <w:p>
      <w:pPr>
        <w:keepNext/>
        <w:bidi/>
        <w:spacing w:after="80" w:before="160"/>
        <w:jc w:val="right"/>
      </w:pPr>
      <w:r>
        <w:rPr>
          <w:rFonts w:ascii="Times New Roman" w:cs="Traditional Arabic" w:hAnsi="Times New Roman"/>
          <w:b/>
          <w:bCs/>
          <w:i w:val="false"/>
          <w:iCs w:val="false"/>
          <w:color w:val="000000"/>
          <w:sz w:val="22"/>
          <w:szCs w:val="22"/>
          <w:rtl/>
        </w:rPr>
        <w:t xml:space="preserve">جدول 12: </w:t>
      </w:r>
      <w:r>
        <w:rPr>
          <w:rFonts w:ascii="Times New Roman" w:cs="Traditional Arabic" w:hAnsi="Times New Roman"/>
          <w:b w:val="false"/>
          <w:i w:val="false"/>
          <w:iCs w:val="false"/>
          <w:color w:val="000000"/>
          <w:sz w:val="22"/>
          <w:szCs w:val="22"/>
          <w:rtl/>
        </w:rPr>
        <w:t xml:space="preserve">UC-08 — تفعيل حزمة أعمال عمودية (Configure Vertical Pack)</w:t>
      </w:r>
    </w:p>
    <w:tbl>
      <w:tblPr>
        <w:bidiVisual/>
        <w:tblW w:type="pct" w:w="100%"/>
        <w:tblBorders>
          <w:top w:val="single" w:color="9AA6B2" w:sz="6"/>
          <w:left w:val="none" w:color="FFFFFF" w:sz="0"/>
          <w:bottom w:val="single" w:color="9AA6B2" w:sz="6"/>
          <w:right w:val="none" w:color="FFFFFF" w:sz="0"/>
          <w:insideH w:val="single" w:color="D5DCE4" w:sz="2"/>
          <w:insideV w:val="single" w:color="D5DCE4" w:sz="2"/>
        </w:tblBorders>
      </w:tblPr>
      <w:tblGrid>
        <w:gridCol w:w="100"/>
        <w:gridCol w:w="100"/>
      </w:tblGrid>
      <w:tr>
        <w:trPr>
          <w:cantSplit/>
          <w:tblHeader/>
        </w:trPr>
        <w:tc>
          <w:tcPr>
            <w:tcW w:type="pct" w:w="18%"/>
            <w:shd w:fill="E8EDF3" w:val="clear"/>
            <w:tcMar>
              <w:top w:type="dxa" w:w="70"/>
              <w:left w:type="dxa" w:w="100"/>
              <w:bottom w:type="dxa" w:w="70"/>
              <w:right w:type="dxa" w:w="100"/>
            </w:tcMar>
            <w:vAlign w:val="center"/>
          </w:tcPr>
          <w:p>
            <w:pPr>
              <w:bidi/>
              <w:jc w:val="center"/>
            </w:pPr>
            <w:r>
              <w:rPr>
                <w:rFonts w:ascii="Times New Roman" w:cs="Traditional Arabic" w:hAnsi="Times New Roman"/>
                <w:b/>
                <w:bCs/>
                <w:i w:val="false"/>
                <w:iCs w:val="false"/>
                <w:color w:val="111111"/>
                <w:sz w:val="21"/>
                <w:szCs w:val="21"/>
                <w:rtl/>
              </w:rPr>
              <w:t xml:space="preserve">الحقل</w:t>
            </w:r>
          </w:p>
        </w:tc>
        <w:tc>
          <w:tcPr>
            <w:tcW w:type="pct" w:w="82%"/>
            <w:shd w:fill="E8EDF3" w:val="clear"/>
            <w:tcMar>
              <w:top w:type="dxa" w:w="70"/>
              <w:left w:type="dxa" w:w="100"/>
              <w:bottom w:type="dxa" w:w="70"/>
              <w:right w:type="dxa" w:w="100"/>
            </w:tcMar>
            <w:vAlign w:val="center"/>
          </w:tcPr>
          <w:p>
            <w:pPr>
              <w:bidi/>
              <w:jc w:val="center"/>
            </w:pPr>
            <w:r>
              <w:rPr>
                <w:rFonts w:ascii="Times New Roman" w:cs="Traditional Arabic" w:hAnsi="Times New Roman"/>
                <w:b/>
                <w:bCs/>
                <w:i w:val="false"/>
                <w:iCs w:val="false"/>
                <w:color w:val="111111"/>
                <w:sz w:val="21"/>
                <w:szCs w:val="21"/>
                <w:rtl/>
              </w:rPr>
              <w:t xml:space="preserve">الوصف</w:t>
            </w:r>
          </w:p>
        </w:tc>
      </w:tr>
      <w:tr>
        <w:trPr>
          <w:cantSplit/>
        </w:trPr>
        <w:tc>
          <w:tcPr>
            <w:tcW w:type="pct" w:w="18%"/>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ID</w:t>
            </w:r>
          </w:p>
        </w:tc>
        <w:tc>
          <w:tcPr>
            <w:tcW w:type="pct" w:w="82%"/>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UC-08</w:t>
            </w:r>
          </w:p>
        </w:tc>
      </w:tr>
      <w:tr>
        <w:trPr>
          <w:cantSplit/>
        </w:trPr>
        <w:tc>
          <w:tcPr>
            <w:tcW w:type="pct" w:w="18%"/>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Name</w:t>
            </w:r>
          </w:p>
        </w:tc>
        <w:tc>
          <w:tcPr>
            <w:tcW w:type="pct" w:w="82%"/>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تفعيل حزمة أعمال عمودية (Configure Vertical Pack)</w:t>
            </w:r>
          </w:p>
        </w:tc>
      </w:tr>
      <w:tr>
        <w:trPr>
          <w:cantSplit/>
        </w:trPr>
        <w:tc>
          <w:tcPr>
            <w:tcW w:type="pct" w:w="18%"/>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Actor</w:t>
            </w:r>
          </w:p>
        </w:tc>
        <w:tc>
          <w:tcPr>
            <w:tcW w:type="pct" w:w="82%"/>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Admin</w:t>
            </w:r>
          </w:p>
        </w:tc>
      </w:tr>
      <w:tr>
        <w:trPr>
          <w:cantSplit/>
        </w:trPr>
        <w:tc>
          <w:tcPr>
            <w:tcW w:type="pct" w:w="18%"/>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Goal</w:t>
            </w:r>
          </w:p>
        </w:tc>
        <w:tc>
          <w:tcPr>
            <w:tcW w:type="pct" w:w="82%"/>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تحويل النظام كلياً لصناعة أخرى بنواة واحدة</w:t>
            </w:r>
          </w:p>
        </w:tc>
      </w:tr>
      <w:tr>
        <w:trPr>
          <w:cantSplit/>
        </w:trPr>
        <w:tc>
          <w:tcPr>
            <w:tcW w:type="pct" w:w="18%"/>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Preconditions</w:t>
            </w:r>
          </w:p>
        </w:tc>
        <w:tc>
          <w:tcPr>
            <w:tcW w:type="pct" w:w="82%"/>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حزمة YAML صالحة في backend/verticals</w:t>
            </w:r>
          </w:p>
        </w:tc>
      </w:tr>
      <w:tr>
        <w:trPr>
          <w:cantSplit/>
        </w:trPr>
        <w:tc>
          <w:tcPr>
            <w:tcW w:type="pct" w:w="18%"/>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Main Flow</w:t>
            </w:r>
          </w:p>
        </w:tc>
        <w:tc>
          <w:tcPr>
            <w:tcW w:type="pct" w:w="82%"/>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1) فتح /admin/vertical-packs 2) اختيار الحزمة 3) POST /verticals/activate 4) تحديث platform_settings وtenants.vertical 5) إبطال كاش 15ث 6) تبديل المصطلحات والسقوف والسلامة 7) audit</w:t>
            </w:r>
          </w:p>
        </w:tc>
      </w:tr>
      <w:tr>
        <w:trPr>
          <w:cantSplit/>
        </w:trPr>
        <w:tc>
          <w:tcPr>
            <w:tcW w:type="pct" w:w="18%"/>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Alternative Flow</w:t>
            </w:r>
          </w:p>
        </w:tc>
        <w:tc>
          <w:tcPr>
            <w:tcW w:type="pct" w:w="82%"/>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معاينة حزمة قبل التفعيل (admin preview)</w:t>
            </w:r>
          </w:p>
        </w:tc>
      </w:tr>
      <w:tr>
        <w:trPr>
          <w:cantSplit/>
        </w:trPr>
        <w:tc>
          <w:tcPr>
            <w:tcW w:type="pct" w:w="18%"/>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Exception Flow</w:t>
            </w:r>
          </w:p>
        </w:tc>
        <w:tc>
          <w:tcPr>
            <w:tcW w:type="pct" w:w="82%"/>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حزمة غير موجودة ⇒ رفض تحقق</w:t>
            </w:r>
          </w:p>
        </w:tc>
      </w:tr>
      <w:tr>
        <w:trPr>
          <w:cantSplit/>
        </w:trPr>
        <w:tc>
          <w:tcPr>
            <w:tcW w:type="pct" w:w="18%"/>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Postconditions</w:t>
            </w:r>
          </w:p>
        </w:tc>
        <w:tc>
          <w:tcPr>
            <w:tcW w:type="pct" w:w="82%"/>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نظام معاد تكوينه يعمل على الحزمة الجديدة موثقاً بالتدقيق</w:t>
            </w:r>
          </w:p>
        </w:tc>
      </w:tr>
      <w:tr>
        <w:trPr>
          <w:cantSplit/>
        </w:trPr>
        <w:tc>
          <w:tcPr>
            <w:tcW w:type="pct" w:w="18%"/>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Business Rules</w:t>
            </w:r>
          </w:p>
        </w:tc>
        <w:tc>
          <w:tcPr>
            <w:tcW w:type="pct" w:w="82%"/>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BR-27, BR-28</w:t>
            </w:r>
          </w:p>
        </w:tc>
      </w:tr>
      <w:tr>
        <w:trPr>
          <w:cantSplit/>
        </w:trPr>
        <w:tc>
          <w:tcPr>
            <w:tcW w:type="pct" w:w="18%"/>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Implementation Evidence</w:t>
            </w:r>
          </w:p>
        </w:tc>
        <w:tc>
          <w:tcPr>
            <w:tcW w:type="pct" w:w="82%"/>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core/verticals/loader.py; router /verticals/activate</w:t>
            </w:r>
          </w:p>
        </w:tc>
      </w:tr>
    </w:tbl>
    <w:p>
      <w:pPr>
        <w:keepNext/>
        <w:bidi/>
        <w:spacing w:after="80" w:before="160"/>
        <w:jc w:val="right"/>
      </w:pPr>
      <w:r>
        <w:rPr>
          <w:rFonts w:ascii="Times New Roman" w:cs="Traditional Arabic" w:hAnsi="Times New Roman"/>
          <w:b/>
          <w:bCs/>
          <w:i w:val="false"/>
          <w:iCs w:val="false"/>
          <w:color w:val="000000"/>
          <w:sz w:val="22"/>
          <w:szCs w:val="22"/>
          <w:rtl/>
        </w:rPr>
        <w:t xml:space="preserve">جدول 13: </w:t>
      </w:r>
      <w:r>
        <w:rPr>
          <w:rFonts w:ascii="Times New Roman" w:cs="Traditional Arabic" w:hAnsi="Times New Roman"/>
          <w:b w:val="false"/>
          <w:i w:val="false"/>
          <w:iCs w:val="false"/>
          <w:color w:val="000000"/>
          <w:sz w:val="22"/>
          <w:szCs w:val="22"/>
          <w:rtl/>
        </w:rPr>
        <w:t xml:space="preserve">UC-09 — سحب دوائي (Drug Recall Protocol)</w:t>
      </w:r>
    </w:p>
    <w:tbl>
      <w:tblPr>
        <w:bidiVisual/>
        <w:tblW w:type="pct" w:w="100%"/>
        <w:tblBorders>
          <w:top w:val="single" w:color="9AA6B2" w:sz="6"/>
          <w:left w:val="none" w:color="FFFFFF" w:sz="0"/>
          <w:bottom w:val="single" w:color="9AA6B2" w:sz="6"/>
          <w:right w:val="none" w:color="FFFFFF" w:sz="0"/>
          <w:insideH w:val="single" w:color="D5DCE4" w:sz="2"/>
          <w:insideV w:val="single" w:color="D5DCE4" w:sz="2"/>
        </w:tblBorders>
      </w:tblPr>
      <w:tblGrid>
        <w:gridCol w:w="100"/>
        <w:gridCol w:w="100"/>
      </w:tblGrid>
      <w:tr>
        <w:trPr>
          <w:cantSplit/>
          <w:tblHeader/>
        </w:trPr>
        <w:tc>
          <w:tcPr>
            <w:tcW w:type="pct" w:w="18%"/>
            <w:shd w:fill="E8EDF3" w:val="clear"/>
            <w:tcMar>
              <w:top w:type="dxa" w:w="70"/>
              <w:left w:type="dxa" w:w="100"/>
              <w:bottom w:type="dxa" w:w="70"/>
              <w:right w:type="dxa" w:w="100"/>
            </w:tcMar>
            <w:vAlign w:val="center"/>
          </w:tcPr>
          <w:p>
            <w:pPr>
              <w:bidi/>
              <w:jc w:val="center"/>
            </w:pPr>
            <w:r>
              <w:rPr>
                <w:rFonts w:ascii="Times New Roman" w:cs="Traditional Arabic" w:hAnsi="Times New Roman"/>
                <w:b/>
                <w:bCs/>
                <w:i w:val="false"/>
                <w:iCs w:val="false"/>
                <w:color w:val="111111"/>
                <w:sz w:val="21"/>
                <w:szCs w:val="21"/>
                <w:rtl/>
              </w:rPr>
              <w:t xml:space="preserve">الحقل</w:t>
            </w:r>
          </w:p>
        </w:tc>
        <w:tc>
          <w:tcPr>
            <w:tcW w:type="pct" w:w="82%"/>
            <w:shd w:fill="E8EDF3" w:val="clear"/>
            <w:tcMar>
              <w:top w:type="dxa" w:w="70"/>
              <w:left w:type="dxa" w:w="100"/>
              <w:bottom w:type="dxa" w:w="70"/>
              <w:right w:type="dxa" w:w="100"/>
            </w:tcMar>
            <w:vAlign w:val="center"/>
          </w:tcPr>
          <w:p>
            <w:pPr>
              <w:bidi/>
              <w:jc w:val="center"/>
            </w:pPr>
            <w:r>
              <w:rPr>
                <w:rFonts w:ascii="Times New Roman" w:cs="Traditional Arabic" w:hAnsi="Times New Roman"/>
                <w:b/>
                <w:bCs/>
                <w:i w:val="false"/>
                <w:iCs w:val="false"/>
                <w:color w:val="111111"/>
                <w:sz w:val="21"/>
                <w:szCs w:val="21"/>
                <w:rtl/>
              </w:rPr>
              <w:t xml:space="preserve">الوصف</w:t>
            </w:r>
          </w:p>
        </w:tc>
      </w:tr>
      <w:tr>
        <w:trPr>
          <w:cantSplit/>
        </w:trPr>
        <w:tc>
          <w:tcPr>
            <w:tcW w:type="pct" w:w="18%"/>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ID</w:t>
            </w:r>
          </w:p>
        </w:tc>
        <w:tc>
          <w:tcPr>
            <w:tcW w:type="pct" w:w="82%"/>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UC-09</w:t>
            </w:r>
          </w:p>
        </w:tc>
      </w:tr>
      <w:tr>
        <w:trPr>
          <w:cantSplit/>
        </w:trPr>
        <w:tc>
          <w:tcPr>
            <w:tcW w:type="pct" w:w="18%"/>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Name</w:t>
            </w:r>
          </w:p>
        </w:tc>
        <w:tc>
          <w:tcPr>
            <w:tcW w:type="pct" w:w="82%"/>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سحب دوائي (Drug Recall Protocol)</w:t>
            </w:r>
          </w:p>
        </w:tc>
      </w:tr>
      <w:tr>
        <w:trPr>
          <w:cantSplit/>
        </w:trPr>
        <w:tc>
          <w:tcPr>
            <w:tcW w:type="pct" w:w="18%"/>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Actor</w:t>
            </w:r>
          </w:p>
        </w:tc>
        <w:tc>
          <w:tcPr>
            <w:tcW w:type="pct" w:w="82%"/>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Admin (Pharmacist)</w:t>
            </w:r>
          </w:p>
        </w:tc>
      </w:tr>
      <w:tr>
        <w:trPr>
          <w:cantSplit/>
        </w:trPr>
        <w:tc>
          <w:tcPr>
            <w:tcW w:type="pct" w:w="18%"/>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Goal</w:t>
            </w:r>
          </w:p>
        </w:tc>
        <w:tc>
          <w:tcPr>
            <w:tcW w:type="pct" w:w="82%"/>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تجميد مخزون تشغيلة معيبة وحصر المتأثرين وتوثيق كل شيء</w:t>
            </w:r>
          </w:p>
        </w:tc>
      </w:tr>
      <w:tr>
        <w:trPr>
          <w:cantSplit/>
        </w:trPr>
        <w:tc>
          <w:tcPr>
            <w:tcW w:type="pct" w:w="18%"/>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Preconditions</w:t>
            </w:r>
          </w:p>
        </w:tc>
        <w:tc>
          <w:tcPr>
            <w:tcW w:type="pct" w:w="82%"/>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مستأجر محدد (غير super_admin العابر)؛ دواء مسجل</w:t>
            </w:r>
          </w:p>
        </w:tc>
      </w:tr>
      <w:tr>
        <w:trPr>
          <w:cantSplit/>
        </w:trPr>
        <w:tc>
          <w:tcPr>
            <w:tcW w:type="pct" w:w="18%"/>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Main Flow</w:t>
            </w:r>
          </w:p>
        </w:tc>
        <w:tc>
          <w:tcPr>
            <w:tcW w:type="pct" w:w="82%"/>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1) تحديد الدواء والتشغيلة 2) تعطيل inventory_items (is_active=false) 3) حصر مشتري 90 يوم 4) audit_logs بتفاصيل كاملة 5) توقيع WORM ‏RECALL-* 6) تجهيز بيانات الإشعار عبر n8n</w:t>
            </w:r>
          </w:p>
        </w:tc>
      </w:tr>
      <w:tr>
        <w:trPr>
          <w:cantSplit/>
        </w:trPr>
        <w:tc>
          <w:tcPr>
            <w:tcW w:type="pct" w:w="18%"/>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Alternative Flow</w:t>
            </w:r>
          </w:p>
        </w:tc>
        <w:tc>
          <w:tcPr>
            <w:tcW w:type="pct" w:w="82%"/>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لا مخزون للدواء ⇒ inventory_locked=false صادق مع استمرار التوثيق</w:t>
            </w:r>
          </w:p>
        </w:tc>
      </w:tr>
      <w:tr>
        <w:trPr>
          <w:cantSplit/>
        </w:trPr>
        <w:tc>
          <w:tcPr>
            <w:tcW w:type="pct" w:w="18%"/>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Exception Flow</w:t>
            </w:r>
          </w:p>
        </w:tc>
        <w:tc>
          <w:tcPr>
            <w:tcW w:type="pct" w:w="82%"/>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أدمن بلا مستأجر ⇒ رفض BusinessRuleViolation (لا سحب صامت)</w:t>
            </w:r>
          </w:p>
        </w:tc>
      </w:tr>
      <w:tr>
        <w:trPr>
          <w:cantSplit/>
        </w:trPr>
        <w:tc>
          <w:tcPr>
            <w:tcW w:type="pct" w:w="18%"/>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Postconditions</w:t>
            </w:r>
          </w:p>
        </w:tc>
        <w:tc>
          <w:tcPr>
            <w:tcW w:type="pct" w:w="82%"/>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سحب موثق بالكامل في القاعدة والـ WORM مع إثبات قفل حقيقي</w:t>
            </w:r>
          </w:p>
        </w:tc>
      </w:tr>
      <w:tr>
        <w:trPr>
          <w:cantSplit/>
        </w:trPr>
        <w:tc>
          <w:tcPr>
            <w:tcW w:type="pct" w:w="18%"/>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Business Rules</w:t>
            </w:r>
          </w:p>
        </w:tc>
        <w:tc>
          <w:tcPr>
            <w:tcW w:type="pct" w:w="82%"/>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BR-14, BR-30</w:t>
            </w:r>
          </w:p>
        </w:tc>
      </w:tr>
      <w:tr>
        <w:trPr>
          <w:cantSplit/>
        </w:trPr>
        <w:tc>
          <w:tcPr>
            <w:tcW w:type="pct" w:w="18%"/>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Implementation Evidence</w:t>
            </w:r>
          </w:p>
        </w:tc>
        <w:tc>
          <w:tcPr>
            <w:tcW w:type="pct" w:w="82%"/>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drug/service.py:initiate_drug_recall; drug/router.py /recall</w:t>
            </w:r>
          </w:p>
        </w:tc>
      </w:tr>
    </w:tbl>
    <w:p>
      <w:pPr>
        <w:keepNext/>
        <w:bidi/>
        <w:spacing w:after="80" w:before="160"/>
        <w:jc w:val="right"/>
      </w:pPr>
      <w:r>
        <w:rPr>
          <w:rFonts w:ascii="Times New Roman" w:cs="Traditional Arabic" w:hAnsi="Times New Roman"/>
          <w:b/>
          <w:bCs/>
          <w:i w:val="false"/>
          <w:iCs w:val="false"/>
          <w:color w:val="000000"/>
          <w:sz w:val="22"/>
          <w:szCs w:val="22"/>
          <w:rtl/>
        </w:rPr>
        <w:t xml:space="preserve">جدول 14: </w:t>
      </w:r>
      <w:r>
        <w:rPr>
          <w:rFonts w:ascii="Times New Roman" w:cs="Traditional Arabic" w:hAnsi="Times New Roman"/>
          <w:b w:val="false"/>
          <w:i w:val="false"/>
          <w:iCs w:val="false"/>
          <w:color w:val="000000"/>
          <w:sz w:val="22"/>
          <w:szCs w:val="22"/>
          <w:rtl/>
        </w:rPr>
        <w:t xml:space="preserve">UC-10 — محاكاة قرار ثم نشره ككوبون (What-If → Deploy)</w:t>
      </w:r>
    </w:p>
    <w:tbl>
      <w:tblPr>
        <w:bidiVisual/>
        <w:tblW w:type="pct" w:w="100%"/>
        <w:tblBorders>
          <w:top w:val="single" w:color="9AA6B2" w:sz="6"/>
          <w:left w:val="none" w:color="FFFFFF" w:sz="0"/>
          <w:bottom w:val="single" w:color="9AA6B2" w:sz="6"/>
          <w:right w:val="none" w:color="FFFFFF" w:sz="0"/>
          <w:insideH w:val="single" w:color="D5DCE4" w:sz="2"/>
          <w:insideV w:val="single" w:color="D5DCE4" w:sz="2"/>
        </w:tblBorders>
      </w:tblPr>
      <w:tblGrid>
        <w:gridCol w:w="100"/>
        <w:gridCol w:w="100"/>
      </w:tblGrid>
      <w:tr>
        <w:trPr>
          <w:cantSplit/>
          <w:tblHeader/>
        </w:trPr>
        <w:tc>
          <w:tcPr>
            <w:tcW w:type="pct" w:w="18%"/>
            <w:shd w:fill="E8EDF3" w:val="clear"/>
            <w:tcMar>
              <w:top w:type="dxa" w:w="70"/>
              <w:left w:type="dxa" w:w="100"/>
              <w:bottom w:type="dxa" w:w="70"/>
              <w:right w:type="dxa" w:w="100"/>
            </w:tcMar>
            <w:vAlign w:val="center"/>
          </w:tcPr>
          <w:p>
            <w:pPr>
              <w:bidi/>
              <w:jc w:val="center"/>
            </w:pPr>
            <w:r>
              <w:rPr>
                <w:rFonts w:ascii="Times New Roman" w:cs="Traditional Arabic" w:hAnsi="Times New Roman"/>
                <w:b/>
                <w:bCs/>
                <w:i w:val="false"/>
                <w:iCs w:val="false"/>
                <w:color w:val="111111"/>
                <w:sz w:val="21"/>
                <w:szCs w:val="21"/>
                <w:rtl/>
              </w:rPr>
              <w:t xml:space="preserve">الحقل</w:t>
            </w:r>
          </w:p>
        </w:tc>
        <w:tc>
          <w:tcPr>
            <w:tcW w:type="pct" w:w="82%"/>
            <w:shd w:fill="E8EDF3" w:val="clear"/>
            <w:tcMar>
              <w:top w:type="dxa" w:w="70"/>
              <w:left w:type="dxa" w:w="100"/>
              <w:bottom w:type="dxa" w:w="70"/>
              <w:right w:type="dxa" w:w="100"/>
            </w:tcMar>
            <w:vAlign w:val="center"/>
          </w:tcPr>
          <w:p>
            <w:pPr>
              <w:bidi/>
              <w:jc w:val="center"/>
            </w:pPr>
            <w:r>
              <w:rPr>
                <w:rFonts w:ascii="Times New Roman" w:cs="Traditional Arabic" w:hAnsi="Times New Roman"/>
                <w:b/>
                <w:bCs/>
                <w:i w:val="false"/>
                <w:iCs w:val="false"/>
                <w:color w:val="111111"/>
                <w:sz w:val="21"/>
                <w:szCs w:val="21"/>
                <w:rtl/>
              </w:rPr>
              <w:t xml:space="preserve">الوصف</w:t>
            </w:r>
          </w:p>
        </w:tc>
      </w:tr>
      <w:tr>
        <w:trPr>
          <w:cantSplit/>
        </w:trPr>
        <w:tc>
          <w:tcPr>
            <w:tcW w:type="pct" w:w="18%"/>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ID</w:t>
            </w:r>
          </w:p>
        </w:tc>
        <w:tc>
          <w:tcPr>
            <w:tcW w:type="pct" w:w="82%"/>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UC-10</w:t>
            </w:r>
          </w:p>
        </w:tc>
      </w:tr>
      <w:tr>
        <w:trPr>
          <w:cantSplit/>
        </w:trPr>
        <w:tc>
          <w:tcPr>
            <w:tcW w:type="pct" w:w="18%"/>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Name</w:t>
            </w:r>
          </w:p>
        </w:tc>
        <w:tc>
          <w:tcPr>
            <w:tcW w:type="pct" w:w="82%"/>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محاكاة قرار ثم نشره ككوبون (What-If → Deploy)</w:t>
            </w:r>
          </w:p>
        </w:tc>
      </w:tr>
      <w:tr>
        <w:trPr>
          <w:cantSplit/>
        </w:trPr>
        <w:tc>
          <w:tcPr>
            <w:tcW w:type="pct" w:w="18%"/>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Actor</w:t>
            </w:r>
          </w:p>
        </w:tc>
        <w:tc>
          <w:tcPr>
            <w:tcW w:type="pct" w:w="82%"/>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Admin</w:t>
            </w:r>
          </w:p>
        </w:tc>
      </w:tr>
      <w:tr>
        <w:trPr>
          <w:cantSplit/>
        </w:trPr>
        <w:tc>
          <w:tcPr>
            <w:tcW w:type="pct" w:w="18%"/>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Goal</w:t>
            </w:r>
          </w:p>
        </w:tc>
        <w:tc>
          <w:tcPr>
            <w:tcW w:type="pct" w:w="82%"/>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تجربة قرار تسعير رياضياً ثم نشره فقط إذا كان آمناً</w:t>
            </w:r>
          </w:p>
        </w:tc>
      </w:tr>
      <w:tr>
        <w:trPr>
          <w:cantSplit/>
        </w:trPr>
        <w:tc>
          <w:tcPr>
            <w:tcW w:type="pct" w:w="18%"/>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Preconditions</w:t>
            </w:r>
          </w:p>
        </w:tc>
        <w:tc>
          <w:tcPr>
            <w:tcW w:type="pct" w:w="82%"/>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سعر وتكلفة مدخلة؛ تكلفة من فاتورة P2P أو not_recorded (لا تخمين)</w:t>
            </w:r>
          </w:p>
        </w:tc>
      </w:tr>
      <w:tr>
        <w:trPr>
          <w:cantSplit/>
        </w:trPr>
        <w:tc>
          <w:tcPr>
            <w:tcW w:type="pct" w:w="18%"/>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Main Flow</w:t>
            </w:r>
          </w:p>
        </w:tc>
        <w:tc>
          <w:tcPr>
            <w:tcW w:type="pct" w:w="82%"/>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1) prefill من الواقع 2) run_whatif (هامش/تعادل/حكم) 3) منحنى حساسية 4) بوابة نشر ترفض loss/danger 5) إنشاء كوبون حقيقي 6) تسجيل simulation_runs لقياس المتوقع مقابل الفعلي</w:t>
            </w:r>
          </w:p>
        </w:tc>
      </w:tr>
      <w:tr>
        <w:trPr>
          <w:cantSplit/>
        </w:trPr>
        <w:tc>
          <w:tcPr>
            <w:tcW w:type="pct" w:w="18%"/>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Alternative Flow</w:t>
            </w:r>
          </w:p>
        </w:tc>
        <w:tc>
          <w:tcPr>
            <w:tcW w:type="pct" w:w="82%"/>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حكم danger ⇒ رفض النشر مع سبب عربي</w:t>
            </w:r>
          </w:p>
        </w:tc>
      </w:tr>
      <w:tr>
        <w:trPr>
          <w:cantSplit/>
        </w:trPr>
        <w:tc>
          <w:tcPr>
            <w:tcW w:type="pct" w:w="18%"/>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Exception Flow</w:t>
            </w:r>
          </w:p>
        </w:tc>
        <w:tc>
          <w:tcPr>
            <w:tcW w:type="pct" w:w="82%"/>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تكلفة ≥ سعر ⇒ invalid ولا نشر</w:t>
            </w:r>
          </w:p>
        </w:tc>
      </w:tr>
      <w:tr>
        <w:trPr>
          <w:cantSplit/>
        </w:trPr>
        <w:tc>
          <w:tcPr>
            <w:tcW w:type="pct" w:w="18%"/>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Postconditions</w:t>
            </w:r>
          </w:p>
        </w:tc>
        <w:tc>
          <w:tcPr>
            <w:tcW w:type="pct" w:w="82%"/>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كوبون حقيقي + سجل محاكاة قابل للقياس لاحقاً</w:t>
            </w:r>
          </w:p>
        </w:tc>
      </w:tr>
      <w:tr>
        <w:trPr>
          <w:cantSplit/>
        </w:trPr>
        <w:tc>
          <w:tcPr>
            <w:tcW w:type="pct" w:w="18%"/>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Business Rules</w:t>
            </w:r>
          </w:p>
        </w:tc>
        <w:tc>
          <w:tcPr>
            <w:tcW w:type="pct" w:w="82%"/>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BR-12, BR-29</w:t>
            </w:r>
          </w:p>
        </w:tc>
      </w:tr>
      <w:tr>
        <w:trPr>
          <w:cantSplit/>
        </w:trPr>
        <w:tc>
          <w:tcPr>
            <w:tcW w:type="pct" w:w="18%"/>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Implementation Evidence</w:t>
            </w:r>
          </w:p>
        </w:tc>
        <w:tc>
          <w:tcPr>
            <w:tcW w:type="pct" w:w="82%"/>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agents/simulator.py; router /simulator/*</w:t>
            </w:r>
          </w:p>
        </w:tc>
      </w:tr>
    </w:tbl>
    <w:p>
      <w:pPr>
        <w:pStyle w:val="Heading1"/>
        <w:pageBreakBefore/>
        <w:bidi/>
        <w:spacing w:after="200" w:before="400" w:line="340"/>
        <w:jc w:val="right"/>
      </w:pPr>
      <w:bookmarkStart w:id="100020" w:name="_Toc100020"/>
      <w:r>
        <w:rPr>
          <w:rFonts w:ascii="Times New Roman" w:cs="Simplified Arabic" w:hAnsi="Times New Roman"/>
          <w:b/>
          <w:bCs/>
          <w:color w:val="1F3A5F"/>
          <w:sz w:val="32"/>
          <w:szCs w:val="36"/>
          <w:rtl/>
        </w:rPr>
        <w:t xml:space="preserve">23. مخطط حالات الاستخدام (Use Case Diagram)</w:t>
      </w:r>
      <w:bookmarkEnd w:id="100020"/>
    </w:p>
    <w:p>
      <w:pPr>
        <w:spacing w:after="60" w:before="140"/>
        <w:jc w:val="center"/>
      </w:pPr>
      <w:r>
        <w:drawing>
          <wp:inline distT="0" distB="0" distL="0" distR="0">
            <wp:extent cx="542925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29250" cy="3819525"/>
                    </a:xfrm>
                    <a:prstGeom prst="rect">
                      <a:avLst/>
                    </a:prstGeom>
                  </pic:spPr>
                </pic:pic>
              </a:graphicData>
            </a:graphic>
          </wp:inline>
        </w:drawing>
      </w:r>
    </w:p>
    <w:p>
      <w:pPr>
        <w:spacing w:after="200"/>
        <w:jc w:val="center"/>
      </w:pPr>
      <w:r>
        <w:rPr>
          <w:rFonts w:ascii="Times New Roman" w:eastAsia="Times New Roman" w:hAnsi="Times New Roman"/>
          <w:b/>
          <w:bCs/>
          <w:i w:val="false"/>
          <w:iCs w:val="false"/>
          <w:color w:val="1F3A5F"/>
          <w:sz w:val="20"/>
          <w:szCs w:val="20"/>
        </w:rPr>
        <w:t xml:space="preserve">Figure 6. </w:t>
      </w:r>
      <w:r>
        <w:rPr>
          <w:rFonts w:ascii="Times New Roman" w:eastAsia="Times New Roman" w:hAnsi="Times New Roman"/>
          <w:b w:val="false"/>
          <w:bCs w:val="false"/>
          <w:i w:val="false"/>
          <w:iCs w:val="false"/>
          <w:color w:val="333333"/>
          <w:sz w:val="20"/>
          <w:szCs w:val="20"/>
        </w:rPr>
        <w:t xml:space="preserve">Use Case Diagram — actors, use cases, include/extend relations</w:t>
      </w:r>
    </w:p>
    <w:p>
      <w:pPr>
        <w:bidi/>
        <w:spacing w:after="120" w:line="312"/>
        <w:ind w:firstLine="340"/>
        <w:jc w:val="both"/>
      </w:pPr>
      <w:r>
        <w:rPr>
          <w:rFonts w:ascii="Times New Roman" w:cs="Traditional Arabic" w:hAnsi="Times New Roman"/>
          <w:b w:val="false"/>
          <w:i w:val="false"/>
          <w:iCs w:val="false"/>
          <w:color w:val="000000"/>
          <w:sz w:val="26"/>
          <w:szCs w:val="30"/>
          <w:rtl/>
        </w:rPr>
        <w:t xml:space="preserve">يوضح المخطط فاعلين بشريين اثنين (العميل، المدير/الصيدلي) وفاعلَين نظاميين (n8n، مزودو LLM)، مع علاقات include/extend الحقيقية: بوابة CDSS ضمن الطلب، مراجعة بشرية ممتدة من الروشتة، وتوقيع WORM مضمن في الاعتماد.</w:t>
      </w:r>
    </w:p>
    <w:p>
      <w:pPr>
        <w:pStyle w:val="Heading1"/>
        <w:pageBreakBefore/>
        <w:bidi/>
        <w:spacing w:after="200" w:before="400" w:line="340"/>
        <w:jc w:val="right"/>
      </w:pPr>
      <w:bookmarkStart w:id="100021" w:name="_Toc100021"/>
      <w:r>
        <w:rPr>
          <w:rFonts w:ascii="Times New Roman" w:cs="Simplified Arabic" w:hAnsi="Times New Roman"/>
          <w:b/>
          <w:bCs/>
          <w:color w:val="1F3A5F"/>
          <w:sz w:val="32"/>
          <w:szCs w:val="36"/>
          <w:rtl/>
        </w:rPr>
        <w:t xml:space="preserve">24. مخططات النشاط (Activity Diagrams)</w:t>
      </w:r>
      <w:bookmarkEnd w:id="100021"/>
    </w:p>
    <w:p>
      <w:pPr>
        <w:bidi/>
        <w:spacing w:after="120" w:line="312"/>
        <w:ind w:firstLine="340"/>
        <w:jc w:val="both"/>
      </w:pPr>
      <w:r>
        <w:rPr>
          <w:rFonts w:ascii="Times New Roman" w:cs="Traditional Arabic" w:hAnsi="Times New Roman"/>
          <w:b w:val="false"/>
          <w:i w:val="false"/>
          <w:iCs w:val="false"/>
          <w:color w:val="000000"/>
          <w:sz w:val="26"/>
          <w:szCs w:val="30"/>
          <w:rtl/>
        </w:rPr>
        <w:t xml:space="preserve">خمسة مخططات نشاط للعمليات الجوهرية، مرسومة من تدفق التحكم الفعلي في الكود (بما فيها البوابات والاحتياطات):</w:t>
      </w:r>
    </w:p>
    <w:p>
      <w:pPr>
        <w:pStyle w:val="Heading2"/>
        <w:bidi/>
        <w:spacing w:after="140" w:before="300" w:line="320"/>
        <w:jc w:val="right"/>
      </w:pPr>
      <w:bookmarkStart w:id="100022" w:name="_Toc100022"/>
      <w:r>
        <w:rPr>
          <w:rFonts w:ascii="Times New Roman" w:cs="Simplified Arabic" w:hAnsi="Times New Roman"/>
          <w:b/>
          <w:bCs/>
          <w:color w:val="1F3A5F"/>
          <w:sz w:val="28"/>
          <w:szCs w:val="32"/>
          <w:rtl/>
        </w:rPr>
        <w:t xml:space="preserve">24.1 نشاط قرار الذكاء الاصطناعي (AI Decision)</w:t>
      </w:r>
      <w:bookmarkEnd w:id="100022"/>
    </w:p>
    <w:p>
      <w:pPr>
        <w:spacing w:after="60" w:before="140"/>
        <w:jc w:val="center"/>
      </w:pPr>
      <w:r>
        <w:drawing>
          <wp:inline distT="0" distB="0" distL="0" distR="0">
            <wp:extent cx="4248150" cy="500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248150" cy="5000625"/>
                    </a:xfrm>
                    <a:prstGeom prst="rect">
                      <a:avLst/>
                    </a:prstGeom>
                  </pic:spPr>
                </pic:pic>
              </a:graphicData>
            </a:graphic>
          </wp:inline>
        </w:drawing>
      </w:r>
    </w:p>
    <w:p>
      <w:pPr>
        <w:spacing w:after="200"/>
        <w:jc w:val="center"/>
      </w:pPr>
      <w:r>
        <w:rPr>
          <w:rFonts w:ascii="Times New Roman" w:eastAsia="Times New Roman" w:hAnsi="Times New Roman"/>
          <w:b/>
          <w:bCs/>
          <w:i w:val="false"/>
          <w:iCs w:val="false"/>
          <w:color w:val="1F3A5F"/>
          <w:sz w:val="20"/>
          <w:szCs w:val="20"/>
        </w:rPr>
        <w:t xml:space="preserve">Figure 7. </w:t>
      </w:r>
      <w:r>
        <w:rPr>
          <w:rFonts w:ascii="Times New Roman" w:eastAsia="Times New Roman" w:hAnsi="Times New Roman"/>
          <w:b w:val="false"/>
          <w:bCs w:val="false"/>
          <w:i w:val="false"/>
          <w:iCs w:val="false"/>
          <w:color w:val="333333"/>
          <w:sz w:val="20"/>
          <w:szCs w:val="20"/>
        </w:rPr>
        <w:t xml:space="preserve">Activity — AI decision pipeline with parallel stages and deterministic short-circuits</w:t>
      </w:r>
    </w:p>
    <w:p>
      <w:pPr>
        <w:pStyle w:val="Heading2"/>
        <w:bidi/>
        <w:spacing w:after="140" w:before="300" w:line="320"/>
        <w:jc w:val="right"/>
      </w:pPr>
      <w:bookmarkStart w:id="100023" w:name="_Toc100023"/>
      <w:r>
        <w:rPr>
          <w:rFonts w:ascii="Times New Roman" w:cs="Simplified Arabic" w:hAnsi="Times New Roman"/>
          <w:b/>
          <w:bCs/>
          <w:color w:val="1F3A5F"/>
          <w:sz w:val="28"/>
          <w:szCs w:val="32"/>
          <w:rtl/>
        </w:rPr>
        <w:t xml:space="preserve">24.2 نشاط المشتريات (Procurement)</w:t>
      </w:r>
      <w:bookmarkEnd w:id="100023"/>
    </w:p>
    <w:p>
      <w:pPr>
        <w:spacing w:after="60" w:before="140"/>
        <w:jc w:val="center"/>
      </w:pPr>
      <w:r>
        <w:drawing>
          <wp:inline distT="0" distB="0" distL="0" distR="0">
            <wp:extent cx="4248150" cy="452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248150" cy="4524375"/>
                    </a:xfrm>
                    <a:prstGeom prst="rect">
                      <a:avLst/>
                    </a:prstGeom>
                  </pic:spPr>
                </pic:pic>
              </a:graphicData>
            </a:graphic>
          </wp:inline>
        </w:drawing>
      </w:r>
    </w:p>
    <w:p>
      <w:pPr>
        <w:spacing w:after="200"/>
        <w:jc w:val="center"/>
      </w:pPr>
      <w:r>
        <w:rPr>
          <w:rFonts w:ascii="Times New Roman" w:eastAsia="Times New Roman" w:hAnsi="Times New Roman"/>
          <w:b/>
          <w:bCs/>
          <w:i w:val="false"/>
          <w:iCs w:val="false"/>
          <w:color w:val="1F3A5F"/>
          <w:sz w:val="20"/>
          <w:szCs w:val="20"/>
        </w:rPr>
        <w:t xml:space="preserve">Figure 8. </w:t>
      </w:r>
      <w:r>
        <w:rPr>
          <w:rFonts w:ascii="Times New Roman" w:eastAsia="Times New Roman" w:hAnsi="Times New Roman"/>
          <w:b w:val="false"/>
          <w:bCs w:val="false"/>
          <w:i w:val="false"/>
          <w:iCs w:val="false"/>
          <w:color w:val="333333"/>
          <w:sz w:val="20"/>
          <w:szCs w:val="20"/>
        </w:rPr>
        <w:t xml:space="preserve">Activity — P2P procurement with Maker-Checker and journal posting</w:t>
      </w:r>
    </w:p>
    <w:p>
      <w:pPr>
        <w:pStyle w:val="Heading2"/>
        <w:bidi/>
        <w:spacing w:after="140" w:before="300" w:line="320"/>
        <w:jc w:val="right"/>
      </w:pPr>
      <w:bookmarkStart w:id="100024" w:name="_Toc100024"/>
      <w:r>
        <w:rPr>
          <w:rFonts w:ascii="Times New Roman" w:cs="Simplified Arabic" w:hAnsi="Times New Roman"/>
          <w:b/>
          <w:bCs/>
          <w:color w:val="1F3A5F"/>
          <w:sz w:val="28"/>
          <w:szCs w:val="32"/>
          <w:rtl/>
        </w:rPr>
        <w:t xml:space="preserve">24.3 نشاط الطلب (Order)</w:t>
      </w:r>
      <w:bookmarkEnd w:id="100024"/>
    </w:p>
    <w:p>
      <w:pPr>
        <w:spacing w:after="60" w:before="140"/>
        <w:jc w:val="center"/>
      </w:pPr>
      <w:r>
        <w:drawing>
          <wp:inline distT="0" distB="0" distL="0" distR="0">
            <wp:extent cx="4248150" cy="468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248150" cy="4686300"/>
                    </a:xfrm>
                    <a:prstGeom prst="rect">
                      <a:avLst/>
                    </a:prstGeom>
                  </pic:spPr>
                </pic:pic>
              </a:graphicData>
            </a:graphic>
          </wp:inline>
        </w:drawing>
      </w:r>
    </w:p>
    <w:p>
      <w:pPr>
        <w:spacing w:after="200"/>
        <w:jc w:val="center"/>
      </w:pPr>
      <w:r>
        <w:rPr>
          <w:rFonts w:ascii="Times New Roman" w:eastAsia="Times New Roman" w:hAnsi="Times New Roman"/>
          <w:b/>
          <w:bCs/>
          <w:i w:val="false"/>
          <w:iCs w:val="false"/>
          <w:color w:val="1F3A5F"/>
          <w:sz w:val="20"/>
          <w:szCs w:val="20"/>
        </w:rPr>
        <w:t xml:space="preserve">Figure 9. </w:t>
      </w:r>
      <w:r>
        <w:rPr>
          <w:rFonts w:ascii="Times New Roman" w:eastAsia="Times New Roman" w:hAnsi="Times New Roman"/>
          <w:b w:val="false"/>
          <w:bCs w:val="false"/>
          <w:i w:val="false"/>
          <w:iCs w:val="false"/>
          <w:color w:val="333333"/>
          <w:sz w:val="20"/>
          <w:szCs w:val="20"/>
        </w:rPr>
        <w:t xml:space="preserve">Activity — order placement with CDSS hard-stop and coupon lifecycle</w:t>
      </w:r>
    </w:p>
    <w:p>
      <w:pPr>
        <w:pStyle w:val="Heading2"/>
        <w:bidi/>
        <w:spacing w:after="140" w:before="300" w:line="320"/>
        <w:jc w:val="right"/>
      </w:pPr>
      <w:bookmarkStart w:id="100025" w:name="_Toc100025"/>
      <w:r>
        <w:rPr>
          <w:rFonts w:ascii="Times New Roman" w:cs="Simplified Arabic" w:hAnsi="Times New Roman"/>
          <w:b/>
          <w:bCs/>
          <w:color w:val="1F3A5F"/>
          <w:sz w:val="28"/>
          <w:szCs w:val="32"/>
          <w:rtl/>
        </w:rPr>
        <w:t xml:space="preserve">24.4 نشاط الأتمتة (Automation)</w:t>
      </w:r>
      <w:bookmarkEnd w:id="100025"/>
    </w:p>
    <w:p>
      <w:pPr>
        <w:spacing w:after="60" w:before="140"/>
        <w:jc w:val="center"/>
      </w:pPr>
      <w:r>
        <w:drawing>
          <wp:inline distT="0" distB="0" distL="0" distR="0">
            <wp:extent cx="4248150" cy="452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248150" cy="4524375"/>
                    </a:xfrm>
                    <a:prstGeom prst="rect">
                      <a:avLst/>
                    </a:prstGeom>
                  </pic:spPr>
                </pic:pic>
              </a:graphicData>
            </a:graphic>
          </wp:inline>
        </w:drawing>
      </w:r>
    </w:p>
    <w:p>
      <w:pPr>
        <w:spacing w:after="200"/>
        <w:jc w:val="center"/>
      </w:pPr>
      <w:r>
        <w:rPr>
          <w:rFonts w:ascii="Times New Roman" w:eastAsia="Times New Roman" w:hAnsi="Times New Roman"/>
          <w:b/>
          <w:bCs/>
          <w:i w:val="false"/>
          <w:iCs w:val="false"/>
          <w:color w:val="1F3A5F"/>
          <w:sz w:val="20"/>
          <w:szCs w:val="20"/>
        </w:rPr>
        <w:t xml:space="preserve">Figure 10. </w:t>
      </w:r>
      <w:r>
        <w:rPr>
          <w:rFonts w:ascii="Times New Roman" w:eastAsia="Times New Roman" w:hAnsi="Times New Roman"/>
          <w:b w:val="false"/>
          <w:bCs w:val="false"/>
          <w:i w:val="false"/>
          <w:iCs w:val="false"/>
          <w:color w:val="333333"/>
          <w:sz w:val="20"/>
          <w:szCs w:val="20"/>
        </w:rPr>
        <w:t xml:space="preserve">Activity — n8n automation with closed measurement loop and retry</w:t>
      </w:r>
    </w:p>
    <w:p>
      <w:pPr>
        <w:pStyle w:val="Heading2"/>
        <w:bidi/>
        <w:spacing w:after="140" w:before="300" w:line="320"/>
        <w:jc w:val="right"/>
      </w:pPr>
      <w:bookmarkStart w:id="100026" w:name="_Toc100026"/>
      <w:r>
        <w:rPr>
          <w:rFonts w:ascii="Times New Roman" w:cs="Simplified Arabic" w:hAnsi="Times New Roman"/>
          <w:b/>
          <w:bCs/>
          <w:color w:val="1F3A5F"/>
          <w:sz w:val="28"/>
          <w:szCs w:val="32"/>
          <w:rtl/>
        </w:rPr>
        <w:t xml:space="preserve">24.5 نشاط تهيئة الحزمة العمودية (Vertical Configuration)</w:t>
      </w:r>
      <w:bookmarkEnd w:id="100026"/>
    </w:p>
    <w:p>
      <w:pPr>
        <w:spacing w:after="60" w:before="140"/>
        <w:jc w:val="center"/>
      </w:pPr>
      <w:r>
        <w:drawing>
          <wp:inline distT="0" distB="0" distL="0" distR="0">
            <wp:extent cx="4248150" cy="436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248150" cy="4362450"/>
                    </a:xfrm>
                    <a:prstGeom prst="rect">
                      <a:avLst/>
                    </a:prstGeom>
                  </pic:spPr>
                </pic:pic>
              </a:graphicData>
            </a:graphic>
          </wp:inline>
        </w:drawing>
      </w:r>
    </w:p>
    <w:p>
      <w:pPr>
        <w:spacing w:after="200"/>
        <w:jc w:val="center"/>
      </w:pPr>
      <w:r>
        <w:rPr>
          <w:rFonts w:ascii="Times New Roman" w:eastAsia="Times New Roman" w:hAnsi="Times New Roman"/>
          <w:b/>
          <w:bCs/>
          <w:i w:val="false"/>
          <w:iCs w:val="false"/>
          <w:color w:val="1F3A5F"/>
          <w:sz w:val="20"/>
          <w:szCs w:val="20"/>
        </w:rPr>
        <w:t xml:space="preserve">Figure 11. </w:t>
      </w:r>
      <w:r>
        <w:rPr>
          <w:rFonts w:ascii="Times New Roman" w:eastAsia="Times New Roman" w:hAnsi="Times New Roman"/>
          <w:b w:val="false"/>
          <w:bCs w:val="false"/>
          <w:i w:val="false"/>
          <w:iCs w:val="false"/>
          <w:color w:val="333333"/>
          <w:sz w:val="20"/>
          <w:szCs w:val="20"/>
        </w:rPr>
        <w:t xml:space="preserve">Activity — vertical pack activation and runtime switch</w:t>
      </w:r>
    </w:p>
    <w:p>
      <w:pPr>
        <w:pStyle w:val="Heading1"/>
        <w:pageBreakBefore/>
        <w:bidi/>
        <w:spacing w:after="200" w:before="400" w:line="340"/>
        <w:jc w:val="right"/>
      </w:pPr>
      <w:bookmarkStart w:id="100027" w:name="_Toc100027"/>
      <w:r>
        <w:rPr>
          <w:rFonts w:ascii="Times New Roman" w:cs="Simplified Arabic" w:hAnsi="Times New Roman"/>
          <w:b/>
          <w:bCs/>
          <w:color w:val="1F3A5F"/>
          <w:sz w:val="32"/>
          <w:szCs w:val="36"/>
          <w:rtl/>
        </w:rPr>
        <w:t xml:space="preserve">25. مخططات التسلسل (Sequence Diagrams)</w:t>
      </w:r>
      <w:bookmarkEnd w:id="100027"/>
    </w:p>
    <w:p>
      <w:pPr>
        <w:bidi/>
        <w:spacing w:after="120" w:line="312"/>
        <w:ind w:firstLine="340"/>
        <w:jc w:val="both"/>
      </w:pPr>
      <w:r>
        <w:rPr>
          <w:rFonts w:ascii="Times New Roman" w:cs="Traditional Arabic" w:hAnsi="Times New Roman"/>
          <w:b w:val="false"/>
          <w:i w:val="false"/>
          <w:iCs w:val="false"/>
          <w:color w:val="000000"/>
          <w:sz w:val="26"/>
          <w:szCs w:val="30"/>
          <w:rtl/>
        </w:rPr>
        <w:t xml:space="preserve">أربعة مخططات تسلسل تعكس التفاعل الحقيقي بين: المستخدم، الواجهة، الـ API، النطاقات، قاعدة البيانات، المحركات الحتمية، الحوكمة، الـ LLM، وn8n — بترتيب الاستدعاءات كما في الكود:</w:t>
      </w:r>
    </w:p>
    <w:p>
      <w:pPr>
        <w:pStyle w:val="Heading2"/>
        <w:bidi/>
        <w:spacing w:after="140" w:before="300" w:line="320"/>
        <w:jc w:val="right"/>
      </w:pPr>
      <w:bookmarkStart w:id="100028" w:name="_Toc100028"/>
      <w:r>
        <w:rPr>
          <w:rFonts w:ascii="Times New Roman" w:cs="Simplified Arabic" w:hAnsi="Times New Roman"/>
          <w:b/>
          <w:bCs/>
          <w:color w:val="1F3A5F"/>
          <w:sz w:val="28"/>
          <w:szCs w:val="32"/>
          <w:rtl/>
        </w:rPr>
        <w:t xml:space="preserve">25.1 قرار الذكاء الاصطناعي (AI Decision)</w:t>
      </w:r>
      <w:bookmarkEnd w:id="100028"/>
    </w:p>
    <w:p>
      <w:pPr>
        <w:spacing w:after="60" w:before="140"/>
        <w:jc w:val="center"/>
      </w:pPr>
      <w:r>
        <w:drawing>
          <wp:inline distT="0" distB="0" distL="0" distR="0">
            <wp:extent cx="531495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14950" cy="3581400"/>
                    </a:xfrm>
                    <a:prstGeom prst="rect">
                      <a:avLst/>
                    </a:prstGeom>
                  </pic:spPr>
                </pic:pic>
              </a:graphicData>
            </a:graphic>
          </wp:inline>
        </w:drawing>
      </w:r>
    </w:p>
    <w:p>
      <w:pPr>
        <w:spacing w:after="200"/>
        <w:jc w:val="center"/>
      </w:pPr>
      <w:r>
        <w:rPr>
          <w:rFonts w:ascii="Times New Roman" w:eastAsia="Times New Roman" w:hAnsi="Times New Roman"/>
          <w:b/>
          <w:bCs/>
          <w:i w:val="false"/>
          <w:iCs w:val="false"/>
          <w:color w:val="1F3A5F"/>
          <w:sz w:val="20"/>
          <w:szCs w:val="20"/>
        </w:rPr>
        <w:t xml:space="preserve">Figure 12. </w:t>
      </w:r>
      <w:r>
        <w:rPr>
          <w:rFonts w:ascii="Times New Roman" w:eastAsia="Times New Roman" w:hAnsi="Times New Roman"/>
          <w:b w:val="false"/>
          <w:bCs w:val="false"/>
          <w:i w:val="false"/>
          <w:iCs w:val="false"/>
          <w:color w:val="333333"/>
          <w:sz w:val="20"/>
          <w:szCs w:val="20"/>
        </w:rPr>
        <w:t xml:space="preserve">Sequence — AI decision from user input to SSE answer with audit</w:t>
      </w:r>
    </w:p>
    <w:p>
      <w:pPr>
        <w:pStyle w:val="Heading2"/>
        <w:bidi/>
        <w:spacing w:after="140" w:before="300" w:line="320"/>
        <w:jc w:val="right"/>
      </w:pPr>
      <w:bookmarkStart w:id="100029" w:name="_Toc100029"/>
      <w:r>
        <w:rPr>
          <w:rFonts w:ascii="Times New Roman" w:cs="Simplified Arabic" w:hAnsi="Times New Roman"/>
          <w:b/>
          <w:bCs/>
          <w:color w:val="1F3A5F"/>
          <w:sz w:val="28"/>
          <w:szCs w:val="32"/>
          <w:rtl/>
        </w:rPr>
        <w:t xml:space="preserve">25.2 المشتريات واعتماد أفعال السوق (Procurement)</w:t>
      </w:r>
      <w:bookmarkEnd w:id="100029"/>
    </w:p>
    <w:p>
      <w:pPr>
        <w:spacing w:after="60" w:before="140"/>
        <w:jc w:val="center"/>
      </w:pPr>
      <w:r>
        <w:drawing>
          <wp:inline distT="0" distB="0" distL="0" distR="0">
            <wp:extent cx="531495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14950" cy="3581400"/>
                    </a:xfrm>
                    <a:prstGeom prst="rect">
                      <a:avLst/>
                    </a:prstGeom>
                  </pic:spPr>
                </pic:pic>
              </a:graphicData>
            </a:graphic>
          </wp:inline>
        </w:drawing>
      </w:r>
    </w:p>
    <w:p>
      <w:pPr>
        <w:spacing w:after="200"/>
        <w:jc w:val="center"/>
      </w:pPr>
      <w:r>
        <w:rPr>
          <w:rFonts w:ascii="Times New Roman" w:eastAsia="Times New Roman" w:hAnsi="Times New Roman"/>
          <w:b/>
          <w:bCs/>
          <w:i w:val="false"/>
          <w:iCs w:val="false"/>
          <w:color w:val="1F3A5F"/>
          <w:sz w:val="20"/>
          <w:szCs w:val="20"/>
        </w:rPr>
        <w:t xml:space="preserve">Figure 13. </w:t>
      </w:r>
      <w:r>
        <w:rPr>
          <w:rFonts w:ascii="Times New Roman" w:eastAsia="Times New Roman" w:hAnsi="Times New Roman"/>
          <w:b w:val="false"/>
          <w:bCs w:val="false"/>
          <w:i w:val="false"/>
          <w:iCs w:val="false"/>
          <w:color w:val="333333"/>
          <w:sz w:val="20"/>
          <w:szCs w:val="20"/>
        </w:rPr>
        <w:t xml:space="preserve">Sequence — procurement/market-action with row locks, advisory lock and WORM</w:t>
      </w:r>
    </w:p>
    <w:p>
      <w:pPr>
        <w:pStyle w:val="Heading2"/>
        <w:bidi/>
        <w:spacing w:after="140" w:before="300" w:line="320"/>
        <w:jc w:val="right"/>
      </w:pPr>
      <w:bookmarkStart w:id="100030" w:name="_Toc100030"/>
      <w:r>
        <w:rPr>
          <w:rFonts w:ascii="Times New Roman" w:cs="Simplified Arabic" w:hAnsi="Times New Roman"/>
          <w:b/>
          <w:bCs/>
          <w:color w:val="1F3A5F"/>
          <w:sz w:val="28"/>
          <w:szCs w:val="32"/>
          <w:rtl/>
        </w:rPr>
        <w:t xml:space="preserve">25.3 الأتمتة والاستدعاء الراجع (n8n Callback)</w:t>
      </w:r>
      <w:bookmarkEnd w:id="100030"/>
    </w:p>
    <w:p>
      <w:pPr>
        <w:spacing w:after="60" w:before="140"/>
        <w:jc w:val="center"/>
      </w:pPr>
      <w:r>
        <w:drawing>
          <wp:inline distT="0" distB="0" distL="0" distR="0">
            <wp:extent cx="531495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14950" cy="3276600"/>
                    </a:xfrm>
                    <a:prstGeom prst="rect">
                      <a:avLst/>
                    </a:prstGeom>
                  </pic:spPr>
                </pic:pic>
              </a:graphicData>
            </a:graphic>
          </wp:inline>
        </w:drawing>
      </w:r>
    </w:p>
    <w:p>
      <w:pPr>
        <w:spacing w:after="200"/>
        <w:jc w:val="center"/>
      </w:pPr>
      <w:r>
        <w:rPr>
          <w:rFonts w:ascii="Times New Roman" w:eastAsia="Times New Roman" w:hAnsi="Times New Roman"/>
          <w:b/>
          <w:bCs/>
          <w:i w:val="false"/>
          <w:iCs w:val="false"/>
          <w:color w:val="1F3A5F"/>
          <w:sz w:val="20"/>
          <w:szCs w:val="20"/>
        </w:rPr>
        <w:t xml:space="preserve">Figure 14. </w:t>
      </w:r>
      <w:r>
        <w:rPr>
          <w:rFonts w:ascii="Times New Roman" w:eastAsia="Times New Roman" w:hAnsi="Times New Roman"/>
          <w:b w:val="false"/>
          <w:bCs w:val="false"/>
          <w:i w:val="false"/>
          <w:iCs w:val="false"/>
          <w:color w:val="333333"/>
          <w:sz w:val="20"/>
          <w:szCs w:val="20"/>
        </w:rPr>
        <w:t xml:space="preserve">Sequence — n8n automation with callback measurement loop</w:t>
      </w:r>
    </w:p>
    <w:p>
      <w:pPr>
        <w:pStyle w:val="Heading2"/>
        <w:bidi/>
        <w:spacing w:after="140" w:before="300" w:line="320"/>
        <w:jc w:val="right"/>
      </w:pPr>
      <w:bookmarkStart w:id="100031" w:name="_Toc100031"/>
      <w:r>
        <w:rPr>
          <w:rFonts w:ascii="Times New Roman" w:cs="Simplified Arabic" w:hAnsi="Times New Roman"/>
          <w:b/>
          <w:bCs/>
          <w:color w:val="1F3A5F"/>
          <w:sz w:val="28"/>
          <w:szCs w:val="32"/>
          <w:rtl/>
        </w:rPr>
        <w:t xml:space="preserve">25.4 المساعد المحادثي (Chatbot / RAG)</w:t>
      </w:r>
      <w:bookmarkEnd w:id="100031"/>
    </w:p>
    <w:p>
      <w:pPr>
        <w:spacing w:after="60" w:before="140"/>
        <w:jc w:val="center"/>
      </w:pPr>
      <w:r>
        <w:drawing>
          <wp:inline distT="0" distB="0" distL="0" distR="0">
            <wp:extent cx="531495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14950" cy="3581400"/>
                    </a:xfrm>
                    <a:prstGeom prst="rect">
                      <a:avLst/>
                    </a:prstGeom>
                  </pic:spPr>
                </pic:pic>
              </a:graphicData>
            </a:graphic>
          </wp:inline>
        </w:drawing>
      </w:r>
    </w:p>
    <w:p>
      <w:pPr>
        <w:spacing w:after="200"/>
        <w:jc w:val="center"/>
      </w:pPr>
      <w:r>
        <w:rPr>
          <w:rFonts w:ascii="Times New Roman" w:eastAsia="Times New Roman" w:hAnsi="Times New Roman"/>
          <w:b/>
          <w:bCs/>
          <w:i w:val="false"/>
          <w:iCs w:val="false"/>
          <w:color w:val="1F3A5F"/>
          <w:sz w:val="20"/>
          <w:szCs w:val="20"/>
        </w:rPr>
        <w:t xml:space="preserve">Figure 15. </w:t>
      </w:r>
      <w:r>
        <w:rPr>
          <w:rFonts w:ascii="Times New Roman" w:eastAsia="Times New Roman" w:hAnsi="Times New Roman"/>
          <w:b w:val="false"/>
          <w:bCs w:val="false"/>
          <w:i w:val="false"/>
          <w:iCs w:val="false"/>
          <w:color w:val="333333"/>
          <w:sz w:val="20"/>
          <w:szCs w:val="20"/>
        </w:rPr>
        <w:t xml:space="preserve">Sequence — chatbot RAG with deterministic guardrails and SSE</w:t>
      </w:r>
    </w:p>
    <w:p>
      <w:pPr>
        <w:pStyle w:val="Heading1"/>
        <w:pageBreakBefore/>
        <w:bidi/>
        <w:spacing w:after="200" w:before="400" w:line="340"/>
        <w:jc w:val="right"/>
      </w:pPr>
      <w:bookmarkStart w:id="100032" w:name="_Toc100032"/>
      <w:r>
        <w:rPr>
          <w:rFonts w:ascii="Times New Roman" w:cs="Simplified Arabic" w:hAnsi="Times New Roman"/>
          <w:b/>
          <w:bCs/>
          <w:color w:val="1F3A5F"/>
          <w:sz w:val="32"/>
          <w:szCs w:val="36"/>
          <w:rtl/>
        </w:rPr>
        <w:t xml:space="preserve">26. مخطط الكيانات والعلاقات (ERD)</w:t>
      </w:r>
      <w:bookmarkEnd w:id="100032"/>
    </w:p>
    <w:p>
      <w:pPr>
        <w:bidi/>
        <w:spacing w:after="120" w:line="312"/>
        <w:ind w:firstLine="340"/>
        <w:jc w:val="both"/>
      </w:pPr>
      <w:r>
        <w:rPr>
          <w:rFonts w:ascii="Times New Roman" w:cs="Traditional Arabic" w:hAnsi="Times New Roman"/>
          <w:b w:val="false"/>
          <w:i w:val="false"/>
          <w:iCs w:val="false"/>
          <w:color w:val="000000"/>
          <w:sz w:val="26"/>
          <w:szCs w:val="30"/>
          <w:rtl/>
        </w:rPr>
        <w:t xml:space="preserve">مبني من نماذج SQLAlchemy الفعلية (backend/app/models) وعلاقاتها المعلنة (ForeignKey/relationship). يركز المخطط على كيانات الأعمال الجوهرية، وتُذكر كيانات الدعم أسفله:</w:t>
      </w:r>
    </w:p>
    <w:p>
      <w:pPr>
        <w:spacing w:after="60" w:before="140"/>
        <w:jc w:val="center"/>
      </w:pPr>
      <w:r>
        <w:drawing>
          <wp:inline distT="0" distB="0" distL="0" distR="0">
            <wp:extent cx="590550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05500" cy="3771900"/>
                    </a:xfrm>
                    <a:prstGeom prst="rect">
                      <a:avLst/>
                    </a:prstGeom>
                  </pic:spPr>
                </pic:pic>
              </a:graphicData>
            </a:graphic>
          </wp:inline>
        </w:drawing>
      </w:r>
    </w:p>
    <w:p>
      <w:pPr>
        <w:spacing w:after="200"/>
        <w:jc w:val="center"/>
      </w:pPr>
      <w:r>
        <w:rPr>
          <w:rFonts w:ascii="Times New Roman" w:eastAsia="Times New Roman" w:hAnsi="Times New Roman"/>
          <w:b/>
          <w:bCs/>
          <w:i w:val="false"/>
          <w:iCs w:val="false"/>
          <w:color w:val="1F3A5F"/>
          <w:sz w:val="20"/>
          <w:szCs w:val="20"/>
        </w:rPr>
        <w:t xml:space="preserve">Figure 16. </w:t>
      </w:r>
      <w:r>
        <w:rPr>
          <w:rFonts w:ascii="Times New Roman" w:eastAsia="Times New Roman" w:hAnsi="Times New Roman"/>
          <w:b w:val="false"/>
          <w:bCs w:val="false"/>
          <w:i w:val="false"/>
          <w:iCs w:val="false"/>
          <w:color w:val="333333"/>
          <w:sz w:val="20"/>
          <w:szCs w:val="20"/>
        </w:rPr>
        <w:t xml:space="preserve">ERD — core business entities and relationships (SQLAlchemy models)</w:t>
      </w:r>
    </w:p>
    <w:p>
      <w:pPr>
        <w:bidi/>
        <w:spacing w:after="120" w:line="312"/>
        <w:ind w:firstLine="340"/>
        <w:jc w:val="both"/>
      </w:pPr>
      <w:r>
        <w:rPr>
          <w:rFonts w:ascii="Times New Roman" w:cs="Traditional Arabic" w:hAnsi="Times New Roman"/>
          <w:b w:val="false"/>
          <w:i w:val="false"/>
          <w:iCs w:val="false"/>
          <w:color w:val="000000"/>
          <w:sz w:val="26"/>
          <w:szCs w:val="30"/>
          <w:rtl/>
        </w:rPr>
        <w:t xml:space="preserve">ملاحظات تصميمية مثبتة: (1) جدول التداخلات يفرض ترتيباً a&lt;b على معرفَي الدواء لتفادي الازدواج؛ (2) علاقات التعارف (DrugAffinity) ثنائية الاتجاه بمجموعة union_all؛ (3) كيان MarketIntelligenceAction يحمل دورة حالة كاملة (PENDING → AWAITING_SECOND_APPROVAL → EXECUTED/REJECTED) مع حقل maker/checker في execution_result.</w:t>
      </w:r>
    </w:p>
    <w:p>
      <w:pPr>
        <w:pStyle w:val="Heading1"/>
        <w:pageBreakBefore/>
        <w:bidi/>
        <w:spacing w:after="200" w:before="400" w:line="340"/>
        <w:jc w:val="right"/>
      </w:pPr>
      <w:bookmarkStart w:id="100033" w:name="_Toc100033"/>
      <w:r>
        <w:rPr>
          <w:rFonts w:ascii="Times New Roman" w:cs="Simplified Arabic" w:hAnsi="Times New Roman"/>
          <w:b/>
          <w:bCs/>
          <w:color w:val="1F3A5F"/>
          <w:sz w:val="32"/>
          <w:szCs w:val="36"/>
          <w:rtl/>
        </w:rPr>
        <w:t xml:space="preserve">27. تحليل البيانات (Data Analysis)</w:t>
      </w:r>
      <w:bookmarkEnd w:id="100033"/>
    </w:p>
    <w:p>
      <w:pPr>
        <w:bidi/>
        <w:spacing w:after="120" w:line="312"/>
        <w:ind w:firstLine="340"/>
        <w:jc w:val="both"/>
      </w:pPr>
      <w:r>
        <w:rPr>
          <w:rFonts w:ascii="Times New Roman" w:cs="Traditional Arabic" w:hAnsi="Times New Roman"/>
          <w:b w:val="false"/>
          <w:i w:val="false"/>
          <w:iCs w:val="false"/>
          <w:color w:val="000000"/>
          <w:sz w:val="26"/>
          <w:szCs w:val="30"/>
          <w:rtl/>
        </w:rPr>
        <w:t xml:space="preserve">تتوزع بيانات النظام على ثلاث فئات بحسب الحساسية والاستخدام:</w:t>
      </w:r>
    </w:p>
    <w:p>
      <w:pPr>
        <w:pStyle w:val="ListParagraph"/>
        <w:numPr>
          <w:ilvl w:val="0"/>
          <w:numId w:val="1"/>
        </w:numPr>
        <w:bidi/>
        <w:spacing w:after="60" w:line="312"/>
        <w:jc w:val="both"/>
      </w:pPr>
      <w:r>
        <w:rPr>
          <w:rFonts w:ascii="Times New Roman" w:cs="Traditional Arabic" w:hAnsi="Times New Roman"/>
          <w:b w:val="false"/>
          <w:i w:val="false"/>
          <w:iCs w:val="false"/>
          <w:color w:val="000000"/>
          <w:sz w:val="26"/>
          <w:szCs w:val="30"/>
          <w:rtl/>
        </w:rPr>
        <w:t xml:space="preserve">بيانات تشغيلية للأعمال: drugs, inventory_items, orders/order_items, coupons, suppliers, purchase_orders — تنمو مع البيع وتخضع لعزل المستأجر.</w:t>
      </w:r>
    </w:p>
    <w:p>
      <w:pPr>
        <w:pStyle w:val="ListParagraph"/>
        <w:numPr>
          <w:ilvl w:val="0"/>
          <w:numId w:val="1"/>
        </w:numPr>
        <w:bidi/>
        <w:spacing w:after="60" w:line="312"/>
        <w:jc w:val="both"/>
      </w:pPr>
      <w:r>
        <w:rPr>
          <w:rFonts w:ascii="Times New Roman" w:cs="Traditional Arabic" w:hAnsi="Times New Roman"/>
          <w:b w:val="false"/>
          <w:i w:val="false"/>
          <w:iCs w:val="false"/>
          <w:color w:val="000000"/>
          <w:sz w:val="26"/>
          <w:szCs w:val="30"/>
          <w:rtl/>
        </w:rPr>
        <w:t xml:space="preserve">بيانات سريرية وسلوكية: customer_cycles, pending_reminders, prescriptions (+analysis/items), drug_interactions/affinities — مصدر قرارات التذكير والسلامة، وتخضع للخصوصية الصارمة.</w:t>
      </w:r>
    </w:p>
    <w:p>
      <w:pPr>
        <w:pStyle w:val="ListParagraph"/>
        <w:numPr>
          <w:ilvl w:val="0"/>
          <w:numId w:val="1"/>
        </w:numPr>
        <w:bidi/>
        <w:spacing w:after="60" w:line="312"/>
        <w:jc w:val="both"/>
      </w:pPr>
      <w:r>
        <w:rPr>
          <w:rFonts w:ascii="Times New Roman" w:cs="Traditional Arabic" w:hAnsi="Times New Roman"/>
          <w:b w:val="false"/>
          <w:i w:val="false"/>
          <w:iCs w:val="false"/>
          <w:color w:val="000000"/>
          <w:sz w:val="26"/>
          <w:szCs w:val="30"/>
          <w:rtl/>
        </w:rPr>
        <w:t xml:space="preserve">بيانات معرفة ورقابة: knowledge_chunks (بتضمينات vector 384 بعداً وفهرس HNSW)، ai_chat_logs، sessions/events، audit_logs، WORM sidecar، emergency_outbox — عمود الحوكمة والاسترجاع.</w:t>
      </w:r>
    </w:p>
    <w:p>
      <w:pPr>
        <w:bidi/>
        <w:spacing w:after="120" w:line="312"/>
        <w:ind w:firstLine="340"/>
        <w:jc w:val="both"/>
      </w:pPr>
      <w:r>
        <w:rPr>
          <w:rFonts w:ascii="Times New Roman" w:cs="Traditional Arabic" w:hAnsi="Times New Roman"/>
          <w:b w:val="false"/>
          <w:i w:val="false"/>
          <w:iCs w:val="false"/>
          <w:color w:val="000000"/>
          <w:sz w:val="26"/>
          <w:szCs w:val="30"/>
          <w:rtl/>
        </w:rPr>
        <w:t xml:space="preserve">ومن حيث نمط الوصول: قراءة الكتالوج كثيفة ومخبأة (60ث)، البحث الدلالي عبر HNSW (استجابة &lt; 20ms كما يوثق النظام داخلياً)، الكتابات الرقابية append-only، ومزامنة WORM عبر ترقيم مفاتيحي keyset لا OFFSET.</w:t>
      </w:r>
    </w:p>
    <w:p>
      <w:pPr>
        <w:bidi/>
        <w:spacing w:after="120" w:line="312"/>
        <w:ind w:firstLine="340"/>
        <w:jc w:val="both"/>
      </w:pPr>
      <w:r>
        <w:rPr>
          <w:rFonts w:ascii="Times New Roman" w:cs="Traditional Arabic" w:hAnsi="Times New Roman"/>
          <w:b w:val="false"/>
          <w:i w:val="false"/>
          <w:iCs w:val="false"/>
          <w:color w:val="000000"/>
          <w:sz w:val="26"/>
          <w:szCs w:val="30"/>
          <w:rtl/>
        </w:rPr>
        <w:t xml:space="preserve">جودة البيانات قاعدة حاكمة: القياس الفاشل يظهر «غير متاح» مع علم data_quality، والأرقام المعيارية المعلنة (مثل attach_rate القطاعي) معنونة صراحة كمقياس قطاعي لا داخلي حتى توفر بيانات كافية.</w:t>
      </w:r>
    </w:p>
    <w:p>
      <w:pPr>
        <w:pStyle w:val="Heading1"/>
        <w:pageBreakBefore/>
        <w:bidi/>
        <w:spacing w:after="200" w:before="400" w:line="340"/>
        <w:jc w:val="right"/>
      </w:pPr>
      <w:bookmarkStart w:id="100034" w:name="_Toc100034"/>
      <w:r>
        <w:rPr>
          <w:rFonts w:ascii="Times New Roman" w:cs="Simplified Arabic" w:hAnsi="Times New Roman"/>
          <w:b/>
          <w:bCs/>
          <w:color w:val="1F3A5F"/>
          <w:sz w:val="32"/>
          <w:szCs w:val="36"/>
          <w:rtl/>
        </w:rPr>
        <w:t xml:space="preserve">28. قاموس البيانات (Data Dictionary)</w:t>
      </w:r>
      <w:bookmarkEnd w:id="100034"/>
    </w:p>
    <w:p>
      <w:pPr>
        <w:bidi/>
        <w:spacing w:after="120" w:line="312"/>
        <w:ind w:firstLine="340"/>
        <w:jc w:val="both"/>
      </w:pPr>
      <w:r>
        <w:rPr>
          <w:rFonts w:ascii="Times New Roman" w:cs="Traditional Arabic" w:hAnsi="Times New Roman"/>
          <w:b w:val="false"/>
          <w:i w:val="false"/>
          <w:iCs w:val="false"/>
          <w:color w:val="000000"/>
          <w:sz w:val="26"/>
          <w:szCs w:val="30"/>
          <w:rtl/>
        </w:rPr>
        <w:t xml:space="preserve">عينة تمثيلية من الحقول الأهم (القائمة الكاملة في النماذج):</w:t>
      </w:r>
    </w:p>
    <w:p>
      <w:pPr>
        <w:keepNext/>
        <w:bidi/>
        <w:spacing w:after="80" w:before="160"/>
        <w:jc w:val="right"/>
      </w:pPr>
      <w:r>
        <w:rPr>
          <w:rFonts w:ascii="Times New Roman" w:cs="Traditional Arabic" w:hAnsi="Times New Roman"/>
          <w:b/>
          <w:bCs/>
          <w:i w:val="false"/>
          <w:iCs w:val="false"/>
          <w:color w:val="000000"/>
          <w:sz w:val="22"/>
          <w:szCs w:val="22"/>
          <w:rtl/>
        </w:rPr>
        <w:t xml:space="preserve">جدول 15: </w:t>
      </w:r>
      <w:r>
        <w:rPr>
          <w:rFonts w:ascii="Times New Roman" w:cs="Traditional Arabic" w:hAnsi="Times New Roman"/>
          <w:b w:val="false"/>
          <w:i w:val="false"/>
          <w:iCs w:val="false"/>
          <w:color w:val="000000"/>
          <w:sz w:val="22"/>
          <w:szCs w:val="22"/>
          <w:rtl/>
        </w:rPr>
        <w:t xml:space="preserve">قاموس بيانات — كيانات مختارة</w:t>
      </w:r>
    </w:p>
    <w:tbl>
      <w:tblPr>
        <w:bidiVisual/>
        <w:tblW w:type="pct" w:w="100%"/>
        <w:tblBorders>
          <w:top w:val="single" w:color="9AA6B2" w:sz="6"/>
          <w:left w:val="none" w:color="FFFFFF" w:sz="0"/>
          <w:bottom w:val="single" w:color="9AA6B2" w:sz="6"/>
          <w:right w:val="none" w:color="FFFFFF" w:sz="0"/>
          <w:insideH w:val="single" w:color="D5DCE4" w:sz="2"/>
          <w:insideV w:val="single" w:color="D5DCE4" w:sz="2"/>
        </w:tblBorders>
      </w:tblPr>
      <w:tblGrid>
        <w:gridCol w:w="100"/>
        <w:gridCol w:w="100"/>
        <w:gridCol w:w="100"/>
        <w:gridCol w:w="100"/>
      </w:tblGrid>
      <w:tr>
        <w:trPr>
          <w:cantSplit/>
          <w:tblHeader/>
        </w:trPr>
        <w:tc>
          <w:tcPr>
            <w:tcW w:type="pct" w:w="16%"/>
            <w:shd w:fill="E8EDF3" w:val="clear"/>
            <w:tcMar>
              <w:top w:type="dxa" w:w="70"/>
              <w:left w:type="dxa" w:w="100"/>
              <w:bottom w:type="dxa" w:w="70"/>
              <w:right w:type="dxa" w:w="100"/>
            </w:tcMar>
            <w:vAlign w:val="center"/>
          </w:tcPr>
          <w:p>
            <w:pPr>
              <w:bidi/>
              <w:jc w:val="center"/>
            </w:pPr>
            <w:r>
              <w:rPr>
                <w:rFonts w:ascii="Times New Roman" w:cs="Traditional Arabic" w:hAnsi="Times New Roman"/>
                <w:b/>
                <w:bCs/>
                <w:i w:val="false"/>
                <w:iCs w:val="false"/>
                <w:color w:val="111111"/>
                <w:sz w:val="21"/>
                <w:szCs w:val="21"/>
                <w:rtl/>
              </w:rPr>
              <w:t xml:space="preserve">الكيان</w:t>
            </w:r>
          </w:p>
        </w:tc>
        <w:tc>
          <w:tcPr>
            <w:tcW w:type="pct" w:w="20%"/>
            <w:shd w:fill="E8EDF3" w:val="clear"/>
            <w:tcMar>
              <w:top w:type="dxa" w:w="70"/>
              <w:left w:type="dxa" w:w="100"/>
              <w:bottom w:type="dxa" w:w="70"/>
              <w:right w:type="dxa" w:w="100"/>
            </w:tcMar>
            <w:vAlign w:val="center"/>
          </w:tcPr>
          <w:p>
            <w:pPr>
              <w:bidi/>
              <w:jc w:val="center"/>
            </w:pPr>
            <w:r>
              <w:rPr>
                <w:rFonts w:ascii="Times New Roman" w:cs="Traditional Arabic" w:hAnsi="Times New Roman"/>
                <w:b/>
                <w:bCs/>
                <w:i w:val="false"/>
                <w:iCs w:val="false"/>
                <w:color w:val="111111"/>
                <w:sz w:val="21"/>
                <w:szCs w:val="21"/>
                <w:rtl/>
              </w:rPr>
              <w:t xml:space="preserve">الحقل</w:t>
            </w:r>
          </w:p>
        </w:tc>
        <w:tc>
          <w:tcPr>
            <w:tcW w:type="pct" w:w="12%"/>
            <w:shd w:fill="E8EDF3" w:val="clear"/>
            <w:tcMar>
              <w:top w:type="dxa" w:w="70"/>
              <w:left w:type="dxa" w:w="100"/>
              <w:bottom w:type="dxa" w:w="70"/>
              <w:right w:type="dxa" w:w="100"/>
            </w:tcMar>
            <w:vAlign w:val="center"/>
          </w:tcPr>
          <w:p>
            <w:pPr>
              <w:bidi/>
              <w:jc w:val="center"/>
            </w:pPr>
            <w:r>
              <w:rPr>
                <w:rFonts w:ascii="Times New Roman" w:cs="Traditional Arabic" w:hAnsi="Times New Roman"/>
                <w:b/>
                <w:bCs/>
                <w:i w:val="false"/>
                <w:iCs w:val="false"/>
                <w:color w:val="111111"/>
                <w:sz w:val="21"/>
                <w:szCs w:val="21"/>
                <w:rtl/>
              </w:rPr>
              <w:t xml:space="preserve">النوع</w:t>
            </w:r>
          </w:p>
        </w:tc>
        <w:tc>
          <w:tcPr>
            <w:tcW w:type="pct" w:w="52%"/>
            <w:shd w:fill="E8EDF3" w:val="clear"/>
            <w:tcMar>
              <w:top w:type="dxa" w:w="70"/>
              <w:left w:type="dxa" w:w="100"/>
              <w:bottom w:type="dxa" w:w="70"/>
              <w:right w:type="dxa" w:w="100"/>
            </w:tcMar>
            <w:vAlign w:val="center"/>
          </w:tcPr>
          <w:p>
            <w:pPr>
              <w:bidi/>
              <w:jc w:val="center"/>
            </w:pPr>
            <w:r>
              <w:rPr>
                <w:rFonts w:ascii="Times New Roman" w:cs="Traditional Arabic" w:hAnsi="Times New Roman"/>
                <w:b/>
                <w:bCs/>
                <w:i w:val="false"/>
                <w:iCs w:val="false"/>
                <w:color w:val="111111"/>
                <w:sz w:val="21"/>
                <w:szCs w:val="21"/>
                <w:rtl/>
              </w:rPr>
              <w:t xml:space="preserve">الوصف والقواعد</w:t>
            </w:r>
          </w:p>
        </w:tc>
      </w:tr>
      <w:tr>
        <w:trPr>
          <w:cantSplit/>
        </w:trPr>
        <w:tc>
          <w:tcPr>
            <w:tcW w:type="pct" w:w="16%"/>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drugs</w:t>
            </w:r>
          </w:p>
        </w:tc>
        <w:tc>
          <w:tcPr>
            <w:tcW w:type="pct" w:w="20%"/>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active_ingredient</w:t>
            </w:r>
          </w:p>
        </w:tc>
        <w:tc>
          <w:tcPr>
            <w:tcW w:type="pct" w:w="12%"/>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text</w:t>
            </w:r>
          </w:p>
        </w:tc>
        <w:tc>
          <w:tcPr>
            <w:tcW w:type="pct" w:w="52%"/>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المادة الفعالة — مدخل محرك CDSS؛ يُطبّع بإزالة الأملاح الشائعة وتوحيد الأحماض</w:t>
            </w:r>
          </w:p>
        </w:tc>
      </w:tr>
      <w:tr>
        <w:trPr>
          <w:cantSplit/>
        </w:trPr>
        <w:tc>
          <w:tcPr>
            <w:tcW w:type="pct" w:w="16%"/>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drugs</w:t>
            </w:r>
          </w:p>
        </w:tc>
        <w:tc>
          <w:tcPr>
            <w:tcW w:type="pct" w:w="20%"/>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dosage</w:t>
            </w:r>
          </w:p>
        </w:tc>
        <w:tc>
          <w:tcPr>
            <w:tcW w:type="pct" w:w="12%"/>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text</w:t>
            </w:r>
          </w:p>
        </w:tc>
        <w:tc>
          <w:tcPr>
            <w:tcW w:type="pct" w:w="52%"/>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التركيز — يطابق للبدائل (same_strength) ويهمل لمكشف التكرار</w:t>
            </w:r>
          </w:p>
        </w:tc>
      </w:tr>
      <w:tr>
        <w:trPr>
          <w:cantSplit/>
        </w:trPr>
        <w:tc>
          <w:tcPr>
            <w:tcW w:type="pct" w:w="16%"/>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drug_interactions</w:t>
            </w:r>
          </w:p>
        </w:tc>
        <w:tc>
          <w:tcPr>
            <w:tcW w:type="pct" w:w="20%"/>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drug_id_a / drug_id_b</w:t>
            </w:r>
          </w:p>
        </w:tc>
        <w:tc>
          <w:tcPr>
            <w:tcW w:type="pct" w:w="12%"/>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UUID</w:t>
            </w:r>
          </w:p>
        </w:tc>
        <w:tc>
          <w:tcPr>
            <w:tcW w:type="pct" w:w="52%"/>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زوج مرتب a&lt;b لإلغاء الازدواج في الفحص</w:t>
            </w:r>
          </w:p>
        </w:tc>
      </w:tr>
      <w:tr>
        <w:trPr>
          <w:cantSplit/>
        </w:trPr>
        <w:tc>
          <w:tcPr>
            <w:tcW w:type="pct" w:w="16%"/>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inventory_items</w:t>
            </w:r>
          </w:p>
        </w:tc>
        <w:tc>
          <w:tcPr>
            <w:tcW w:type="pct" w:w="20%"/>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stock_level / reorder_point</w:t>
            </w:r>
          </w:p>
        </w:tc>
        <w:tc>
          <w:tcPr>
            <w:tcW w:type="pct" w:w="12%"/>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int</w:t>
            </w:r>
          </w:p>
        </w:tc>
        <w:tc>
          <w:tcPr>
            <w:tcW w:type="pct" w:w="52%"/>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الرصيد وحد إعادة الطلب — مصدر تنبيهات المخزون</w:t>
            </w:r>
          </w:p>
        </w:tc>
      </w:tr>
      <w:tr>
        <w:trPr>
          <w:cantSplit/>
        </w:trPr>
        <w:tc>
          <w:tcPr>
            <w:tcW w:type="pct" w:w="16%"/>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orders / order_items</w:t>
            </w:r>
          </w:p>
        </w:tc>
        <w:tc>
          <w:tcPr>
            <w:tcW w:type="pct" w:w="20%"/>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price × quantity</w:t>
            </w:r>
          </w:p>
        </w:tc>
        <w:tc>
          <w:tcPr>
            <w:tcW w:type="pct" w:w="12%"/>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numeric</w:t>
            </w:r>
          </w:p>
        </w:tc>
        <w:tc>
          <w:tcPr>
            <w:tcW w:type="pct" w:w="52%"/>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مصدر الإيراد الحقيقي — يحل محل عمود total غائب (قرار موثق)</w:t>
            </w:r>
          </w:p>
        </w:tc>
      </w:tr>
      <w:tr>
        <w:trPr>
          <w:cantSplit/>
        </w:trPr>
        <w:tc>
          <w:tcPr>
            <w:tcW w:type="pct" w:w="16%"/>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coupons</w:t>
            </w:r>
          </w:p>
        </w:tc>
        <w:tc>
          <w:tcPr>
            <w:tcW w:type="pct" w:w="20%"/>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code / used_at / expires_at</w:t>
            </w:r>
          </w:p>
        </w:tc>
        <w:tc>
          <w:tcPr>
            <w:tcW w:type="pct" w:w="12%"/>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text/timestamptz</w:t>
            </w:r>
          </w:p>
        </w:tc>
        <w:tc>
          <w:tcPr>
            <w:tcW w:type="pct" w:w="52%"/>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دورة حياة كاملة: صالح، مستخدم، منتهٍ</w:t>
            </w:r>
          </w:p>
        </w:tc>
      </w:tr>
      <w:tr>
        <w:trPr>
          <w:cantSplit/>
        </w:trPr>
        <w:tc>
          <w:tcPr>
            <w:tcW w:type="pct" w:w="16%"/>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journal_entries</w:t>
            </w:r>
          </w:p>
        </w:tc>
        <w:tc>
          <w:tcPr>
            <w:tcW w:type="pct" w:w="20%"/>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total_debit / total_credit / is_balanced</w:t>
            </w:r>
          </w:p>
        </w:tc>
        <w:tc>
          <w:tcPr>
            <w:tcW w:type="pct" w:w="12%"/>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numeric/bool</w:t>
            </w:r>
          </w:p>
        </w:tc>
        <w:tc>
          <w:tcPr>
            <w:tcW w:type="pct" w:w="52%"/>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قيد مزدوج يجب توازنه</w:t>
            </w:r>
          </w:p>
        </w:tc>
      </w:tr>
      <w:tr>
        <w:trPr>
          <w:cantSplit/>
        </w:trPr>
        <w:tc>
          <w:tcPr>
            <w:tcW w:type="pct" w:w="16%"/>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journal_entry_lines</w:t>
            </w:r>
          </w:p>
        </w:tc>
        <w:tc>
          <w:tcPr>
            <w:tcW w:type="pct" w:w="20%"/>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account / debit / credit</w:t>
            </w:r>
          </w:p>
        </w:tc>
        <w:tc>
          <w:tcPr>
            <w:tcW w:type="pct" w:w="12%"/>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text/numeric</w:t>
            </w:r>
          </w:p>
        </w:tc>
        <w:tc>
          <w:tcPr>
            <w:tcW w:type="pct" w:w="52%"/>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سطور القيد — تعتمد عليها القوائم الجنائية</w:t>
            </w:r>
          </w:p>
        </w:tc>
      </w:tr>
      <w:tr>
        <w:trPr>
          <w:cantSplit/>
        </w:trPr>
        <w:tc>
          <w:tcPr>
            <w:tcW w:type="pct" w:w="16%"/>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customer_cycles</w:t>
            </w:r>
          </w:p>
        </w:tc>
        <w:tc>
          <w:tcPr>
            <w:tcW w:type="pct" w:w="20%"/>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avg_cycle_days</w:t>
            </w:r>
          </w:p>
        </w:tc>
        <w:tc>
          <w:tcPr>
            <w:tcW w:type="pct" w:w="12%"/>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numeric</w:t>
            </w:r>
          </w:p>
        </w:tc>
        <w:tc>
          <w:tcPr>
            <w:tcW w:type="pct" w:w="52%"/>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دورة الشراء الشخصية — قلب محرك التذكير</w:t>
            </w:r>
          </w:p>
        </w:tc>
      </w:tr>
      <w:tr>
        <w:trPr>
          <w:cantSplit/>
        </w:trPr>
        <w:tc>
          <w:tcPr>
            <w:tcW w:type="pct" w:w="16%"/>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pending_reminders</w:t>
            </w:r>
          </w:p>
        </w:tc>
        <w:tc>
          <w:tcPr>
            <w:tcW w:type="pct" w:w="20%"/>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churn_probability / decision</w:t>
            </w:r>
          </w:p>
        </w:tc>
        <w:tc>
          <w:tcPr>
            <w:tcW w:type="pct" w:w="12%"/>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numeric/text</w:t>
            </w:r>
          </w:p>
        </w:tc>
        <w:tc>
          <w:tcPr>
            <w:tcW w:type="pct" w:w="52%"/>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قرار التذكير: auto_send أو مراجعة بشرية</w:t>
            </w:r>
          </w:p>
        </w:tc>
      </w:tr>
      <w:tr>
        <w:trPr>
          <w:cantSplit/>
        </w:trPr>
        <w:tc>
          <w:tcPr>
            <w:tcW w:type="pct" w:w="16%"/>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prescriptions</w:t>
            </w:r>
          </w:p>
        </w:tc>
        <w:tc>
          <w:tcPr>
            <w:tcW w:type="pct" w:w="20%"/>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image_url / status</w:t>
            </w:r>
          </w:p>
        </w:tc>
        <w:tc>
          <w:tcPr>
            <w:tcW w:type="pct" w:w="12%"/>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text</w:t>
            </w:r>
          </w:p>
        </w:tc>
        <w:tc>
          <w:tcPr>
            <w:tcW w:type="pct" w:w="52%"/>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الروشتة ومسار معالجتها حتى المراجعة</w:t>
            </w:r>
          </w:p>
        </w:tc>
      </w:tr>
      <w:tr>
        <w:trPr>
          <w:cantSplit/>
        </w:trPr>
        <w:tc>
          <w:tcPr>
            <w:tcW w:type="pct" w:w="16%"/>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audit_logs</w:t>
            </w:r>
          </w:p>
        </w:tc>
        <w:tc>
          <w:tcPr>
            <w:tcW w:type="pct" w:w="20%"/>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actor_id / action_type / details</w:t>
            </w:r>
          </w:p>
        </w:tc>
        <w:tc>
          <w:tcPr>
            <w:tcW w:type="pct" w:w="12%"/>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text/jsonb</w:t>
            </w:r>
          </w:p>
        </w:tc>
        <w:tc>
          <w:tcPr>
            <w:tcW w:type="pct" w:w="52%"/>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أثر رقابي لكل حدث حرج (log_id افتراضي من القاعدة)</w:t>
            </w:r>
          </w:p>
        </w:tc>
      </w:tr>
      <w:tr>
        <w:trPr>
          <w:cantSplit/>
        </w:trPr>
        <w:tc>
          <w:tcPr>
            <w:tcW w:type="pct" w:w="16%"/>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knowledge_chunks</w:t>
            </w:r>
          </w:p>
        </w:tc>
        <w:tc>
          <w:tcPr>
            <w:tcW w:type="pct" w:w="20%"/>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embedding</w:t>
            </w:r>
          </w:p>
        </w:tc>
        <w:tc>
          <w:tcPr>
            <w:tcW w:type="pct" w:w="12%"/>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vector(384)</w:t>
            </w:r>
          </w:p>
        </w:tc>
        <w:tc>
          <w:tcPr>
            <w:tcW w:type="pct" w:w="52%"/>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تضمين BERT متعدد اللغات — فهرس HNSW cosine</w:t>
            </w:r>
          </w:p>
        </w:tc>
      </w:tr>
      <w:tr>
        <w:trPr>
          <w:cantSplit/>
        </w:trPr>
        <w:tc>
          <w:tcPr>
            <w:tcW w:type="pct" w:w="16%"/>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market_intelligence_actions</w:t>
            </w:r>
          </w:p>
        </w:tc>
        <w:tc>
          <w:tcPr>
            <w:tcW w:type="pct" w:w="20%"/>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status / market_signal_id / execution_result</w:t>
            </w:r>
          </w:p>
        </w:tc>
        <w:tc>
          <w:tcPr>
            <w:tcW w:type="pct" w:w="12%"/>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text/jsonb</w:t>
            </w:r>
          </w:p>
        </w:tc>
        <w:tc>
          <w:tcPr>
            <w:tcW w:type="pct" w:w="52%"/>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قرارات تنفيذية بحالة PENDING/AWAITING/EXECUTED/REJECTED</w:t>
            </w:r>
          </w:p>
        </w:tc>
      </w:tr>
      <w:tr>
        <w:trPr>
          <w:cantSplit/>
        </w:trPr>
        <w:tc>
          <w:tcPr>
            <w:tcW w:type="pct" w:w="16%"/>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automation_runs</w:t>
            </w:r>
          </w:p>
        </w:tc>
        <w:tc>
          <w:tcPr>
            <w:tcW w:type="pct" w:w="20%"/>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status / run_id / n8n_detail</w:t>
            </w:r>
          </w:p>
        </w:tc>
        <w:tc>
          <w:tcPr>
            <w:tcW w:type="pct" w:w="12%"/>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text</w:t>
            </w:r>
          </w:p>
        </w:tc>
        <w:tc>
          <w:tcPr>
            <w:tcW w:type="pct" w:w="52%"/>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قياس تسليم الأتمتة الفعلي</w:t>
            </w:r>
          </w:p>
        </w:tc>
      </w:tr>
      <w:tr>
        <w:trPr>
          <w:cantSplit/>
        </w:trPr>
        <w:tc>
          <w:tcPr>
            <w:tcW w:type="pct" w:w="16%"/>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sessions / events</w:t>
            </w:r>
          </w:p>
        </w:tc>
        <w:tc>
          <w:tcPr>
            <w:tcW w:type="pct" w:w="20%"/>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event_type / payload_hash</w:t>
            </w:r>
          </w:p>
        </w:tc>
        <w:tc>
          <w:tcPr>
            <w:tcW w:type="pct" w:w="12%"/>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text</w:t>
            </w:r>
          </w:p>
        </w:tc>
        <w:tc>
          <w:tcPr>
            <w:tcW w:type="pct" w:w="52%"/>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سلوك المستخدم + مصدر مزامنة WORM</w:t>
            </w:r>
          </w:p>
        </w:tc>
      </w:tr>
    </w:tbl>
    <w:p>
      <w:pPr>
        <w:pStyle w:val="Heading1"/>
        <w:pageBreakBefore/>
        <w:bidi/>
        <w:spacing w:after="200" w:before="400" w:line="340"/>
        <w:jc w:val="right"/>
      </w:pPr>
      <w:bookmarkStart w:id="100035" w:name="_Toc100035"/>
      <w:r>
        <w:rPr>
          <w:rFonts w:ascii="Times New Roman" w:cs="Simplified Arabic" w:hAnsi="Times New Roman"/>
          <w:b/>
          <w:bCs/>
          <w:color w:val="1F3A5F"/>
          <w:sz w:val="32"/>
          <w:szCs w:val="36"/>
          <w:rtl/>
        </w:rPr>
        <w:t xml:space="preserve">29. تحليل دعم القرار بالذكاء الاصطناعي الوكيل (AI / Agentic Decision Support)</w:t>
      </w:r>
      <w:bookmarkEnd w:id="100035"/>
    </w:p>
    <w:p>
      <w:pPr>
        <w:bidi/>
        <w:spacing w:after="120" w:line="312"/>
        <w:ind w:firstLine="340"/>
        <w:jc w:val="both"/>
      </w:pPr>
      <w:r>
        <w:rPr>
          <w:rFonts w:ascii="Times New Roman" w:cs="Traditional Arabic" w:hAnsi="Times New Roman"/>
          <w:b w:val="false"/>
          <w:i w:val="false"/>
          <w:iCs w:val="false"/>
          <w:color w:val="000000"/>
          <w:sz w:val="26"/>
          <w:szCs w:val="30"/>
          <w:rtl/>
        </w:rPr>
        <w:t xml:space="preserve">يحلل هذا القسم الوكلاء الاثني عشر الفعليين في backend/app/domains/agents — كل وكيل يجمع مدخلات حقيقية، ومحركاً حتمياً يحسب، وحواجز تحمي، ونموذجاً لغوياً يصيغ، ومخرجاً يتحول لفعل أعمال، وأثراً رقابياً:</w:t>
      </w:r>
    </w:p>
    <w:p>
      <w:pPr>
        <w:keepNext/>
        <w:bidi/>
        <w:spacing w:after="80" w:before="160"/>
        <w:jc w:val="right"/>
      </w:pPr>
      <w:r>
        <w:rPr>
          <w:rFonts w:ascii="Times New Roman" w:cs="Traditional Arabic" w:hAnsi="Times New Roman"/>
          <w:b/>
          <w:bCs/>
          <w:i w:val="false"/>
          <w:iCs w:val="false"/>
          <w:color w:val="000000"/>
          <w:sz w:val="22"/>
          <w:szCs w:val="22"/>
          <w:rtl/>
        </w:rPr>
        <w:t xml:space="preserve">جدول 16: </w:t>
      </w:r>
      <w:r>
        <w:rPr>
          <w:rFonts w:ascii="Times New Roman" w:cs="Traditional Arabic" w:hAnsi="Times New Roman"/>
          <w:b w:val="false"/>
          <w:i w:val="false"/>
          <w:iCs w:val="false"/>
          <w:color w:val="000000"/>
          <w:sz w:val="22"/>
          <w:szCs w:val="22"/>
          <w:rtl/>
        </w:rPr>
        <w:t xml:space="preserve">تحليل الوكلاء الاثني عشر (المبدأ: Code Calculates, LLM Articulates)</w:t>
      </w:r>
    </w:p>
    <w:tbl>
      <w:tblPr>
        <w:bidiVisual/>
        <w:tblW w:type="pct" w:w="100%"/>
        <w:tblBorders>
          <w:top w:val="single" w:color="9AA6B2" w:sz="6"/>
          <w:left w:val="none" w:color="FFFFFF" w:sz="0"/>
          <w:bottom w:val="single" w:color="9AA6B2" w:sz="6"/>
          <w:right w:val="none" w:color="FFFFFF" w:sz="0"/>
          <w:insideH w:val="single" w:color="D5DCE4" w:sz="2"/>
          <w:insideV w:val="single" w:color="D5DCE4" w:sz="2"/>
        </w:tblBorders>
      </w:tblPr>
      <w:tblGrid>
        <w:gridCol w:w="100"/>
        <w:gridCol w:w="100"/>
        <w:gridCol w:w="100"/>
        <w:gridCol w:w="100"/>
        <w:gridCol w:w="100"/>
        <w:gridCol w:w="100"/>
        <w:gridCol w:w="100"/>
        <w:gridCol w:w="100"/>
        <w:gridCol w:w="100"/>
        <w:gridCol w:w="100"/>
        <w:gridCol w:w="100"/>
      </w:tblGrid>
      <w:tr>
        <w:trPr>
          <w:cantSplit/>
          <w:tblHeader/>
        </w:trPr>
        <w:tc>
          <w:tcPr>
            <w:tcW w:type="pct" w:w="9%"/>
            <w:shd w:fill="E8EDF3" w:val="clear"/>
            <w:tcMar>
              <w:top w:type="dxa" w:w="70"/>
              <w:left w:type="dxa" w:w="100"/>
              <w:bottom w:type="dxa" w:w="70"/>
              <w:right w:type="dxa" w:w="100"/>
            </w:tcMar>
            <w:vAlign w:val="center"/>
          </w:tcPr>
          <w:p>
            <w:pPr>
              <w:bidi/>
              <w:jc w:val="center"/>
            </w:pPr>
            <w:r>
              <w:rPr>
                <w:rFonts w:ascii="Times New Roman" w:cs="Traditional Arabic" w:hAnsi="Times New Roman"/>
                <w:b/>
                <w:bCs/>
                <w:i w:val="false"/>
                <w:iCs w:val="false"/>
                <w:color w:val="111111"/>
                <w:sz w:val="21"/>
                <w:szCs w:val="21"/>
                <w:rtl/>
              </w:rPr>
              <w:t xml:space="preserve">الوكيل</w:t>
            </w:r>
          </w:p>
        </w:tc>
        <w:tc>
          <w:tcPr>
            <w:tcW w:type="pct" w:w="9%"/>
            <w:shd w:fill="E8EDF3" w:val="clear"/>
            <w:tcMar>
              <w:top w:type="dxa" w:w="70"/>
              <w:left w:type="dxa" w:w="100"/>
              <w:bottom w:type="dxa" w:w="70"/>
              <w:right w:type="dxa" w:w="100"/>
            </w:tcMar>
            <w:vAlign w:val="center"/>
          </w:tcPr>
          <w:p>
            <w:pPr>
              <w:bidi/>
              <w:jc w:val="center"/>
            </w:pPr>
            <w:r>
              <w:rPr>
                <w:rFonts w:ascii="Times New Roman" w:cs="Traditional Arabic" w:hAnsi="Times New Roman"/>
                <w:b/>
                <w:bCs/>
                <w:i w:val="false"/>
                <w:iCs w:val="false"/>
                <w:color w:val="111111"/>
                <w:sz w:val="21"/>
                <w:szCs w:val="21"/>
                <w:rtl/>
              </w:rPr>
              <w:t xml:space="preserve">الغرض</w:t>
            </w:r>
          </w:p>
        </w:tc>
        <w:tc>
          <w:tcPr>
            <w:tcW w:type="pct" w:w="11%"/>
            <w:shd w:fill="E8EDF3" w:val="clear"/>
            <w:tcMar>
              <w:top w:type="dxa" w:w="70"/>
              <w:left w:type="dxa" w:w="100"/>
              <w:bottom w:type="dxa" w:w="70"/>
              <w:right w:type="dxa" w:w="100"/>
            </w:tcMar>
            <w:vAlign w:val="center"/>
          </w:tcPr>
          <w:p>
            <w:pPr>
              <w:bidi/>
              <w:jc w:val="center"/>
            </w:pPr>
            <w:r>
              <w:rPr>
                <w:rFonts w:ascii="Times New Roman" w:cs="Traditional Arabic" w:hAnsi="Times New Roman"/>
                <w:b/>
                <w:bCs/>
                <w:i w:val="false"/>
                <w:iCs w:val="false"/>
                <w:color w:val="111111"/>
                <w:sz w:val="21"/>
                <w:szCs w:val="21"/>
                <w:rtl/>
              </w:rPr>
              <w:t xml:space="preserve">المشكلة</w:t>
            </w:r>
          </w:p>
        </w:tc>
        <w:tc>
          <w:tcPr>
            <w:tcW w:type="pct" w:w="10%"/>
            <w:shd w:fill="E8EDF3" w:val="clear"/>
            <w:tcMar>
              <w:top w:type="dxa" w:w="70"/>
              <w:left w:type="dxa" w:w="100"/>
              <w:bottom w:type="dxa" w:w="70"/>
              <w:right w:type="dxa" w:w="100"/>
            </w:tcMar>
            <w:vAlign w:val="center"/>
          </w:tcPr>
          <w:p>
            <w:pPr>
              <w:bidi/>
              <w:jc w:val="center"/>
            </w:pPr>
            <w:r>
              <w:rPr>
                <w:rFonts w:ascii="Times New Roman" w:cs="Traditional Arabic" w:hAnsi="Times New Roman"/>
                <w:b/>
                <w:bCs/>
                <w:i w:val="false"/>
                <w:iCs w:val="false"/>
                <w:color w:val="111111"/>
                <w:sz w:val="21"/>
                <w:szCs w:val="21"/>
                <w:rtl/>
              </w:rPr>
              <w:t xml:space="preserve">المدخلات</w:t>
            </w:r>
          </w:p>
        </w:tc>
        <w:tc>
          <w:tcPr>
            <w:tcW w:type="pct" w:w="14%"/>
            <w:shd w:fill="E8EDF3" w:val="clear"/>
            <w:tcMar>
              <w:top w:type="dxa" w:w="70"/>
              <w:left w:type="dxa" w:w="100"/>
              <w:bottom w:type="dxa" w:w="70"/>
              <w:right w:type="dxa" w:w="100"/>
            </w:tcMar>
            <w:vAlign w:val="center"/>
          </w:tcPr>
          <w:p>
            <w:pPr>
              <w:bidi/>
              <w:jc w:val="center"/>
            </w:pPr>
            <w:r>
              <w:rPr>
                <w:rFonts w:ascii="Times New Roman" w:cs="Traditional Arabic" w:hAnsi="Times New Roman"/>
                <w:b/>
                <w:bCs/>
                <w:i w:val="false"/>
                <w:iCs w:val="false"/>
                <w:color w:val="111111"/>
                <w:sz w:val="21"/>
                <w:szCs w:val="21"/>
                <w:rtl/>
              </w:rPr>
              <w:t xml:space="preserve">المحرك الحتمي</w:t>
            </w:r>
          </w:p>
        </w:tc>
        <w:tc>
          <w:tcPr>
            <w:tcW w:type="pct" w:w="13%"/>
            <w:shd w:fill="E8EDF3" w:val="clear"/>
            <w:tcMar>
              <w:top w:type="dxa" w:w="70"/>
              <w:left w:type="dxa" w:w="100"/>
              <w:bottom w:type="dxa" w:w="70"/>
              <w:right w:type="dxa" w:w="100"/>
            </w:tcMar>
            <w:vAlign w:val="center"/>
          </w:tcPr>
          <w:p>
            <w:pPr>
              <w:bidi/>
              <w:jc w:val="center"/>
            </w:pPr>
            <w:r>
              <w:rPr>
                <w:rFonts w:ascii="Times New Roman" w:cs="Traditional Arabic" w:hAnsi="Times New Roman"/>
                <w:b/>
                <w:bCs/>
                <w:i w:val="false"/>
                <w:iCs w:val="false"/>
                <w:color w:val="111111"/>
                <w:sz w:val="21"/>
                <w:szCs w:val="21"/>
                <w:rtl/>
              </w:rPr>
              <w:t xml:space="preserve">الحاجز (Guardrail)</w:t>
            </w:r>
          </w:p>
        </w:tc>
        <w:tc>
          <w:tcPr>
            <w:tcW w:type="pct" w:w="8%"/>
            <w:shd w:fill="E8EDF3" w:val="clear"/>
            <w:tcMar>
              <w:top w:type="dxa" w:w="70"/>
              <w:left w:type="dxa" w:w="100"/>
              <w:bottom w:type="dxa" w:w="70"/>
              <w:right w:type="dxa" w:w="100"/>
            </w:tcMar>
            <w:vAlign w:val="center"/>
          </w:tcPr>
          <w:p>
            <w:pPr>
              <w:bidi/>
              <w:jc w:val="center"/>
            </w:pPr>
            <w:r>
              <w:rPr>
                <w:rFonts w:ascii="Times New Roman" w:cs="Traditional Arabic" w:hAnsi="Times New Roman"/>
                <w:b/>
                <w:bCs/>
                <w:i w:val="false"/>
                <w:iCs w:val="false"/>
                <w:color w:val="111111"/>
                <w:sz w:val="21"/>
                <w:szCs w:val="21"/>
                <w:rtl/>
              </w:rPr>
              <w:t xml:space="preserve">دور الـ LLM</w:t>
            </w:r>
          </w:p>
        </w:tc>
        <w:tc>
          <w:tcPr>
            <w:tcW w:type="pct" w:w="8%"/>
            <w:shd w:fill="E8EDF3" w:val="clear"/>
            <w:tcMar>
              <w:top w:type="dxa" w:w="70"/>
              <w:left w:type="dxa" w:w="100"/>
              <w:bottom w:type="dxa" w:w="70"/>
              <w:right w:type="dxa" w:w="100"/>
            </w:tcMar>
            <w:vAlign w:val="center"/>
          </w:tcPr>
          <w:p>
            <w:pPr>
              <w:bidi/>
              <w:jc w:val="center"/>
            </w:pPr>
            <w:r>
              <w:rPr>
                <w:rFonts w:ascii="Times New Roman" w:cs="Traditional Arabic" w:hAnsi="Times New Roman"/>
                <w:b/>
                <w:bCs/>
                <w:i w:val="false"/>
                <w:iCs w:val="false"/>
                <w:color w:val="111111"/>
                <w:sz w:val="21"/>
                <w:szCs w:val="21"/>
                <w:rtl/>
              </w:rPr>
              <w:t xml:space="preserve">المخرج</w:t>
            </w:r>
          </w:p>
        </w:tc>
        <w:tc>
          <w:tcPr>
            <w:tcW w:type="pct" w:w="8%"/>
            <w:shd w:fill="E8EDF3" w:val="clear"/>
            <w:tcMar>
              <w:top w:type="dxa" w:w="70"/>
              <w:left w:type="dxa" w:w="100"/>
              <w:bottom w:type="dxa" w:w="70"/>
              <w:right w:type="dxa" w:w="100"/>
            </w:tcMar>
            <w:vAlign w:val="center"/>
          </w:tcPr>
          <w:p>
            <w:pPr>
              <w:bidi/>
              <w:jc w:val="center"/>
            </w:pPr>
            <w:r>
              <w:rPr>
                <w:rFonts w:ascii="Times New Roman" w:cs="Traditional Arabic" w:hAnsi="Times New Roman"/>
                <w:b/>
                <w:bCs/>
                <w:i w:val="false"/>
                <w:iCs w:val="false"/>
                <w:color w:val="111111"/>
                <w:sz w:val="21"/>
                <w:szCs w:val="21"/>
                <w:rtl/>
              </w:rPr>
              <w:t xml:space="preserve">فعل الأعمال</w:t>
            </w:r>
          </w:p>
        </w:tc>
        <w:tc>
          <w:tcPr>
            <w:tcW w:type="pct" w:w="6%"/>
            <w:shd w:fill="E8EDF3" w:val="clear"/>
            <w:tcMar>
              <w:top w:type="dxa" w:w="70"/>
              <w:left w:type="dxa" w:w="100"/>
              <w:bottom w:type="dxa" w:w="70"/>
              <w:right w:type="dxa" w:w="100"/>
            </w:tcMar>
            <w:vAlign w:val="center"/>
          </w:tcPr>
          <w:p>
            <w:pPr>
              <w:bidi/>
              <w:jc w:val="center"/>
            </w:pPr>
            <w:r>
              <w:rPr>
                <w:rFonts w:ascii="Times New Roman" w:cs="Traditional Arabic" w:hAnsi="Times New Roman"/>
                <w:b/>
                <w:bCs/>
                <w:i w:val="false"/>
                <w:iCs w:val="false"/>
                <w:color w:val="111111"/>
                <w:sz w:val="21"/>
                <w:szCs w:val="21"/>
                <w:rtl/>
              </w:rPr>
              <w:t xml:space="preserve">التدقيق</w:t>
            </w:r>
          </w:p>
        </w:tc>
        <w:tc>
          <w:tcPr>
            <w:tcW w:type="pct" w:w="4%"/>
            <w:shd w:fill="E8EDF3" w:val="clear"/>
            <w:tcMar>
              <w:top w:type="dxa" w:w="70"/>
              <w:left w:type="dxa" w:w="100"/>
              <w:bottom w:type="dxa" w:w="70"/>
              <w:right w:type="dxa" w:w="100"/>
            </w:tcMar>
            <w:vAlign w:val="center"/>
          </w:tcPr>
          <w:p>
            <w:pPr>
              <w:bidi/>
              <w:jc w:val="center"/>
            </w:pPr>
            <w:r>
              <w:rPr>
                <w:rFonts w:ascii="Times New Roman" w:cs="Traditional Arabic" w:hAnsi="Times New Roman"/>
                <w:b/>
                <w:bCs/>
                <w:i w:val="false"/>
                <w:iCs w:val="false"/>
                <w:color w:val="111111"/>
                <w:sz w:val="21"/>
                <w:szCs w:val="21"/>
                <w:rtl/>
              </w:rPr>
              <w:t xml:space="preserve">الدليل</w:t>
            </w:r>
          </w:p>
        </w:tc>
      </w:tr>
      <w:tr>
        <w:trPr>
          <w:cantSplit/>
        </w:trPr>
        <w:tc>
          <w:tcPr>
            <w:tcW w:type="pct" w:w="9%"/>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5"/>
                <w:szCs w:val="15"/>
              </w:rPr>
              <w:t xml:space="preserve">Pricing Agent</w:t>
            </w:r>
          </w:p>
        </w:tc>
        <w:tc>
          <w:tcPr>
            <w:tcW w:type="pct" w:w="9%"/>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5"/>
                <w:szCs w:val="15"/>
                <w:rtl/>
              </w:rPr>
              <w:t xml:space="preserve">تسعير احتفاظ مصرفي</w:t>
            </w:r>
          </w:p>
        </w:tc>
        <w:tc>
          <w:tcPr>
            <w:tcW w:type="pct" w:w="11%"/>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5"/>
                <w:szCs w:val="15"/>
                <w:rtl/>
              </w:rPr>
              <w:t xml:space="preserve">خصومات تقتل الهامش أو تمنح لغير المستحق</w:t>
            </w:r>
          </w:p>
        </w:tc>
        <w:tc>
          <w:tcPr>
            <w:tcW w:type="pct" w:w="10%"/>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5"/>
                <w:szCs w:val="15"/>
                <w:rtl/>
              </w:rPr>
              <w:t xml:space="preserve">اسم عميل، churn، فئة، أيام الغياب</w:t>
            </w:r>
          </w:p>
        </w:tc>
        <w:tc>
          <w:tcPr>
            <w:tcW w:type="pct" w:w="14%"/>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5"/>
                <w:szCs w:val="15"/>
                <w:rtl/>
              </w:rPr>
              <w:t xml:space="preserve">محرك هوامش صافية + بوابة جدوى (تكلفة ≥ ربح ⇒ 0)</w:t>
            </w:r>
          </w:p>
        </w:tc>
        <w:tc>
          <w:tcPr>
            <w:tcW w:type="pct" w:w="13%"/>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5"/>
                <w:szCs w:val="15"/>
                <w:rtl/>
              </w:rPr>
              <w:t xml:space="preserve">سقوف فئوية + فرض السقف بعد الـ LLM + ROI من المحرك</w:t>
            </w:r>
          </w:p>
        </w:tc>
        <w:tc>
          <w:tcPr>
            <w:tcW w:type="pct" w:w="8%"/>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5"/>
                <w:szCs w:val="15"/>
                <w:rtl/>
              </w:rPr>
              <w:t xml:space="preserve">تبرير مالي بالأرقام</w:t>
            </w:r>
          </w:p>
        </w:tc>
        <w:tc>
          <w:tcPr>
            <w:tcW w:type="pct" w:w="8%"/>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5"/>
                <w:szCs w:val="15"/>
                <w:rtl/>
              </w:rPr>
              <w:t xml:space="preserve">نسبة خصم + قرار</w:t>
            </w:r>
          </w:p>
        </w:tc>
        <w:tc>
          <w:tcPr>
            <w:tcW w:type="pct" w:w="8%"/>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5"/>
                <w:szCs w:val="15"/>
                <w:rtl/>
              </w:rPr>
              <w:t xml:space="preserve">خصم يُطبق على الكوبون</w:t>
            </w:r>
          </w:p>
        </w:tc>
        <w:tc>
          <w:tcPr>
            <w:tcW w:type="pct" w:w="6%"/>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5"/>
                <w:szCs w:val="15"/>
              </w:rPr>
              <w:t xml:space="preserve">audit + coupon record</w:t>
            </w:r>
          </w:p>
        </w:tc>
        <w:tc>
          <w:tcPr>
            <w:tcW w:type="pct" w:w="4%"/>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5"/>
                <w:szCs w:val="15"/>
              </w:rPr>
              <w:t xml:space="preserve">agents/pricing.py</w:t>
            </w:r>
          </w:p>
        </w:tc>
      </w:tr>
      <w:tr>
        <w:trPr>
          <w:cantSplit/>
        </w:trPr>
        <w:tc>
          <w:tcPr>
            <w:tcW w:type="pct" w:w="9%"/>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5"/>
                <w:szCs w:val="15"/>
              </w:rPr>
              <w:t xml:space="preserve">Inventory Agent</w:t>
            </w:r>
          </w:p>
        </w:tc>
        <w:tc>
          <w:tcPr>
            <w:tcW w:type="pct" w:w="9%"/>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5"/>
                <w:szCs w:val="15"/>
                <w:rtl/>
              </w:rPr>
              <w:t xml:space="preserve">صحة المخزون</w:t>
            </w:r>
          </w:p>
        </w:tc>
        <w:tc>
          <w:tcPr>
            <w:tcW w:type="pct" w:w="11%"/>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5"/>
                <w:szCs w:val="15"/>
                <w:rtl/>
              </w:rPr>
              <w:t xml:space="preserve">نفاد مفاجئ وراكد مجمّد</w:t>
            </w:r>
          </w:p>
        </w:tc>
        <w:tc>
          <w:tcPr>
            <w:tcW w:type="pct" w:w="10%"/>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5"/>
                <w:szCs w:val="15"/>
                <w:rtl/>
              </w:rPr>
              <w:t xml:space="preserve">مخزون، سرعة صرف 90 يوم، حدود</w:t>
            </w:r>
          </w:p>
        </w:tc>
        <w:tc>
          <w:tcPr>
            <w:tcW w:type="pct" w:w="14%"/>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5"/>
                <w:szCs w:val="15"/>
                <w:rtl/>
              </w:rPr>
              <w:t xml:space="preserve">سرعة صرف فعلية من order_items + أيام التغطية</w:t>
            </w:r>
          </w:p>
        </w:tc>
        <w:tc>
          <w:tcPr>
            <w:tcW w:type="pct" w:w="13%"/>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5"/>
                <w:szCs w:val="15"/>
                <w:rtl/>
              </w:rPr>
              <w:t xml:space="preserve">قواعد قرب النفاد/الراكد بصدق الفراغ</w:t>
            </w:r>
          </w:p>
        </w:tc>
        <w:tc>
          <w:tcPr>
            <w:tcW w:type="pct" w:w="8%"/>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5"/>
                <w:szCs w:val="15"/>
                <w:rtl/>
              </w:rPr>
              <w:t xml:space="preserve">توصيات مخزون</w:t>
            </w:r>
          </w:p>
        </w:tc>
        <w:tc>
          <w:tcPr>
            <w:tcW w:type="pct" w:w="8%"/>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5"/>
                <w:szCs w:val="15"/>
                <w:rtl/>
              </w:rPr>
              <w:t xml:space="preserve">top-5 قريب نفاد + راكد</w:t>
            </w:r>
          </w:p>
        </w:tc>
        <w:tc>
          <w:tcPr>
            <w:tcW w:type="pct" w:w="8%"/>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5"/>
                <w:szCs w:val="15"/>
                <w:rtl/>
              </w:rPr>
              <w:t xml:space="preserve">قرار شراء/تخفيض</w:t>
            </w:r>
          </w:p>
        </w:tc>
        <w:tc>
          <w:tcPr>
            <w:tcW w:type="pct" w:w="6%"/>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5"/>
                <w:szCs w:val="15"/>
              </w:rPr>
              <w:t xml:space="preserve">audit</w:t>
            </w:r>
          </w:p>
        </w:tc>
        <w:tc>
          <w:tcPr>
            <w:tcW w:type="pct" w:w="4%"/>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5"/>
                <w:szCs w:val="15"/>
              </w:rPr>
              <w:t xml:space="preserve">agents/inventory.py</w:t>
            </w:r>
          </w:p>
        </w:tc>
      </w:tr>
      <w:tr>
        <w:trPr>
          <w:cantSplit/>
        </w:trPr>
        <w:tc>
          <w:tcPr>
            <w:tcW w:type="pct" w:w="9%"/>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5"/>
                <w:szCs w:val="15"/>
              </w:rPr>
              <w:t xml:space="preserve">Finance Agent</w:t>
            </w:r>
          </w:p>
        </w:tc>
        <w:tc>
          <w:tcPr>
            <w:tcW w:type="pct" w:w="9%"/>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5"/>
                <w:szCs w:val="15"/>
                <w:rtl/>
              </w:rPr>
              <w:t xml:space="preserve">الجدوى المالية للعميل</w:t>
            </w:r>
          </w:p>
        </w:tc>
        <w:tc>
          <w:tcPr>
            <w:tcW w:type="pct" w:w="11%"/>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5"/>
                <w:szCs w:val="15"/>
                <w:rtl/>
              </w:rPr>
              <w:t xml:space="preserve">قرارات على عملاء بلا تقييم CLV</w:t>
            </w:r>
          </w:p>
        </w:tc>
        <w:tc>
          <w:tcPr>
            <w:tcW w:type="pct" w:w="10%"/>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5"/>
                <w:szCs w:val="15"/>
                <w:rtl/>
              </w:rPr>
              <w:t xml:space="preserve">اسم عميل → استعلام حقيقي</w:t>
            </w:r>
          </w:p>
        </w:tc>
        <w:tc>
          <w:tcPr>
            <w:tcW w:type="pct" w:w="14%"/>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5"/>
                <w:szCs w:val="15"/>
                <w:rtl/>
              </w:rPr>
              <w:t xml:space="preserve">CLV = AOV × تكرار سنوي (من القاعدة)</w:t>
            </w:r>
          </w:p>
        </w:tc>
        <w:tc>
          <w:tcPr>
            <w:tcW w:type="pct" w:w="13%"/>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5"/>
                <w:szCs w:val="15"/>
                <w:rtl/>
              </w:rPr>
              <w:t xml:space="preserve">رفض عند not-found عبر error gate</w:t>
            </w:r>
          </w:p>
        </w:tc>
        <w:tc>
          <w:tcPr>
            <w:tcW w:type="pct" w:w="8%"/>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5"/>
                <w:szCs w:val="15"/>
                <w:rtl/>
              </w:rPr>
              <w:t xml:space="preserve">تبرير CLV</w:t>
            </w:r>
          </w:p>
        </w:tc>
        <w:tc>
          <w:tcPr>
            <w:tcW w:type="pct" w:w="8%"/>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5"/>
                <w:szCs w:val="15"/>
                <w:rtl/>
              </w:rPr>
              <w:t xml:space="preserve">CLV + قرار</w:t>
            </w:r>
          </w:p>
        </w:tc>
        <w:tc>
          <w:tcPr>
            <w:tcW w:type="pct" w:w="8%"/>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5"/>
                <w:szCs w:val="15"/>
                <w:rtl/>
              </w:rPr>
              <w:t xml:space="preserve">مدخل قرار الخصم</w:t>
            </w:r>
          </w:p>
        </w:tc>
        <w:tc>
          <w:tcPr>
            <w:tcW w:type="pct" w:w="6%"/>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5"/>
                <w:szCs w:val="15"/>
              </w:rPr>
              <w:t xml:space="preserve">audit</w:t>
            </w:r>
          </w:p>
        </w:tc>
        <w:tc>
          <w:tcPr>
            <w:tcW w:type="pct" w:w="4%"/>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5"/>
                <w:szCs w:val="15"/>
              </w:rPr>
              <w:t xml:space="preserve">agents/finance.py</w:t>
            </w:r>
          </w:p>
        </w:tc>
      </w:tr>
      <w:tr>
        <w:trPr>
          <w:cantSplit/>
        </w:trPr>
        <w:tc>
          <w:tcPr>
            <w:tcW w:type="pct" w:w="9%"/>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5"/>
                <w:szCs w:val="15"/>
              </w:rPr>
              <w:t xml:space="preserve">Customer Success</w:t>
            </w:r>
          </w:p>
        </w:tc>
        <w:tc>
          <w:tcPr>
            <w:tcW w:type="pct" w:w="9%"/>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5"/>
                <w:szCs w:val="15"/>
                <w:rtl/>
              </w:rPr>
              <w:t xml:space="preserve">الاحتفاظ بالعملاء</w:t>
            </w:r>
          </w:p>
        </w:tc>
        <w:tc>
          <w:tcPr>
            <w:tcW w:type="pct" w:w="11%"/>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5"/>
                <w:szCs w:val="15"/>
                <w:rtl/>
              </w:rPr>
              <w:t xml:space="preserve">انقطاع صامت للمزمنين</w:t>
            </w:r>
          </w:p>
        </w:tc>
        <w:tc>
          <w:tcPr>
            <w:tcW w:type="pct" w:w="10%"/>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5"/>
                <w:szCs w:val="15"/>
                <w:rtl/>
              </w:rPr>
              <w:t xml:space="preserve">دورات، churn، آخر شراء</w:t>
            </w:r>
          </w:p>
        </w:tc>
        <w:tc>
          <w:tcPr>
            <w:tcW w:type="pct" w:w="14%"/>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5"/>
                <w:szCs w:val="15"/>
                <w:rtl/>
              </w:rPr>
              <w:t xml:space="preserve">حساب churn ودرجة خطر من الدورة</w:t>
            </w:r>
          </w:p>
        </w:tc>
        <w:tc>
          <w:tcPr>
            <w:tcW w:type="pct" w:w="13%"/>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5"/>
                <w:szCs w:val="15"/>
                <w:rtl/>
              </w:rPr>
              <w:t xml:space="preserve">حدود risk_level (0.7/0.4/0.2)</w:t>
            </w:r>
          </w:p>
        </w:tc>
        <w:tc>
          <w:tcPr>
            <w:tcW w:type="pct" w:w="8%"/>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5"/>
                <w:szCs w:val="15"/>
                <w:rtl/>
              </w:rPr>
              <w:t xml:space="preserve">خطة احتفاظ</w:t>
            </w:r>
          </w:p>
        </w:tc>
        <w:tc>
          <w:tcPr>
            <w:tcW w:type="pct" w:w="8%"/>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5"/>
                <w:szCs w:val="15"/>
                <w:rtl/>
              </w:rPr>
              <w:t xml:space="preserve">إجراء موصى به</w:t>
            </w:r>
          </w:p>
        </w:tc>
        <w:tc>
          <w:tcPr>
            <w:tcW w:type="pct" w:w="8%"/>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5"/>
                <w:szCs w:val="15"/>
                <w:rtl/>
              </w:rPr>
              <w:t xml:space="preserve">تذكير/عرض</w:t>
            </w:r>
          </w:p>
        </w:tc>
        <w:tc>
          <w:tcPr>
            <w:tcW w:type="pct" w:w="6%"/>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5"/>
                <w:szCs w:val="15"/>
              </w:rPr>
              <w:t xml:space="preserve">audit</w:t>
            </w:r>
          </w:p>
        </w:tc>
        <w:tc>
          <w:tcPr>
            <w:tcW w:type="pct" w:w="4%"/>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5"/>
                <w:szCs w:val="15"/>
              </w:rPr>
              <w:t xml:space="preserve">agents/customer_success.py</w:t>
            </w:r>
          </w:p>
        </w:tc>
      </w:tr>
      <w:tr>
        <w:trPr>
          <w:cantSplit/>
        </w:trPr>
        <w:tc>
          <w:tcPr>
            <w:tcW w:type="pct" w:w="9%"/>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5"/>
                <w:szCs w:val="15"/>
              </w:rPr>
              <w:t xml:space="preserve">Support Agent</w:t>
            </w:r>
          </w:p>
        </w:tc>
        <w:tc>
          <w:tcPr>
            <w:tcW w:type="pct" w:w="9%"/>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5"/>
                <w:szCs w:val="15"/>
                <w:rtl/>
              </w:rPr>
              <w:t xml:space="preserve">خدمة ما بعد البيع</w:t>
            </w:r>
          </w:p>
        </w:tc>
        <w:tc>
          <w:tcPr>
            <w:tcW w:type="pct" w:w="11%"/>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5"/>
                <w:szCs w:val="15"/>
                <w:rtl/>
              </w:rPr>
              <w:t xml:space="preserve">شكاوى تضيع بلا تصنيف</w:t>
            </w:r>
          </w:p>
        </w:tc>
        <w:tc>
          <w:tcPr>
            <w:tcW w:type="pct" w:w="10%"/>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5"/>
                <w:szCs w:val="15"/>
                <w:rtl/>
              </w:rPr>
              <w:t xml:space="preserve">نص الشكوى + سجل العميل</w:t>
            </w:r>
          </w:p>
        </w:tc>
        <w:tc>
          <w:tcPr>
            <w:tcW w:type="pct" w:w="14%"/>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5"/>
                <w:szCs w:val="15"/>
                <w:rtl/>
              </w:rPr>
              <w:t xml:space="preserve">تصنيف نوع/شدة (عربي) بقواعد</w:t>
            </w:r>
          </w:p>
        </w:tc>
        <w:tc>
          <w:tcPr>
            <w:tcW w:type="pct" w:w="13%"/>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5"/>
                <w:szCs w:val="15"/>
                <w:rtl/>
              </w:rPr>
              <w:t xml:space="preserve">تصعيد حسب الشدة</w:t>
            </w:r>
          </w:p>
        </w:tc>
        <w:tc>
          <w:tcPr>
            <w:tcW w:type="pct" w:w="8%"/>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5"/>
                <w:szCs w:val="15"/>
                <w:rtl/>
              </w:rPr>
              <w:t xml:space="preserve">رد متعاطف</w:t>
            </w:r>
          </w:p>
        </w:tc>
        <w:tc>
          <w:tcPr>
            <w:tcW w:type="pct" w:w="8%"/>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5"/>
                <w:szCs w:val="15"/>
                <w:rtl/>
              </w:rPr>
              <w:t xml:space="preserve">resolution + حالة شكوى</w:t>
            </w:r>
          </w:p>
        </w:tc>
        <w:tc>
          <w:tcPr>
            <w:tcW w:type="pct" w:w="8%"/>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5"/>
                <w:szCs w:val="15"/>
                <w:rtl/>
              </w:rPr>
              <w:t xml:space="preserve">فتح complaint + audit</w:t>
            </w:r>
          </w:p>
        </w:tc>
        <w:tc>
          <w:tcPr>
            <w:tcW w:type="pct" w:w="6%"/>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5"/>
                <w:szCs w:val="15"/>
              </w:rPr>
              <w:t xml:space="preserve">complaints + audit_logs</w:t>
            </w:r>
          </w:p>
        </w:tc>
        <w:tc>
          <w:tcPr>
            <w:tcW w:type="pct" w:w="4%"/>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5"/>
                <w:szCs w:val="15"/>
              </w:rPr>
              <w:t xml:space="preserve">agents/support.py</w:t>
            </w:r>
          </w:p>
        </w:tc>
      </w:tr>
      <w:tr>
        <w:trPr>
          <w:cantSplit/>
        </w:trPr>
        <w:tc>
          <w:tcPr>
            <w:tcW w:type="pct" w:w="9%"/>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5"/>
                <w:szCs w:val="15"/>
              </w:rPr>
              <w:t xml:space="preserve">Analytics Agent</w:t>
            </w:r>
          </w:p>
        </w:tc>
        <w:tc>
          <w:tcPr>
            <w:tcW w:type="pct" w:w="9%"/>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5"/>
                <w:szCs w:val="15"/>
                <w:rtl/>
              </w:rPr>
              <w:t xml:space="preserve">قياس الأداء</w:t>
            </w:r>
          </w:p>
        </w:tc>
        <w:tc>
          <w:tcPr>
            <w:tcW w:type="pct" w:w="11%"/>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5"/>
                <w:szCs w:val="15"/>
                <w:rtl/>
              </w:rPr>
              <w:t xml:space="preserve">أرقام مبعثرة بلا سرد</w:t>
            </w:r>
          </w:p>
        </w:tc>
        <w:tc>
          <w:tcPr>
            <w:tcW w:type="pct" w:w="10%"/>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5"/>
                <w:szCs w:val="15"/>
                <w:rtl/>
              </w:rPr>
              <w:t xml:space="preserve">طلبات/إيراد حي، churn</w:t>
            </w:r>
          </w:p>
        </w:tc>
        <w:tc>
          <w:tcPr>
            <w:tcW w:type="pct" w:w="14%"/>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5"/>
                <w:szCs w:val="15"/>
                <w:rtl/>
              </w:rPr>
              <w:t xml:space="preserve">KPIs من SQL على القاعدة</w:t>
            </w:r>
          </w:p>
        </w:tc>
        <w:tc>
          <w:tcPr>
            <w:tcW w:type="pct" w:w="13%"/>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5"/>
                <w:szCs w:val="15"/>
              </w:rPr>
              <w:t xml:space="preserve">data_quality flag + source labels</w:t>
            </w:r>
          </w:p>
        </w:tc>
        <w:tc>
          <w:tcPr>
            <w:tcW w:type="pct" w:w="8%"/>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5"/>
                <w:szCs w:val="15"/>
                <w:rtl/>
              </w:rPr>
              <w:t xml:space="preserve">ملخص تنفيذي</w:t>
            </w:r>
          </w:p>
        </w:tc>
        <w:tc>
          <w:tcPr>
            <w:tcW w:type="pct" w:w="8%"/>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5"/>
                <w:szCs w:val="15"/>
                <w:rtl/>
              </w:rPr>
              <w:t xml:space="preserve">ملخص + مؤشرات</w:t>
            </w:r>
          </w:p>
        </w:tc>
        <w:tc>
          <w:tcPr>
            <w:tcW w:type="pct" w:w="8%"/>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5"/>
                <w:szCs w:val="15"/>
                <w:rtl/>
              </w:rPr>
              <w:t xml:space="preserve">قراءة إدارية</w:t>
            </w:r>
          </w:p>
        </w:tc>
        <w:tc>
          <w:tcPr>
            <w:tcW w:type="pct" w:w="6%"/>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5"/>
                <w:szCs w:val="15"/>
              </w:rPr>
              <w:t xml:space="preserve">audit</w:t>
            </w:r>
          </w:p>
        </w:tc>
        <w:tc>
          <w:tcPr>
            <w:tcW w:type="pct" w:w="4%"/>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5"/>
                <w:szCs w:val="15"/>
              </w:rPr>
              <w:t xml:space="preserve">agents/analytics.py</w:t>
            </w:r>
          </w:p>
        </w:tc>
      </w:tr>
      <w:tr>
        <w:trPr>
          <w:cantSplit/>
        </w:trPr>
        <w:tc>
          <w:tcPr>
            <w:tcW w:type="pct" w:w="9%"/>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5"/>
                <w:szCs w:val="15"/>
              </w:rPr>
              <w:t xml:space="preserve">Sales Agent</w:t>
            </w:r>
          </w:p>
        </w:tc>
        <w:tc>
          <w:tcPr>
            <w:tcW w:type="pct" w:w="9%"/>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5"/>
                <w:szCs w:val="15"/>
                <w:rtl/>
              </w:rPr>
              <w:t xml:space="preserve">بيع متقاطع</w:t>
            </w:r>
          </w:p>
        </w:tc>
        <w:tc>
          <w:tcPr>
            <w:tcW w:type="pct" w:w="11%"/>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5"/>
                <w:szCs w:val="15"/>
                <w:rtl/>
              </w:rPr>
              <w:t xml:space="preserve">اقتراحات بلا علاقات حقيقية</w:t>
            </w:r>
          </w:p>
        </w:tc>
        <w:tc>
          <w:tcPr>
            <w:tcW w:type="pct" w:w="10%"/>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5"/>
                <w:szCs w:val="15"/>
                <w:rtl/>
              </w:rPr>
              <w:t xml:space="preserve">دواء حالي + تاريخ</w:t>
            </w:r>
          </w:p>
        </w:tc>
        <w:tc>
          <w:tcPr>
            <w:tcW w:type="pct" w:w="14%"/>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5"/>
                <w:szCs w:val="15"/>
                <w:rtl/>
              </w:rPr>
              <w:t xml:space="preserve">drug_affinities (علاقات مقاسة)</w:t>
            </w:r>
          </w:p>
        </w:tc>
        <w:tc>
          <w:tcPr>
            <w:tcW w:type="pct" w:w="13%"/>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5"/>
                <w:szCs w:val="15"/>
                <w:rtl/>
              </w:rPr>
              <w:t xml:space="preserve">is_verified فقط</w:t>
            </w:r>
          </w:p>
        </w:tc>
        <w:tc>
          <w:tcPr>
            <w:tcW w:type="pct" w:w="8%"/>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5"/>
                <w:szCs w:val="15"/>
                <w:rtl/>
              </w:rPr>
              <w:t xml:space="preserve">توصيات</w:t>
            </w:r>
          </w:p>
        </w:tc>
        <w:tc>
          <w:tcPr>
            <w:tcW w:type="pct" w:w="8%"/>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5"/>
                <w:szCs w:val="15"/>
                <w:rtl/>
              </w:rPr>
              <w:t xml:space="preserve">قائمة توصيات</w:t>
            </w:r>
          </w:p>
        </w:tc>
        <w:tc>
          <w:tcPr>
            <w:tcW w:type="pct" w:w="8%"/>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5"/>
                <w:szCs w:val="15"/>
                <w:rtl/>
              </w:rPr>
              <w:t xml:space="preserve">سلة/حملة</w:t>
            </w:r>
          </w:p>
        </w:tc>
        <w:tc>
          <w:tcPr>
            <w:tcW w:type="pct" w:w="6%"/>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5"/>
                <w:szCs w:val="15"/>
              </w:rPr>
              <w:t xml:space="preserve">audit</w:t>
            </w:r>
          </w:p>
        </w:tc>
        <w:tc>
          <w:tcPr>
            <w:tcW w:type="pct" w:w="4%"/>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5"/>
                <w:szCs w:val="15"/>
              </w:rPr>
              <w:t xml:space="preserve">agents/sales.py</w:t>
            </w:r>
          </w:p>
        </w:tc>
      </w:tr>
      <w:tr>
        <w:trPr>
          <w:cantSplit/>
        </w:trPr>
        <w:tc>
          <w:tcPr>
            <w:tcW w:type="pct" w:w="9%"/>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5"/>
                <w:szCs w:val="15"/>
              </w:rPr>
              <w:t xml:space="preserve">Documentation Agent</w:t>
            </w:r>
          </w:p>
        </w:tc>
        <w:tc>
          <w:tcPr>
            <w:tcW w:type="pct" w:w="9%"/>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5"/>
                <w:szCs w:val="15"/>
                <w:rtl/>
              </w:rPr>
              <w:t xml:space="preserve">ذاكرة القرارات</w:t>
            </w:r>
          </w:p>
        </w:tc>
        <w:tc>
          <w:tcPr>
            <w:tcW w:type="pct" w:w="11%"/>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5"/>
                <w:szCs w:val="15"/>
                <w:rtl/>
              </w:rPr>
              <w:t xml:space="preserve">قرارات بلا أثر موثق</w:t>
            </w:r>
          </w:p>
        </w:tc>
        <w:tc>
          <w:tcPr>
            <w:tcW w:type="pct" w:w="10%"/>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5"/>
                <w:szCs w:val="15"/>
                <w:rtl/>
              </w:rPr>
              <w:t xml:space="preserve">قرار + كيان</w:t>
            </w:r>
          </w:p>
        </w:tc>
        <w:tc>
          <w:tcPr>
            <w:tcW w:type="pct" w:w="14%"/>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5"/>
                <w:szCs w:val="15"/>
                <w:rtl/>
              </w:rPr>
              <w:t xml:space="preserve">تثبيت في audit_logs</w:t>
            </w:r>
          </w:p>
        </w:tc>
        <w:tc>
          <w:tcPr>
            <w:tcW w:type="pct" w:w="13%"/>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5"/>
                <w:szCs w:val="15"/>
                <w:rtl/>
              </w:rPr>
              <w:t xml:space="preserve">قالب توثيق</w:t>
            </w:r>
          </w:p>
        </w:tc>
        <w:tc>
          <w:tcPr>
            <w:tcW w:type="pct" w:w="8%"/>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5"/>
                <w:szCs w:val="15"/>
                <w:rtl/>
              </w:rPr>
              <w:t xml:space="preserve">صياغة سجل</w:t>
            </w:r>
          </w:p>
        </w:tc>
        <w:tc>
          <w:tcPr>
            <w:tcW w:type="pct" w:w="8%"/>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5"/>
                <w:szCs w:val="15"/>
                <w:rtl/>
              </w:rPr>
              <w:t xml:space="preserve">سجل قرار</w:t>
            </w:r>
          </w:p>
        </w:tc>
        <w:tc>
          <w:tcPr>
            <w:tcW w:type="pct" w:w="8%"/>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5"/>
                <w:szCs w:val="15"/>
                <w:rtl/>
              </w:rPr>
              <w:t xml:space="preserve">أثر رقابي</w:t>
            </w:r>
          </w:p>
        </w:tc>
        <w:tc>
          <w:tcPr>
            <w:tcW w:type="pct" w:w="6%"/>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5"/>
                <w:szCs w:val="15"/>
              </w:rPr>
              <w:t xml:space="preserve">audit_logs</w:t>
            </w:r>
          </w:p>
        </w:tc>
        <w:tc>
          <w:tcPr>
            <w:tcW w:type="pct" w:w="4%"/>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5"/>
                <w:szCs w:val="15"/>
              </w:rPr>
              <w:t xml:space="preserve">agents/documentation.py</w:t>
            </w:r>
          </w:p>
        </w:tc>
      </w:tr>
      <w:tr>
        <w:trPr>
          <w:cantSplit/>
        </w:trPr>
        <w:tc>
          <w:tcPr>
            <w:tcW w:type="pct" w:w="9%"/>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5"/>
                <w:szCs w:val="15"/>
              </w:rPr>
              <w:t xml:space="preserve">Automation Agent</w:t>
            </w:r>
          </w:p>
        </w:tc>
        <w:tc>
          <w:tcPr>
            <w:tcW w:type="pct" w:w="9%"/>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5"/>
                <w:szCs w:val="15"/>
                <w:rtl/>
              </w:rPr>
              <w:t xml:space="preserve">أتمتة الإرسال</w:t>
            </w:r>
          </w:p>
        </w:tc>
        <w:tc>
          <w:tcPr>
            <w:tcW w:type="pct" w:w="11%"/>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5"/>
                <w:szCs w:val="15"/>
                <w:rtl/>
              </w:rPr>
              <w:t xml:space="preserve">إرسال يدوي بلا قياس</w:t>
            </w:r>
          </w:p>
        </w:tc>
        <w:tc>
          <w:tcPr>
            <w:tcW w:type="pct" w:w="10%"/>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5"/>
                <w:szCs w:val="15"/>
                <w:rtl/>
              </w:rPr>
              <w:t xml:space="preserve">حدث/أمر</w:t>
            </w:r>
          </w:p>
        </w:tc>
        <w:tc>
          <w:tcPr>
            <w:tcW w:type="pct" w:w="14%"/>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5"/>
                <w:szCs w:val="15"/>
                <w:rtl/>
              </w:rPr>
              <w:t xml:space="preserve">فتح run + callback قياس</w:t>
            </w:r>
          </w:p>
        </w:tc>
        <w:tc>
          <w:tcPr>
            <w:tcW w:type="pct" w:w="13%"/>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5"/>
                <w:szCs w:val="15"/>
                <w:rtl/>
              </w:rPr>
              <w:t xml:space="preserve">توكن داخلي + retry</w:t>
            </w:r>
          </w:p>
        </w:tc>
        <w:tc>
          <w:tcPr>
            <w:tcW w:type="pct" w:w="8%"/>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5"/>
                <w:szCs w:val="15"/>
                <w:rtl/>
              </w:rPr>
              <w:t xml:space="preserve">رسائل n8n</w:t>
            </w:r>
          </w:p>
        </w:tc>
        <w:tc>
          <w:tcPr>
            <w:tcW w:type="pct" w:w="8%"/>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5"/>
                <w:szCs w:val="15"/>
              </w:rPr>
              <w:t xml:space="preserve">delivery status</w:t>
            </w:r>
          </w:p>
        </w:tc>
        <w:tc>
          <w:tcPr>
            <w:tcW w:type="pct" w:w="8%"/>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5"/>
                <w:szCs w:val="15"/>
                <w:rtl/>
              </w:rPr>
              <w:t xml:space="preserve">تذكير/تنبيه</w:t>
            </w:r>
          </w:p>
        </w:tc>
        <w:tc>
          <w:tcPr>
            <w:tcW w:type="pct" w:w="6%"/>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5"/>
                <w:szCs w:val="15"/>
              </w:rPr>
              <w:t xml:space="preserve">automation_runs</w:t>
            </w:r>
          </w:p>
        </w:tc>
        <w:tc>
          <w:tcPr>
            <w:tcW w:type="pct" w:w="4%"/>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5"/>
                <w:szCs w:val="15"/>
              </w:rPr>
              <w:t xml:space="preserve">agents/automation.py</w:t>
            </w:r>
          </w:p>
        </w:tc>
      </w:tr>
      <w:tr>
        <w:trPr>
          <w:cantSplit/>
        </w:trPr>
        <w:tc>
          <w:tcPr>
            <w:tcW w:type="pct" w:w="9%"/>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5"/>
                <w:szCs w:val="15"/>
              </w:rPr>
              <w:t xml:space="preserve">Orchestrator</w:t>
            </w:r>
          </w:p>
        </w:tc>
        <w:tc>
          <w:tcPr>
            <w:tcW w:type="pct" w:w="9%"/>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5"/>
                <w:szCs w:val="15"/>
                <w:rtl/>
              </w:rPr>
              <w:t xml:space="preserve">توجيه الأوامر</w:t>
            </w:r>
          </w:p>
        </w:tc>
        <w:tc>
          <w:tcPr>
            <w:tcW w:type="pct" w:w="11%"/>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5"/>
                <w:szCs w:val="15"/>
                <w:rtl/>
              </w:rPr>
              <w:t xml:space="preserve">تشتت نقاط الدخول</w:t>
            </w:r>
          </w:p>
        </w:tc>
        <w:tc>
          <w:tcPr>
            <w:tcW w:type="pct" w:w="10%"/>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5"/>
                <w:szCs w:val="15"/>
                <w:rtl/>
              </w:rPr>
              <w:t xml:space="preserve">أمر أدمن</w:t>
            </w:r>
          </w:p>
        </w:tc>
        <w:tc>
          <w:tcPr>
            <w:tcW w:type="pct" w:w="14%"/>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5"/>
                <w:szCs w:val="15"/>
                <w:rtl/>
              </w:rPr>
              <w:t xml:space="preserve">AGENT_REGISTRY حتمي</w:t>
            </w:r>
          </w:p>
        </w:tc>
        <w:tc>
          <w:tcPr>
            <w:tcW w:type="pct" w:w="13%"/>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5"/>
                <w:szCs w:val="15"/>
                <w:rtl/>
              </w:rPr>
              <w:t xml:space="preserve">نطاقات الـ route</w:t>
            </w:r>
          </w:p>
        </w:tc>
        <w:tc>
          <w:tcPr>
            <w:tcW w:type="pct" w:w="8%"/>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5"/>
                <w:szCs w:val="15"/>
                <w:rtl/>
              </w:rPr>
              <w:t xml:space="preserve">توجيه</w:t>
            </w:r>
          </w:p>
        </w:tc>
        <w:tc>
          <w:tcPr>
            <w:tcW w:type="pct" w:w="8%"/>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5"/>
                <w:szCs w:val="15"/>
                <w:rtl/>
              </w:rPr>
              <w:t xml:space="preserve">وكيل مستهدف</w:t>
            </w:r>
          </w:p>
        </w:tc>
        <w:tc>
          <w:tcPr>
            <w:tcW w:type="pct" w:w="8%"/>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5"/>
                <w:szCs w:val="15"/>
                <w:rtl/>
              </w:rPr>
              <w:t xml:space="preserve">تنفيذ موجه</w:t>
            </w:r>
          </w:p>
        </w:tc>
        <w:tc>
          <w:tcPr>
            <w:tcW w:type="pct" w:w="6%"/>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5"/>
                <w:szCs w:val="15"/>
              </w:rPr>
              <w:t xml:space="preserve">audit</w:t>
            </w:r>
          </w:p>
        </w:tc>
        <w:tc>
          <w:tcPr>
            <w:tcW w:type="pct" w:w="4%"/>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5"/>
                <w:szCs w:val="15"/>
              </w:rPr>
              <w:t xml:space="preserve">agents/orchestrator.py</w:t>
            </w:r>
          </w:p>
        </w:tc>
      </w:tr>
      <w:tr>
        <w:trPr>
          <w:cantSplit/>
        </w:trPr>
        <w:tc>
          <w:tcPr>
            <w:tcW w:type="pct" w:w="9%"/>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5"/>
                <w:szCs w:val="15"/>
              </w:rPr>
              <w:t xml:space="preserve">Market Intelligence</w:t>
            </w:r>
          </w:p>
        </w:tc>
        <w:tc>
          <w:tcPr>
            <w:tcW w:type="pct" w:w="9%"/>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5"/>
                <w:szCs w:val="15"/>
                <w:rtl/>
              </w:rPr>
              <w:t xml:space="preserve">استخبارات السوق</w:t>
            </w:r>
          </w:p>
        </w:tc>
        <w:tc>
          <w:tcPr>
            <w:tcW w:type="pct" w:w="11%"/>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5"/>
                <w:szCs w:val="15"/>
                <w:rtl/>
              </w:rPr>
              <w:t xml:space="preserve">قرارات بلا سياق سوق</w:t>
            </w:r>
          </w:p>
        </w:tc>
        <w:tc>
          <w:tcPr>
            <w:tcW w:type="pct" w:w="10%"/>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5"/>
                <w:szCs w:val="15"/>
                <w:rtl/>
              </w:rPr>
              <w:t xml:space="preserve">بحث grounded + منشورات</w:t>
            </w:r>
          </w:p>
        </w:tc>
        <w:tc>
          <w:tcPr>
            <w:tcW w:type="pct" w:w="14%"/>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5"/>
                <w:szCs w:val="15"/>
                <w:rtl/>
              </w:rPr>
              <w:t xml:space="preserve">ربط إشارة→دواء موجود فقط</w:t>
            </w:r>
          </w:p>
        </w:tc>
        <w:tc>
          <w:tcPr>
            <w:tcW w:type="pct" w:w="13%"/>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5"/>
                <w:szCs w:val="15"/>
                <w:rtl/>
              </w:rPr>
              <w:t xml:space="preserve">Maker-Checker + idempotency + رفض الابتداع</w:t>
            </w:r>
          </w:p>
        </w:tc>
        <w:tc>
          <w:tcPr>
            <w:tcW w:type="pct" w:w="8%"/>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5"/>
                <w:szCs w:val="15"/>
                <w:rtl/>
              </w:rPr>
              <w:t xml:space="preserve">توصيات تنفيذية</w:t>
            </w:r>
          </w:p>
        </w:tc>
        <w:tc>
          <w:tcPr>
            <w:tcW w:type="pct" w:w="8%"/>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5"/>
                <w:szCs w:val="15"/>
                <w:rtl/>
              </w:rPr>
              <w:t xml:space="preserve">أفعال اعتماد</w:t>
            </w:r>
          </w:p>
        </w:tc>
        <w:tc>
          <w:tcPr>
            <w:tcW w:type="pct" w:w="8%"/>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5"/>
                <w:szCs w:val="15"/>
                <w:rtl/>
              </w:rPr>
              <w:t xml:space="preserve">حجر/شراء/تذكير</w:t>
            </w:r>
          </w:p>
        </w:tc>
        <w:tc>
          <w:tcPr>
            <w:tcW w:type="pct" w:w="6%"/>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5"/>
                <w:szCs w:val="15"/>
              </w:rPr>
              <w:t xml:space="preserve">WORM + audit</w:t>
            </w:r>
          </w:p>
        </w:tc>
        <w:tc>
          <w:tcPr>
            <w:tcW w:type="pct" w:w="4%"/>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5"/>
                <w:szCs w:val="15"/>
              </w:rPr>
              <w:t xml:space="preserve">agents/market_intelligence.py</w:t>
            </w:r>
          </w:p>
        </w:tc>
      </w:tr>
      <w:tr>
        <w:trPr>
          <w:cantSplit/>
        </w:trPr>
        <w:tc>
          <w:tcPr>
            <w:tcW w:type="pct" w:w="9%"/>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5"/>
                <w:szCs w:val="15"/>
              </w:rPr>
              <w:t xml:space="preserve">Financial Vision</w:t>
            </w:r>
          </w:p>
        </w:tc>
        <w:tc>
          <w:tcPr>
            <w:tcW w:type="pct" w:w="9%"/>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5"/>
                <w:szCs w:val="15"/>
                <w:rtl/>
              </w:rPr>
              <w:t xml:space="preserve">قراءة مالية</w:t>
            </w:r>
          </w:p>
        </w:tc>
        <w:tc>
          <w:tcPr>
            <w:tcW w:type="pct" w:w="11%"/>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5"/>
                <w:szCs w:val="15"/>
                <w:rtl/>
              </w:rPr>
              <w:t xml:space="preserve">تقارير بلا أرقام دفترية</w:t>
            </w:r>
          </w:p>
        </w:tc>
        <w:tc>
          <w:tcPr>
            <w:tcW w:type="pct" w:w="10%"/>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5"/>
                <w:szCs w:val="15"/>
                <w:rtl/>
              </w:rPr>
              <w:t xml:space="preserve">ميزان المراجعة الحي</w:t>
            </w:r>
          </w:p>
        </w:tc>
        <w:tc>
          <w:tcPr>
            <w:tcW w:type="pct" w:w="14%"/>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5"/>
                <w:szCs w:val="15"/>
                <w:rtl/>
              </w:rPr>
              <w:t xml:space="preserve">أرقام من دفتر اليومية</w:t>
            </w:r>
          </w:p>
        </w:tc>
        <w:tc>
          <w:tcPr>
            <w:tcW w:type="pct" w:w="13%"/>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5"/>
                <w:szCs w:val="15"/>
                <w:rtl/>
              </w:rPr>
              <w:t xml:space="preserve">لا أرقام من النموذج</w:t>
            </w:r>
          </w:p>
        </w:tc>
        <w:tc>
          <w:tcPr>
            <w:tcW w:type="pct" w:w="8%"/>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5"/>
                <w:szCs w:val="15"/>
                <w:rtl/>
              </w:rPr>
              <w:t xml:space="preserve">تحليل مالي</w:t>
            </w:r>
          </w:p>
        </w:tc>
        <w:tc>
          <w:tcPr>
            <w:tcW w:type="pct" w:w="8%"/>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5"/>
                <w:szCs w:val="15"/>
                <w:rtl/>
              </w:rPr>
              <w:t xml:space="preserve">تقرير</w:t>
            </w:r>
          </w:p>
        </w:tc>
        <w:tc>
          <w:tcPr>
            <w:tcW w:type="pct" w:w="8%"/>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5"/>
                <w:szCs w:val="15"/>
                <w:rtl/>
              </w:rPr>
              <w:t xml:space="preserve">قراءة إدارية</w:t>
            </w:r>
          </w:p>
        </w:tc>
        <w:tc>
          <w:tcPr>
            <w:tcW w:type="pct" w:w="6%"/>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5"/>
                <w:szCs w:val="15"/>
              </w:rPr>
              <w:t xml:space="preserve">audit</w:t>
            </w:r>
          </w:p>
        </w:tc>
        <w:tc>
          <w:tcPr>
            <w:tcW w:type="pct" w:w="4%"/>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5"/>
                <w:szCs w:val="15"/>
              </w:rPr>
              <w:t xml:space="preserve">agents/financial_vision.py</w:t>
            </w:r>
          </w:p>
        </w:tc>
      </w:tr>
    </w:tbl>
    <w:p>
      <w:pPr>
        <w:bidi/>
        <w:spacing w:after="120" w:line="312"/>
        <w:ind w:firstLine="340"/>
        <w:jc w:val="both"/>
      </w:pPr>
      <w:r>
        <w:rPr>
          <w:rFonts w:ascii="Times New Roman" w:cs="Traditional Arabic" w:hAnsi="Times New Roman"/>
          <w:b w:val="false"/>
          <w:i w:val="false"/>
          <w:iCs w:val="false"/>
          <w:color w:val="000000"/>
          <w:sz w:val="26"/>
          <w:szCs w:val="30"/>
          <w:rtl/>
        </w:rPr>
        <w:t xml:space="preserve">ويضاف إليهم بنية تحتية مساندة موثقة: ‏</w:t>
      </w:r>
      <w:r>
        <w:rPr>
          <w:rFonts w:ascii="Times New Roman" w:eastAsia="Times New Roman" w:hAnsi="Times New Roman"/>
          <w:b w:val="false"/>
          <w:bCs w:val="false"/>
          <w:i w:val="false"/>
          <w:iCs w:val="false"/>
          <w:color w:val="000000"/>
          <w:sz w:val="24"/>
          <w:szCs w:val="24"/>
        </w:rPr>
        <w:t xml:space="preserve">model_manager</w:t>
      </w:r>
      <w:r>
        <w:rPr>
          <w:rFonts w:ascii="Times New Roman" w:cs="Traditional Arabic" w:hAnsi="Times New Roman"/>
          <w:b w:val="false"/>
          <w:i w:val="false"/>
          <w:iCs w:val="false"/>
          <w:color w:val="000000"/>
          <w:sz w:val="26"/>
          <w:szCs w:val="30"/>
          <w:rtl/>
        </w:rPr>
        <w:t xml:space="preserve"> (تبديل النماذج حياً خلف semaphore)، </w:t>
      </w:r>
      <w:r>
        <w:rPr>
          <w:rFonts w:ascii="Times New Roman" w:eastAsia="Times New Roman" w:hAnsi="Times New Roman"/>
          <w:b w:val="false"/>
          <w:bCs w:val="false"/>
          <w:i w:val="false"/>
          <w:iCs w:val="false"/>
          <w:color w:val="000000"/>
          <w:sz w:val="24"/>
          <w:szCs w:val="24"/>
        </w:rPr>
        <w:t xml:space="preserve">simulator</w:t>
      </w:r>
      <w:r>
        <w:rPr>
          <w:rFonts w:ascii="Times New Roman" w:cs="Traditional Arabic" w:hAnsi="Times New Roman"/>
          <w:b w:val="false"/>
          <w:i w:val="false"/>
          <w:iCs w:val="false"/>
          <w:color w:val="000000"/>
          <w:sz w:val="26"/>
          <w:szCs w:val="30"/>
          <w:rtl/>
        </w:rPr>
        <w:t xml:space="preserve"> (محاكاة قطعية)، </w:t>
      </w:r>
      <w:r>
        <w:rPr>
          <w:rFonts w:ascii="Times New Roman" w:eastAsia="Times New Roman" w:hAnsi="Times New Roman"/>
          <w:b w:val="false"/>
          <w:bCs w:val="false"/>
          <w:i w:val="false"/>
          <w:iCs w:val="false"/>
          <w:color w:val="000000"/>
          <w:sz w:val="24"/>
          <w:szCs w:val="24"/>
        </w:rPr>
        <w:t xml:space="preserve">cross_sell</w:t>
      </w:r>
      <w:r>
        <w:rPr>
          <w:rFonts w:ascii="Times New Roman" w:cs="Traditional Arabic" w:hAnsi="Times New Roman"/>
          <w:b w:val="false"/>
          <w:i w:val="false"/>
          <w:iCs w:val="false"/>
          <w:color w:val="000000"/>
          <w:sz w:val="26"/>
          <w:szCs w:val="30"/>
          <w:rtl/>
        </w:rPr>
        <w:t xml:space="preserve"> و</w:t>
      </w:r>
      <w:r>
        <w:rPr>
          <w:rFonts w:ascii="Times New Roman" w:eastAsia="Times New Roman" w:hAnsi="Times New Roman"/>
          <w:b w:val="false"/>
          <w:bCs w:val="false"/>
          <w:i w:val="false"/>
          <w:iCs w:val="false"/>
          <w:color w:val="000000"/>
          <w:sz w:val="24"/>
          <w:szCs w:val="24"/>
        </w:rPr>
        <w:t xml:space="preserve">financial_vision</w:t>
      </w:r>
      <w:r>
        <w:rPr>
          <w:rFonts w:ascii="Times New Roman" w:cs="Traditional Arabic" w:hAnsi="Times New Roman"/>
          <w:b w:val="false"/>
          <w:i w:val="false"/>
          <w:iCs w:val="false"/>
          <w:color w:val="000000"/>
          <w:sz w:val="26"/>
          <w:szCs w:val="30"/>
          <w:rtl/>
        </w:rPr>
        <w:t xml:space="preserve"> كمحركات عرض، و</w:t>
      </w:r>
      <w:r>
        <w:rPr>
          <w:rFonts w:ascii="Times New Roman" w:eastAsia="Times New Roman" w:hAnsi="Times New Roman"/>
          <w:b w:val="false"/>
          <w:bCs w:val="false"/>
          <w:i w:val="false"/>
          <w:iCs w:val="false"/>
          <w:color w:val="000000"/>
          <w:sz w:val="24"/>
          <w:szCs w:val="24"/>
        </w:rPr>
        <w:t xml:space="preserve">hybrid</w:t>
      </w:r>
      <w:r>
        <w:rPr>
          <w:rFonts w:ascii="Times New Roman" w:cs="Traditional Arabic" w:hAnsi="Times New Roman"/>
          <w:b w:val="false"/>
          <w:i w:val="false"/>
          <w:iCs w:val="false"/>
          <w:color w:val="000000"/>
          <w:sz w:val="26"/>
          <w:szCs w:val="30"/>
          <w:rtl/>
        </w:rPr>
        <w:t xml:space="preserve"> كبوابة تنفيذ موحدة.</w:t>
      </w:r>
    </w:p>
    <w:p>
      <w:pPr>
        <w:pStyle w:val="Heading1"/>
        <w:pageBreakBefore/>
        <w:bidi/>
        <w:spacing w:after="200" w:before="400" w:line="340"/>
        <w:jc w:val="right"/>
      </w:pPr>
      <w:bookmarkStart w:id="100036" w:name="_Toc100036"/>
      <w:r>
        <w:rPr>
          <w:rFonts w:ascii="Times New Roman" w:cs="Simplified Arabic" w:hAnsi="Times New Roman"/>
          <w:b/>
          <w:bCs/>
          <w:color w:val="1F3A5F"/>
          <w:sz w:val="32"/>
          <w:szCs w:val="36"/>
          <w:rtl/>
        </w:rPr>
        <w:t xml:space="preserve">30. تحليل الإشراف والتنسيق (Supervisor / Orchestration Analysis)</w:t>
      </w:r>
      <w:bookmarkEnd w:id="100036"/>
    </w:p>
    <w:p>
      <w:pPr>
        <w:bidi/>
        <w:spacing w:after="120" w:line="312"/>
        <w:ind w:firstLine="340"/>
        <w:jc w:val="both"/>
      </w:pPr>
      <w:r>
        <w:rPr>
          <w:rFonts w:ascii="Times New Roman" w:cs="Traditional Arabic" w:hAnsi="Times New Roman"/>
          <w:b w:val="false"/>
          <w:i w:val="false"/>
          <w:iCs w:val="false"/>
          <w:color w:val="000000"/>
          <w:sz w:val="26"/>
          <w:szCs w:val="30"/>
          <w:rtl/>
        </w:rPr>
        <w:t xml:space="preserve">التنسيق في AI-COS على ثلاث طبقات متراكبة:</w:t>
      </w:r>
    </w:p>
    <w:p>
      <w:pPr>
        <w:pStyle w:val="ListParagraph"/>
        <w:numPr>
          <w:ilvl w:val="0"/>
          <w:numId w:val="1"/>
        </w:numPr>
        <w:bidi/>
        <w:spacing w:after="60" w:line="312"/>
        <w:jc w:val="both"/>
      </w:pPr>
      <w:r>
        <w:rPr>
          <w:rFonts w:ascii="Times New Roman" w:cs="Traditional Arabic" w:hAnsi="Times New Roman"/>
          <w:b w:val="false"/>
          <w:i w:val="false"/>
          <w:iCs w:val="false"/>
          <w:color w:val="000000"/>
          <w:sz w:val="26"/>
          <w:szCs w:val="30"/>
          <w:rtl/>
        </w:rPr>
        <w:t xml:space="preserve">طبقة التوجيه الأمامي: ‏</w:t>
      </w:r>
      <w:r>
        <w:rPr>
          <w:rFonts w:ascii="Times New Roman" w:eastAsia="Times New Roman" w:hAnsi="Times New Roman"/>
          <w:b w:val="false"/>
          <w:bCs w:val="false"/>
          <w:i w:val="false"/>
          <w:iCs w:val="false"/>
          <w:color w:val="000000"/>
          <w:sz w:val="24"/>
          <w:szCs w:val="24"/>
        </w:rPr>
        <w:t xml:space="preserve">orchestrator.route</w:t>
      </w:r>
      <w:r>
        <w:rPr>
          <w:rFonts w:ascii="Times New Roman" w:cs="Traditional Arabic" w:hAnsi="Times New Roman"/>
          <w:b w:val="false"/>
          <w:i w:val="false"/>
          <w:iCs w:val="false"/>
          <w:color w:val="000000"/>
          <w:sz w:val="26"/>
          <w:szCs w:val="30"/>
          <w:rtl/>
        </w:rPr>
        <w:t xml:space="preserve"> يستقبل أمر الأدمن ويوجهه للوكيل الصحيح من سجل الوكلاء — نقطة دخول واحدة بلا مشرفين متوازيين (النسخة القديمة executive/chat أوقفت موثقاً في الكود).</w:t>
      </w:r>
    </w:p>
    <w:p>
      <w:pPr>
        <w:pStyle w:val="ListParagraph"/>
        <w:numPr>
          <w:ilvl w:val="0"/>
          <w:numId w:val="1"/>
        </w:numPr>
        <w:bidi/>
        <w:spacing w:after="60" w:line="312"/>
        <w:jc w:val="both"/>
      </w:pPr>
      <w:r>
        <w:rPr>
          <w:rFonts w:ascii="Times New Roman" w:cs="Traditional Arabic" w:hAnsi="Times New Roman"/>
          <w:b w:val="false"/>
          <w:i w:val="false"/>
          <w:iCs w:val="false"/>
          <w:color w:val="000000"/>
          <w:sz w:val="26"/>
          <w:szCs w:val="30"/>
          <w:rtl/>
        </w:rPr>
        <w:t xml:space="preserve">طبقة التنفيذ الهجين: ‏</w:t>
      </w:r>
      <w:r>
        <w:rPr>
          <w:rFonts w:ascii="Times New Roman" w:eastAsia="Times New Roman" w:hAnsi="Times New Roman"/>
          <w:b w:val="false"/>
          <w:bCs w:val="false"/>
          <w:i w:val="false"/>
          <w:iCs w:val="false"/>
          <w:color w:val="000000"/>
          <w:sz w:val="24"/>
          <w:szCs w:val="24"/>
        </w:rPr>
        <w:t xml:space="preserve">hybrid_agent_execution</w:t>
      </w:r>
      <w:r>
        <w:rPr>
          <w:rFonts w:ascii="Times New Roman" w:cs="Traditional Arabic" w:hAnsi="Times New Roman"/>
          <w:b w:val="false"/>
          <w:i w:val="false"/>
          <w:iCs w:val="false"/>
          <w:color w:val="000000"/>
          <w:sz w:val="26"/>
          <w:szCs w:val="30"/>
          <w:rtl/>
        </w:rPr>
        <w:t xml:space="preserve"> عقد تنفيذ موحد: ن8ن أولاً ⇒ فحص شكل وerror ⇒ وإلا محلي. النتيجة تحمل execution_source (n8n:… / local (…)) فتظهر في الواجهة من أين جاء القرار — شفافية تشغيلية نادرة.</w:t>
      </w:r>
    </w:p>
    <w:p>
      <w:pPr>
        <w:pStyle w:val="ListParagraph"/>
        <w:numPr>
          <w:ilvl w:val="0"/>
          <w:numId w:val="1"/>
        </w:numPr>
        <w:bidi/>
        <w:spacing w:after="60" w:line="312"/>
        <w:jc w:val="both"/>
      </w:pPr>
      <w:r>
        <w:rPr>
          <w:rFonts w:ascii="Times New Roman" w:cs="Traditional Arabic" w:hAnsi="Times New Roman"/>
          <w:b w:val="false"/>
          <w:i w:val="false"/>
          <w:iCs w:val="false"/>
          <w:color w:val="000000"/>
          <w:sz w:val="26"/>
          <w:szCs w:val="30"/>
          <w:rtl/>
        </w:rPr>
        <w:t xml:space="preserve">طبقة الإشراف البشري: Maker-Checker للقرارات الحرجة، AI Review Queue للثقة المنخفضة، وشارات ثقة مرئية (🟢/🟡/🔴) مشتقة من درجات الاسترجاع الفعلية مع علم grounding_check.</w:t>
      </w:r>
    </w:p>
    <w:p>
      <w:pPr>
        <w:bidi/>
        <w:spacing w:after="120" w:line="312"/>
        <w:ind w:firstLine="340"/>
        <w:jc w:val="both"/>
      </w:pPr>
      <w:r>
        <w:rPr>
          <w:rFonts w:ascii="Times New Roman" w:cs="Traditional Arabic" w:hAnsi="Times New Roman"/>
          <w:b w:val="false"/>
          <w:i w:val="false"/>
          <w:iCs w:val="false"/>
          <w:color w:val="000000"/>
          <w:sz w:val="26"/>
          <w:szCs w:val="30"/>
          <w:rtl/>
        </w:rPr>
        <w:t xml:space="preserve">وتكمل الحوكمة الإشراف: كل طبقة تكتب أثرها في audit_logs، والأحداث الحرجة تُسلسل في WORM، ونقاط الرصد (metrics) تقيس من الواقع — فيتحول «الإشراف» من مبدأ إلى مسار موثق.</w:t>
      </w:r>
    </w:p>
    <w:p>
      <w:pPr>
        <w:pStyle w:val="Heading1"/>
        <w:pageBreakBefore/>
        <w:bidi/>
        <w:spacing w:after="200" w:before="400" w:line="340"/>
        <w:jc w:val="right"/>
      </w:pPr>
      <w:bookmarkStart w:id="100037" w:name="_Toc100037"/>
      <w:r>
        <w:rPr>
          <w:rFonts w:ascii="Times New Roman" w:cs="Simplified Arabic" w:hAnsi="Times New Roman"/>
          <w:b/>
          <w:bCs/>
          <w:color w:val="1F3A5F"/>
          <w:sz w:val="32"/>
          <w:szCs w:val="36"/>
          <w:rtl/>
        </w:rPr>
        <w:t xml:space="preserve">31. تحليل المساعد المحادثي والاسترجاع (Chatbot / RAG Analysis)</w:t>
      </w:r>
      <w:bookmarkEnd w:id="100037"/>
    </w:p>
    <w:p>
      <w:pPr>
        <w:bidi/>
        <w:spacing w:after="120" w:line="312"/>
        <w:ind w:firstLine="340"/>
        <w:jc w:val="both"/>
      </w:pPr>
      <w:r>
        <w:rPr>
          <w:rFonts w:ascii="Times New Roman" w:cs="Traditional Arabic" w:hAnsi="Times New Roman"/>
          <w:b w:val="false"/>
          <w:i w:val="false"/>
          <w:iCs w:val="false"/>
          <w:color w:val="000000"/>
          <w:sz w:val="26"/>
          <w:szCs w:val="30"/>
          <w:rtl/>
        </w:rPr>
        <w:t xml:space="preserve">المساعد خط أنابيب متعدد المراحل موثق في ai/service.py (1483 سطراً) وllm_engine.py، وأبرز مراحله:</w:t>
      </w:r>
    </w:p>
    <w:tbl>
      <w:tblPr>
        <w:bidiVisual/>
        <w:tblW w:type="pct" w:w="100%"/>
        <w:tblBorders>
          <w:top w:val="single" w:color="9AA6B2" w:sz="6"/>
          <w:left w:val="none" w:color="FFFFFF" w:sz="0"/>
          <w:bottom w:val="single" w:color="9AA6B2" w:sz="6"/>
          <w:right w:val="none" w:color="FFFFFF" w:sz="0"/>
          <w:insideH w:val="single" w:color="D5DCE4" w:sz="2"/>
          <w:insideV w:val="single" w:color="D5DCE4" w:sz="2"/>
        </w:tblBorders>
      </w:tblPr>
      <w:tblGrid>
        <w:gridCol w:w="100"/>
        <w:gridCol w:w="100"/>
        <w:gridCol w:w="100"/>
        <w:gridCol w:w="100"/>
      </w:tblGrid>
      <w:tr>
        <w:trPr>
          <w:cantSplit/>
          <w:tblHeader/>
        </w:trPr>
        <w:tc>
          <w:tcPr>
            <w:tcW w:type="pct" w:w="15%"/>
            <w:shd w:fill="E8EDF3" w:val="clear"/>
            <w:tcMar>
              <w:top w:type="dxa" w:w="70"/>
              <w:left w:type="dxa" w:w="100"/>
              <w:bottom w:type="dxa" w:w="70"/>
              <w:right w:type="dxa" w:w="100"/>
            </w:tcMar>
            <w:vAlign w:val="center"/>
          </w:tcPr>
          <w:p>
            <w:pPr>
              <w:bidi/>
              <w:jc w:val="center"/>
            </w:pPr>
            <w:r>
              <w:rPr>
                <w:rFonts w:ascii="Times New Roman" w:cs="Traditional Arabic" w:hAnsi="Times New Roman"/>
                <w:b/>
                <w:bCs/>
                <w:i w:val="false"/>
                <w:iCs w:val="false"/>
                <w:color w:val="111111"/>
                <w:sz w:val="21"/>
                <w:szCs w:val="21"/>
                <w:rtl/>
              </w:rPr>
              <w:t xml:space="preserve">المرحلة</w:t>
            </w:r>
          </w:p>
        </w:tc>
        <w:tc>
          <w:tcPr>
            <w:tcW w:type="pct" w:w="18%"/>
            <w:shd w:fill="E8EDF3" w:val="clear"/>
            <w:tcMar>
              <w:top w:type="dxa" w:w="70"/>
              <w:left w:type="dxa" w:w="100"/>
              <w:bottom w:type="dxa" w:w="70"/>
              <w:right w:type="dxa" w:w="100"/>
            </w:tcMar>
            <w:vAlign w:val="center"/>
          </w:tcPr>
          <w:p>
            <w:pPr>
              <w:bidi/>
              <w:jc w:val="center"/>
            </w:pPr>
            <w:r>
              <w:rPr>
                <w:rFonts w:ascii="Times New Roman" w:cs="Traditional Arabic" w:hAnsi="Times New Roman"/>
                <w:b/>
                <w:bCs/>
                <w:i w:val="false"/>
                <w:iCs w:val="false"/>
                <w:color w:val="111111"/>
                <w:sz w:val="21"/>
                <w:szCs w:val="21"/>
                <w:rtl/>
              </w:rPr>
              <w:t xml:space="preserve">الوظيفة</w:t>
            </w:r>
          </w:p>
        </w:tc>
        <w:tc>
          <w:tcPr>
            <w:tcW w:type="pct" w:w="42%"/>
            <w:shd w:fill="E8EDF3" w:val="clear"/>
            <w:tcMar>
              <w:top w:type="dxa" w:w="70"/>
              <w:left w:type="dxa" w:w="100"/>
              <w:bottom w:type="dxa" w:w="70"/>
              <w:right w:type="dxa" w:w="100"/>
            </w:tcMar>
            <w:vAlign w:val="center"/>
          </w:tcPr>
          <w:p>
            <w:pPr>
              <w:bidi/>
              <w:jc w:val="center"/>
            </w:pPr>
            <w:r>
              <w:rPr>
                <w:rFonts w:ascii="Times New Roman" w:cs="Traditional Arabic" w:hAnsi="Times New Roman"/>
                <w:b/>
                <w:bCs/>
                <w:i w:val="false"/>
                <w:iCs w:val="false"/>
                <w:color w:val="111111"/>
                <w:sz w:val="21"/>
                <w:szCs w:val="21"/>
                <w:rtl/>
              </w:rPr>
              <w:t xml:space="preserve">التنفيذ الفعلي</w:t>
            </w:r>
          </w:p>
        </w:tc>
        <w:tc>
          <w:tcPr>
            <w:tcW w:type="pct" w:w="25%"/>
            <w:shd w:fill="E8EDF3" w:val="clear"/>
            <w:tcMar>
              <w:top w:type="dxa" w:w="70"/>
              <w:left w:type="dxa" w:w="100"/>
              <w:bottom w:type="dxa" w:w="70"/>
              <w:right w:type="dxa" w:w="100"/>
            </w:tcMar>
            <w:vAlign w:val="center"/>
          </w:tcPr>
          <w:p>
            <w:pPr>
              <w:bidi/>
              <w:jc w:val="center"/>
            </w:pPr>
            <w:r>
              <w:rPr>
                <w:rFonts w:ascii="Times New Roman" w:cs="Traditional Arabic" w:hAnsi="Times New Roman"/>
                <w:b/>
                <w:bCs/>
                <w:i w:val="false"/>
                <w:iCs w:val="false"/>
                <w:color w:val="111111"/>
                <w:sz w:val="21"/>
                <w:szCs w:val="21"/>
                <w:rtl/>
              </w:rPr>
              <w:t xml:space="preserve">الحماية/الملاحظة</w:t>
            </w:r>
          </w:p>
        </w:tc>
      </w:tr>
      <w:tr>
        <w:trPr>
          <w:cantSplit/>
        </w:trPr>
        <w:tc>
          <w:tcPr>
            <w:tcW w:type="pct" w:w="15%"/>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إدخال المستخدم</w:t>
            </w:r>
          </w:p>
        </w:tc>
        <w:tc>
          <w:tcPr>
            <w:tcW w:type="pct" w:w="18%"/>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استقبال وتحقق جلسة</w:t>
            </w:r>
          </w:p>
        </w:tc>
        <w:tc>
          <w:tcPr>
            <w:tcW w:type="pct" w:w="42%"/>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HMAC capability token؛ تاريخ العميل مرفوض (server-owned)</w:t>
            </w:r>
          </w:p>
        </w:tc>
        <w:tc>
          <w:tcPr>
            <w:tcW w:type="pct" w:w="25%"/>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منع تزوير السياق</w:t>
            </w:r>
          </w:p>
        </w:tc>
      </w:tr>
      <w:tr>
        <w:trPr>
          <w:cantSplit/>
        </w:trPr>
        <w:tc>
          <w:tcPr>
            <w:tcW w:type="pct" w:w="15%"/>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الحماية</w:t>
            </w:r>
          </w:p>
        </w:tc>
        <w:tc>
          <w:tcPr>
            <w:tcW w:type="pct" w:w="18%"/>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تنقية وكشف حقن</w:t>
            </w:r>
          </w:p>
        </w:tc>
        <w:tc>
          <w:tcPr>
            <w:tcW w:type="pct" w:w="42%"/>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SecurityGuard + قاعدة السياق غير الموثوق في system prompt</w:t>
            </w:r>
          </w:p>
        </w:tc>
        <w:tc>
          <w:tcPr>
            <w:tcW w:type="pct" w:w="25%"/>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sanitized_text فقط يُعالج</w:t>
            </w:r>
          </w:p>
        </w:tc>
      </w:tr>
      <w:tr>
        <w:trPr>
          <w:cantSplit/>
        </w:trPr>
        <w:tc>
          <w:tcPr>
            <w:tcW w:type="pct" w:w="15%"/>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الطوارئ</w:t>
            </w:r>
          </w:p>
        </w:tc>
        <w:tc>
          <w:tcPr>
            <w:tcW w:type="pct" w:w="18%"/>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كشف حرج</w:t>
            </w:r>
          </w:p>
        </w:tc>
        <w:tc>
          <w:tcPr>
            <w:tcW w:type="pct" w:w="42%"/>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EscalationEngine + hard stop + n8n + outbox + debounce 60ث</w:t>
            </w:r>
          </w:p>
        </w:tc>
        <w:tc>
          <w:tcPr>
            <w:tcW w:type="pct" w:w="25%"/>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لا ينتظر طوابير GPU</w:t>
            </w:r>
          </w:p>
        </w:tc>
      </w:tr>
      <w:tr>
        <w:trPr>
          <w:cantSplit/>
        </w:trPr>
        <w:tc>
          <w:tcPr>
            <w:tcW w:type="pct" w:w="15%"/>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الاسترجاع المتوازي</w:t>
            </w:r>
          </w:p>
        </w:tc>
        <w:tc>
          <w:tcPr>
            <w:tcW w:type="pct" w:w="18%"/>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سرعة وتغطية</w:t>
            </w:r>
          </w:p>
        </w:tc>
        <w:tc>
          <w:tcPr>
            <w:tcW w:type="pct" w:w="42%"/>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asyncio.gather: DDI • pgvector • lexical • BERT intent</w:t>
            </w:r>
          </w:p>
        </w:tc>
        <w:tc>
          <w:tcPr>
            <w:tcW w:type="pct" w:w="25%"/>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حماية استثنائية لكل نتيجة</w:t>
            </w:r>
          </w:p>
        </w:tc>
      </w:tr>
      <w:tr>
        <w:trPr>
          <w:cantSplit/>
        </w:trPr>
        <w:tc>
          <w:tcPr>
            <w:tcW w:type="pct" w:w="15%"/>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الدمج والترتيب</w:t>
            </w:r>
          </w:p>
        </w:tc>
        <w:tc>
          <w:tcPr>
            <w:tcW w:type="pct" w:w="18%"/>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دقة</w:t>
            </w:r>
          </w:p>
        </w:tc>
        <w:tc>
          <w:tcPr>
            <w:tcW w:type="pct" w:w="42%"/>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LexicalOverlapRetriever (60% دلالي + 40% معجمي) + حقن دواء حتمي</w:t>
            </w:r>
          </w:p>
        </w:tc>
        <w:tc>
          <w:tcPr>
            <w:tcW w:type="pct" w:w="25%"/>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بوابة نطاق 0.65/0.50/0.35</w:t>
            </w:r>
          </w:p>
        </w:tc>
      </w:tr>
      <w:tr>
        <w:trPr>
          <w:cantSplit/>
        </w:trPr>
        <w:tc>
          <w:tcPr>
            <w:tcW w:type="pct" w:w="15%"/>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المحركات الحتمية</w:t>
            </w:r>
          </w:p>
        </w:tc>
        <w:tc>
          <w:tcPr>
            <w:tcW w:type="pct" w:w="18%"/>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صفر هلوسة رقمية</w:t>
            </w:r>
          </w:p>
        </w:tc>
        <w:tc>
          <w:tcPr>
            <w:tcW w:type="pct" w:w="42%"/>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KnowledgeRouter → Catalog (SQL حي) → Math Engine</w:t>
            </w:r>
          </w:p>
        </w:tc>
        <w:tc>
          <w:tcPr>
            <w:tcW w:type="pct" w:w="25%"/>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تعترض قبل الـ LLM</w:t>
            </w:r>
          </w:p>
        </w:tc>
      </w:tr>
      <w:tr>
        <w:trPr>
          <w:cantSplit/>
        </w:trPr>
        <w:tc>
          <w:tcPr>
            <w:tcW w:type="pct" w:w="15%"/>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التوليد المتدرج</w:t>
            </w:r>
          </w:p>
        </w:tc>
        <w:tc>
          <w:tcPr>
            <w:tcW w:type="pct" w:w="18%"/>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خصوصية وتكلفة</w:t>
            </w:r>
          </w:p>
        </w:tc>
        <w:tc>
          <w:tcPr>
            <w:tcW w:type="pct" w:w="42%"/>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Ollama محلي أولاً (semaphore) ← سحابة منقّاة PII ← context-only</w:t>
            </w:r>
          </w:p>
        </w:tc>
        <w:tc>
          <w:tcPr>
            <w:tcW w:type="pct" w:w="25%"/>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ميزانية زمنية deadline + قاطع دائرة</w:t>
            </w:r>
          </w:p>
        </w:tc>
      </w:tr>
      <w:tr>
        <w:trPr>
          <w:cantSplit/>
        </w:trPr>
        <w:tc>
          <w:tcPr>
            <w:tcW w:type="pct" w:w="15%"/>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التنقية والشارات</w:t>
            </w:r>
          </w:p>
        </w:tc>
        <w:tc>
          <w:tcPr>
            <w:tcW w:type="pct" w:w="18%"/>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صدق العرض</w:t>
            </w:r>
          </w:p>
        </w:tc>
        <w:tc>
          <w:tcPr>
            <w:tcW w:type="pct" w:w="42%"/>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_clean_reply + شارة مشتقة من top_hybrid + grounding_check للأرقام</w:t>
            </w:r>
          </w:p>
        </w:tc>
        <w:tc>
          <w:tcPr>
            <w:tcW w:type="pct" w:w="25%"/>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إظهار «أرقام غير موثقة» عند الحاجة</w:t>
            </w:r>
          </w:p>
        </w:tc>
      </w:tr>
      <w:tr>
        <w:trPr>
          <w:cantSplit/>
        </w:trPr>
        <w:tc>
          <w:tcPr>
            <w:tcW w:type="pct" w:w="15%"/>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الأثر</w:t>
            </w:r>
          </w:p>
        </w:tc>
        <w:tc>
          <w:tcPr>
            <w:tcW w:type="pct" w:w="18%"/>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رقابة</w:t>
            </w:r>
          </w:p>
        </w:tc>
        <w:tc>
          <w:tcPr>
            <w:tcW w:type="pct" w:w="42%"/>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ai_chat_logs + session history (آخر 10) + intent/engines</w:t>
            </w:r>
          </w:p>
        </w:tc>
        <w:tc>
          <w:tcPr>
            <w:tcW w:type="pct" w:w="25%"/>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audit كامل للمحادثة</w:t>
            </w:r>
          </w:p>
        </w:tc>
      </w:tr>
    </w:tbl>
    <w:p>
      <w:pPr>
        <w:bidi/>
        <w:spacing w:after="120" w:line="312"/>
        <w:ind w:firstLine="340"/>
        <w:jc w:val="both"/>
      </w:pPr>
      <w:r>
        <w:rPr>
          <w:rFonts w:ascii="Times New Roman" w:cs="Traditional Arabic" w:hAnsi="Times New Roman"/>
          <w:b w:val="false"/>
          <w:i w:val="false"/>
          <w:iCs w:val="false"/>
          <w:color w:val="000000"/>
          <w:sz w:val="26"/>
          <w:szCs w:val="30"/>
          <w:rtl/>
        </w:rPr>
        <w:t xml:space="preserve">والاسترجاع نفسه موثق أكاديمياً: يُسمى المسجل المعجمي </w:t>
      </w:r>
      <w:r>
        <w:rPr>
          <w:rFonts w:ascii="Times New Roman" w:eastAsia="Times New Roman" w:hAnsi="Times New Roman"/>
          <w:b w:val="false"/>
          <w:bCs w:val="false"/>
          <w:i w:val="false"/>
          <w:iCs w:val="false"/>
          <w:color w:val="000000"/>
          <w:sz w:val="24"/>
          <w:szCs w:val="24"/>
        </w:rPr>
        <w:t xml:space="preserve">LexicalOverlapRetriever</w:t>
      </w:r>
      <w:r>
        <w:rPr>
          <w:rFonts w:ascii="Times New Roman" w:cs="Traditional Arabic" w:hAnsi="Times New Roman"/>
          <w:b w:val="false"/>
          <w:i w:val="false"/>
          <w:iCs w:val="false"/>
          <w:color w:val="000000"/>
          <w:sz w:val="26"/>
          <w:szCs w:val="30"/>
          <w:rtl/>
        </w:rPr>
        <w:t xml:space="preserve"> لا BM25 (لا IDF ولا k1/b) — تصحيح مصداقية مقصود، والدمج خطي مرجح 60/40 كما يشرح النظام لنفسه في إجاباته المؤسسية.</w:t>
      </w:r>
    </w:p>
    <w:p>
      <w:pPr>
        <w:pStyle w:val="Heading1"/>
        <w:pageBreakBefore/>
        <w:bidi/>
        <w:spacing w:after="200" w:before="400" w:line="340"/>
        <w:jc w:val="right"/>
      </w:pPr>
      <w:bookmarkStart w:id="100038" w:name="_Toc100038"/>
      <w:r>
        <w:rPr>
          <w:rFonts w:ascii="Times New Roman" w:cs="Simplified Arabic" w:hAnsi="Times New Roman"/>
          <w:b/>
          <w:bCs/>
          <w:color w:val="1F3A5F"/>
          <w:sz w:val="32"/>
          <w:szCs w:val="36"/>
          <w:rtl/>
        </w:rPr>
        <w:t xml:space="preserve">32. تحليل الأتمتة (n8n Automation Analysis)</w:t>
      </w:r>
      <w:bookmarkEnd w:id="100038"/>
    </w:p>
    <w:p>
      <w:pPr>
        <w:bidi/>
        <w:spacing w:after="120" w:line="312"/>
        <w:ind w:firstLine="340"/>
        <w:jc w:val="both"/>
      </w:pPr>
      <w:r>
        <w:rPr>
          <w:rFonts w:ascii="Times New Roman" w:cs="Traditional Arabic" w:hAnsi="Times New Roman"/>
          <w:b w:val="false"/>
          <w:i w:val="false"/>
          <w:iCs w:val="false"/>
          <w:color w:val="000000"/>
          <w:sz w:val="26"/>
          <w:szCs w:val="30"/>
          <w:rtl/>
        </w:rPr>
        <w:t xml:space="preserve">تضم نسخة n8n الخاصة بالمشروع 14 سير عمل نشطاً ومثبتاً بالتصدير في </w:t>
      </w:r>
      <w:r>
        <w:rPr>
          <w:rFonts w:ascii="Times New Roman" w:eastAsia="Times New Roman" w:hAnsi="Times New Roman"/>
          <w:b w:val="false"/>
          <w:bCs w:val="false"/>
          <w:i w:val="false"/>
          <w:iCs w:val="false"/>
          <w:color w:val="000000"/>
          <w:sz w:val="24"/>
          <w:szCs w:val="24"/>
        </w:rPr>
        <w:t xml:space="preserve">D:\Graduation Project\n8n final</w:t>
      </w:r>
      <w:r>
        <w:rPr>
          <w:rFonts w:ascii="Times New Roman" w:cs="Traditional Arabic" w:hAnsi="Times New Roman"/>
          <w:b w:val="false"/>
          <w:i w:val="false"/>
          <w:iCs w:val="false"/>
          <w:color w:val="000000"/>
          <w:sz w:val="26"/>
          <w:szCs w:val="30"/>
          <w:rtl/>
        </w:rPr>
        <w:t xml:space="preserve">، وتتبع نمطاً موحداً: ‏</w:t>
      </w:r>
      <w:r>
        <w:rPr>
          <w:rFonts w:ascii="Times New Roman" w:eastAsia="Times New Roman" w:hAnsi="Times New Roman"/>
          <w:b w:val="false"/>
          <w:bCs w:val="false"/>
          <w:i w:val="false"/>
          <w:iCs w:val="false"/>
          <w:color w:val="000000"/>
          <w:sz w:val="24"/>
          <w:szCs w:val="24"/>
        </w:rPr>
        <w:t xml:space="preserve">Application → Trigger → n8n → External Action → Callback → Backend → automation_runs → Metrics/Audit</w:t>
      </w:r>
      <w:r>
        <w:rPr>
          <w:rFonts w:ascii="Times New Roman" w:cs="Traditional Arabic" w:hAnsi="Times New Roman"/>
          <w:b w:val="false"/>
          <w:i w:val="false"/>
          <w:iCs w:val="false"/>
          <w:color w:val="000000"/>
          <w:sz w:val="26"/>
          <w:szCs w:val="30"/>
          <w:rtl/>
        </w:rPr>
        <w:t xml:space="preserve">:</w:t>
      </w:r>
    </w:p>
    <w:p>
      <w:pPr>
        <w:keepNext/>
        <w:bidi/>
        <w:spacing w:after="80" w:before="160"/>
        <w:jc w:val="right"/>
      </w:pPr>
      <w:r>
        <w:rPr>
          <w:rFonts w:ascii="Times New Roman" w:cs="Traditional Arabic" w:hAnsi="Times New Roman"/>
          <w:b/>
          <w:bCs/>
          <w:i w:val="false"/>
          <w:iCs w:val="false"/>
          <w:color w:val="000000"/>
          <w:sz w:val="22"/>
          <w:szCs w:val="22"/>
          <w:rtl/>
        </w:rPr>
        <w:t xml:space="preserve">جدول 17: </w:t>
      </w:r>
      <w:r>
        <w:rPr>
          <w:rFonts w:ascii="Times New Roman" w:cs="Traditional Arabic" w:hAnsi="Times New Roman"/>
          <w:b w:val="false"/>
          <w:i w:val="false"/>
          <w:iCs w:val="false"/>
          <w:color w:val="000000"/>
          <w:sz w:val="22"/>
          <w:szCs w:val="22"/>
          <w:rtl/>
        </w:rPr>
        <w:t xml:space="preserve">سير عمل n8n الأربعة عشر (مثبتة بالتصدير والاختبار الحي)</w:t>
      </w:r>
    </w:p>
    <w:tbl>
      <w:tblPr>
        <w:bidiVisual/>
        <w:tblW w:type="pct" w:w="100%"/>
        <w:tblBorders>
          <w:top w:val="single" w:color="9AA6B2" w:sz="6"/>
          <w:left w:val="none" w:color="FFFFFF" w:sz="0"/>
          <w:bottom w:val="single" w:color="9AA6B2" w:sz="6"/>
          <w:right w:val="none" w:color="FFFFFF" w:sz="0"/>
          <w:insideH w:val="single" w:color="D5DCE4" w:sz="2"/>
          <w:insideV w:val="single" w:color="D5DCE4" w:sz="2"/>
        </w:tblBorders>
      </w:tblPr>
      <w:tblGrid>
        <w:gridCol w:w="100"/>
        <w:gridCol w:w="100"/>
        <w:gridCol w:w="100"/>
        <w:gridCol w:w="100"/>
        <w:gridCol w:w="100"/>
        <w:gridCol w:w="100"/>
      </w:tblGrid>
      <w:tr>
        <w:trPr>
          <w:cantSplit/>
          <w:tblHeader/>
        </w:trPr>
        <w:tc>
          <w:tcPr>
            <w:tcW w:type="pct" w:w="5%"/>
            <w:shd w:fill="E8EDF3" w:val="clear"/>
            <w:tcMar>
              <w:top w:type="dxa" w:w="70"/>
              <w:left w:type="dxa" w:w="100"/>
              <w:bottom w:type="dxa" w:w="70"/>
              <w:right w:type="dxa" w:w="100"/>
            </w:tcMar>
            <w:vAlign w:val="center"/>
          </w:tcPr>
          <w:p>
            <w:pPr>
              <w:bidi/>
              <w:jc w:val="center"/>
            </w:pPr>
            <w:r>
              <w:rPr>
                <w:rFonts w:ascii="Times New Roman" w:cs="Traditional Arabic" w:hAnsi="Times New Roman"/>
                <w:b/>
                <w:bCs/>
                <w:i w:val="false"/>
                <w:iCs w:val="false"/>
                <w:color w:val="111111"/>
                <w:sz w:val="21"/>
                <w:szCs w:val="21"/>
                <w:rtl/>
              </w:rPr>
              <w:t xml:space="preserve">#</w:t>
            </w:r>
          </w:p>
        </w:tc>
        <w:tc>
          <w:tcPr>
            <w:tcW w:type="pct" w:w="22%"/>
            <w:shd w:fill="E8EDF3" w:val="clear"/>
            <w:tcMar>
              <w:top w:type="dxa" w:w="70"/>
              <w:left w:type="dxa" w:w="100"/>
              <w:bottom w:type="dxa" w:w="70"/>
              <w:right w:type="dxa" w:w="100"/>
            </w:tcMar>
            <w:vAlign w:val="center"/>
          </w:tcPr>
          <w:p>
            <w:pPr>
              <w:bidi/>
              <w:jc w:val="center"/>
            </w:pPr>
            <w:r>
              <w:rPr>
                <w:rFonts w:ascii="Times New Roman" w:cs="Traditional Arabic" w:hAnsi="Times New Roman"/>
                <w:b/>
                <w:bCs/>
                <w:i w:val="false"/>
                <w:iCs w:val="false"/>
                <w:color w:val="111111"/>
                <w:sz w:val="21"/>
                <w:szCs w:val="21"/>
                <w:rtl/>
              </w:rPr>
              <w:t xml:space="preserve">Workflow</w:t>
            </w:r>
          </w:p>
        </w:tc>
        <w:tc>
          <w:tcPr>
            <w:tcW w:type="pct" w:w="16%"/>
            <w:shd w:fill="E8EDF3" w:val="clear"/>
            <w:tcMar>
              <w:top w:type="dxa" w:w="70"/>
              <w:left w:type="dxa" w:w="100"/>
              <w:bottom w:type="dxa" w:w="70"/>
              <w:right w:type="dxa" w:w="100"/>
            </w:tcMar>
            <w:vAlign w:val="center"/>
          </w:tcPr>
          <w:p>
            <w:pPr>
              <w:bidi/>
              <w:jc w:val="center"/>
            </w:pPr>
            <w:r>
              <w:rPr>
                <w:rFonts w:ascii="Times New Roman" w:cs="Traditional Arabic" w:hAnsi="Times New Roman"/>
                <w:b/>
                <w:bCs/>
                <w:i w:val="false"/>
                <w:iCs w:val="false"/>
                <w:color w:val="111111"/>
                <w:sz w:val="21"/>
                <w:szCs w:val="21"/>
                <w:rtl/>
              </w:rPr>
              <w:t xml:space="preserve">المُشغِّل</w:t>
            </w:r>
          </w:p>
        </w:tc>
        <w:tc>
          <w:tcPr>
            <w:tcW w:type="pct" w:w="30%"/>
            <w:shd w:fill="E8EDF3" w:val="clear"/>
            <w:tcMar>
              <w:top w:type="dxa" w:w="70"/>
              <w:left w:type="dxa" w:w="100"/>
              <w:bottom w:type="dxa" w:w="70"/>
              <w:right w:type="dxa" w:w="100"/>
            </w:tcMar>
            <w:vAlign w:val="center"/>
          </w:tcPr>
          <w:p>
            <w:pPr>
              <w:bidi/>
              <w:jc w:val="center"/>
            </w:pPr>
            <w:r>
              <w:rPr>
                <w:rFonts w:ascii="Times New Roman" w:cs="Traditional Arabic" w:hAnsi="Times New Roman"/>
                <w:b/>
                <w:bCs/>
                <w:i w:val="false"/>
                <w:iCs w:val="false"/>
                <w:color w:val="111111"/>
                <w:sz w:val="21"/>
                <w:szCs w:val="21"/>
                <w:rtl/>
              </w:rPr>
              <w:t xml:space="preserve">الوظيفة</w:t>
            </w:r>
          </w:p>
        </w:tc>
        <w:tc>
          <w:tcPr>
            <w:tcW w:type="pct" w:w="14%"/>
            <w:shd w:fill="E8EDF3" w:val="clear"/>
            <w:tcMar>
              <w:top w:type="dxa" w:w="70"/>
              <w:left w:type="dxa" w:w="100"/>
              <w:bottom w:type="dxa" w:w="70"/>
              <w:right w:type="dxa" w:w="100"/>
            </w:tcMar>
            <w:vAlign w:val="center"/>
          </w:tcPr>
          <w:p>
            <w:pPr>
              <w:bidi/>
              <w:jc w:val="center"/>
            </w:pPr>
            <w:r>
              <w:rPr>
                <w:rFonts w:ascii="Times New Roman" w:cs="Traditional Arabic" w:hAnsi="Times New Roman"/>
                <w:b/>
                <w:bCs/>
                <w:i w:val="false"/>
                <w:iCs w:val="false"/>
                <w:color w:val="111111"/>
                <w:sz w:val="21"/>
                <w:szCs w:val="21"/>
                <w:rtl/>
              </w:rPr>
              <w:t xml:space="preserve">القناة الخارجية</w:t>
            </w:r>
          </w:p>
        </w:tc>
        <w:tc>
          <w:tcPr>
            <w:tcW w:type="pct" w:w="13%"/>
            <w:shd w:fill="E8EDF3" w:val="clear"/>
            <w:tcMar>
              <w:top w:type="dxa" w:w="70"/>
              <w:left w:type="dxa" w:w="100"/>
              <w:bottom w:type="dxa" w:w="70"/>
              <w:right w:type="dxa" w:w="100"/>
            </w:tcMar>
            <w:vAlign w:val="center"/>
          </w:tcPr>
          <w:p>
            <w:pPr>
              <w:bidi/>
              <w:jc w:val="center"/>
            </w:pPr>
            <w:r>
              <w:rPr>
                <w:rFonts w:ascii="Times New Roman" w:cs="Traditional Arabic" w:hAnsi="Times New Roman"/>
                <w:b/>
                <w:bCs/>
                <w:i w:val="false"/>
                <w:iCs w:val="false"/>
                <w:color w:val="111111"/>
                <w:sz w:val="21"/>
                <w:szCs w:val="21"/>
                <w:rtl/>
              </w:rPr>
              <w:t xml:space="preserve">القياس</w:t>
            </w:r>
          </w:p>
        </w:tc>
      </w:tr>
      <w:tr>
        <w:trPr>
          <w:cantSplit/>
        </w:trPr>
        <w:tc>
          <w:tcPr>
            <w:tcW w:type="pct" w:w="5%"/>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1</w:t>
            </w:r>
          </w:p>
        </w:tc>
        <w:tc>
          <w:tcPr>
            <w:tcW w:type="pct" w:w="22%"/>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Combined Reminder &amp; Evaluation</w:t>
            </w:r>
          </w:p>
        </w:tc>
        <w:tc>
          <w:tcPr>
            <w:tcW w:type="pct" w:w="16%"/>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cron 9AM + webhooks</w:t>
            </w:r>
          </w:p>
        </w:tc>
        <w:tc>
          <w:tcPr>
            <w:tcW w:type="pct" w:w="30%"/>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7"/>
                <w:szCs w:val="17"/>
                <w:rtl/>
              </w:rPr>
              <w:t xml:space="preserve">تذكير المزمنين + كوبون churn&gt;0.4 + مراجعة بشرية</w:t>
            </w:r>
          </w:p>
        </w:tc>
        <w:tc>
          <w:tcPr>
            <w:tcW w:type="pct" w:w="14%"/>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Telegram</w:t>
            </w:r>
          </w:p>
        </w:tc>
        <w:tc>
          <w:tcPr>
            <w:tcW w:type="pct" w:w="13%"/>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callbacks</w:t>
            </w:r>
          </w:p>
        </w:tc>
      </w:tr>
      <w:tr>
        <w:trPr>
          <w:cantSplit/>
        </w:trPr>
        <w:tc>
          <w:tcPr>
            <w:tcW w:type="pct" w:w="5%"/>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2</w:t>
            </w:r>
          </w:p>
        </w:tc>
        <w:tc>
          <w:tcPr>
            <w:tcW w:type="pct" w:w="22%"/>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Medical Emergency Escalation (v3)</w:t>
            </w:r>
          </w:p>
        </w:tc>
        <w:tc>
          <w:tcPr>
            <w:tcW w:type="pct" w:w="16%"/>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webhook emergency-alert</w:t>
            </w:r>
          </w:p>
        </w:tc>
        <w:tc>
          <w:tcPr>
            <w:tcW w:type="pct" w:w="30%"/>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7"/>
                <w:szCs w:val="17"/>
                <w:rtl/>
              </w:rPr>
              <w:t xml:space="preserve">تنبيه الصيدلي بالطوارئ فوراً</w:t>
            </w:r>
          </w:p>
        </w:tc>
        <w:tc>
          <w:tcPr>
            <w:tcW w:type="pct" w:w="14%"/>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Telegram</w:t>
            </w:r>
          </w:p>
        </w:tc>
        <w:tc>
          <w:tcPr>
            <w:tcW w:type="pct" w:w="13%"/>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7"/>
                <w:szCs w:val="17"/>
                <w:rtl/>
              </w:rPr>
              <w:t xml:space="preserve">تنفيذ ناجح</w:t>
            </w:r>
          </w:p>
        </w:tc>
      </w:tr>
      <w:tr>
        <w:trPr>
          <w:cantSplit/>
        </w:trPr>
        <w:tc>
          <w:tcPr>
            <w:tcW w:type="pct" w:w="5%"/>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3</w:t>
            </w:r>
          </w:p>
        </w:tc>
        <w:tc>
          <w:tcPr>
            <w:tcW w:type="pct" w:w="22%"/>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worm_anchor</w:t>
            </w:r>
          </w:p>
        </w:tc>
        <w:tc>
          <w:tcPr>
            <w:tcW w:type="pct" w:w="16%"/>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7"/>
                <w:szCs w:val="17"/>
                <w:rtl/>
              </w:rPr>
              <w:t xml:space="preserve">webhook (worker ساعي)</w:t>
            </w:r>
          </w:p>
        </w:tc>
        <w:tc>
          <w:tcPr>
            <w:tcW w:type="pct" w:w="30%"/>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7"/>
                <w:szCs w:val="17"/>
                <w:rtl/>
              </w:rPr>
              <w:t xml:space="preserve">بث بصمة رأس سلسلة WORM خارجياً</w:t>
            </w:r>
          </w:p>
        </w:tc>
        <w:tc>
          <w:tcPr>
            <w:tcW w:type="pct" w:w="14%"/>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Telegram</w:t>
            </w:r>
          </w:p>
        </w:tc>
        <w:tc>
          <w:tcPr>
            <w:tcW w:type="pct" w:w="13%"/>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7"/>
                <w:szCs w:val="17"/>
                <w:rtl/>
              </w:rPr>
              <w:t xml:space="preserve">مطابقة الدفتر</w:t>
            </w:r>
          </w:p>
        </w:tc>
      </w:tr>
      <w:tr>
        <w:trPr>
          <w:cantSplit/>
        </w:trPr>
        <w:tc>
          <w:tcPr>
            <w:tcW w:type="pct" w:w="5%"/>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4</w:t>
            </w:r>
          </w:p>
        </w:tc>
        <w:tc>
          <w:tcPr>
            <w:tcW w:type="pct" w:w="22%"/>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worm_alert</w:t>
            </w:r>
          </w:p>
        </w:tc>
        <w:tc>
          <w:tcPr>
            <w:tcW w:type="pct" w:w="16%"/>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7"/>
                <w:szCs w:val="17"/>
                <w:rtl/>
              </w:rPr>
              <w:t xml:space="preserve">webhook عند كسر السلسلة</w:t>
            </w:r>
          </w:p>
        </w:tc>
        <w:tc>
          <w:tcPr>
            <w:tcW w:type="pct" w:w="30%"/>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7"/>
                <w:szCs w:val="17"/>
                <w:rtl/>
              </w:rPr>
              <w:t xml:space="preserve">إنذار تلاعب فوري</w:t>
            </w:r>
          </w:p>
        </w:tc>
        <w:tc>
          <w:tcPr>
            <w:tcW w:type="pct" w:w="14%"/>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Telegram</w:t>
            </w:r>
          </w:p>
        </w:tc>
        <w:tc>
          <w:tcPr>
            <w:tcW w:type="pct" w:w="13%"/>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zero false</w:t>
            </w:r>
          </w:p>
        </w:tc>
      </w:tr>
      <w:tr>
        <w:trPr>
          <w:cantSplit/>
        </w:trPr>
        <w:tc>
          <w:tcPr>
            <w:tcW w:type="pct" w:w="5%"/>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5</w:t>
            </w:r>
          </w:p>
        </w:tc>
        <w:tc>
          <w:tcPr>
            <w:tcW w:type="pct" w:w="22%"/>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Weekly Executive Summary (FIXED)</w:t>
            </w:r>
          </w:p>
        </w:tc>
        <w:tc>
          <w:tcPr>
            <w:tcW w:type="pct" w:w="16%"/>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7"/>
                <w:szCs w:val="17"/>
                <w:rtl/>
              </w:rPr>
              <w:t xml:space="preserve">cron إثنين 8AM + webhook</w:t>
            </w:r>
          </w:p>
        </w:tc>
        <w:tc>
          <w:tcPr>
            <w:tcW w:type="pct" w:w="30%"/>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7"/>
                <w:szCs w:val="17"/>
                <w:rtl/>
              </w:rPr>
              <w:t xml:space="preserve">ملخص ROI حقيقي (بلا أرقام ملفقة)</w:t>
            </w:r>
          </w:p>
        </w:tc>
        <w:tc>
          <w:tcPr>
            <w:tcW w:type="pct" w:w="14%"/>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Telegram</w:t>
            </w:r>
          </w:p>
        </w:tc>
        <w:tc>
          <w:tcPr>
            <w:tcW w:type="pct" w:w="13%"/>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success</w:t>
            </w:r>
          </w:p>
        </w:tc>
      </w:tr>
      <w:tr>
        <w:trPr>
          <w:cantSplit/>
        </w:trPr>
        <w:tc>
          <w:tcPr>
            <w:tcW w:type="pct" w:w="5%"/>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6</w:t>
            </w:r>
          </w:p>
        </w:tc>
        <w:tc>
          <w:tcPr>
            <w:tcW w:type="pct" w:w="22%"/>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Support Agent (Arabic v2)</w:t>
            </w:r>
          </w:p>
        </w:tc>
        <w:tc>
          <w:tcPr>
            <w:tcW w:type="pct" w:w="16%"/>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webhook aicos-support</w:t>
            </w:r>
          </w:p>
        </w:tc>
        <w:tc>
          <w:tcPr>
            <w:tcW w:type="pct" w:w="30%"/>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7"/>
                <w:szCs w:val="17"/>
                <w:rtl/>
              </w:rPr>
              <w:t xml:space="preserve">تصنيف الشكاوى والرد/التصعيد</w:t>
            </w:r>
          </w:p>
        </w:tc>
        <w:tc>
          <w:tcPr>
            <w:tcW w:type="pct" w:w="14%"/>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LLM + Telegram</w:t>
            </w:r>
          </w:p>
        </w:tc>
        <w:tc>
          <w:tcPr>
            <w:tcW w:type="pct" w:w="13%"/>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hybrid gate</w:t>
            </w:r>
          </w:p>
        </w:tc>
      </w:tr>
      <w:tr>
        <w:trPr>
          <w:cantSplit/>
        </w:trPr>
        <w:tc>
          <w:tcPr>
            <w:tcW w:type="pct" w:w="5%"/>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7</w:t>
            </w:r>
          </w:p>
        </w:tc>
        <w:tc>
          <w:tcPr>
            <w:tcW w:type="pct" w:w="22%"/>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Analytics Agent (Arabic v2)</w:t>
            </w:r>
          </w:p>
        </w:tc>
        <w:tc>
          <w:tcPr>
            <w:tcW w:type="pct" w:w="16%"/>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webhook + cron 6AM</w:t>
            </w:r>
          </w:p>
        </w:tc>
        <w:tc>
          <w:tcPr>
            <w:tcW w:type="pct" w:w="30%"/>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7"/>
                <w:szCs w:val="17"/>
                <w:rtl/>
              </w:rPr>
              <w:t xml:space="preserve">ملخص KPIs بالعربية</w:t>
            </w:r>
          </w:p>
        </w:tc>
        <w:tc>
          <w:tcPr>
            <w:tcW w:type="pct" w:w="14%"/>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Ollama + Telegram</w:t>
            </w:r>
          </w:p>
        </w:tc>
        <w:tc>
          <w:tcPr>
            <w:tcW w:type="pct" w:w="13%"/>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hybrid gate</w:t>
            </w:r>
          </w:p>
        </w:tc>
      </w:tr>
      <w:tr>
        <w:trPr>
          <w:cantSplit/>
        </w:trPr>
        <w:tc>
          <w:tcPr>
            <w:tcW w:type="pct" w:w="5%"/>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8</w:t>
            </w:r>
          </w:p>
        </w:tc>
        <w:tc>
          <w:tcPr>
            <w:tcW w:type="pct" w:w="22%"/>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Customer Success Agent (Arabic v2)</w:t>
            </w:r>
          </w:p>
        </w:tc>
        <w:tc>
          <w:tcPr>
            <w:tcW w:type="pct" w:w="16%"/>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webhook aicos-customer-success</w:t>
            </w:r>
          </w:p>
        </w:tc>
        <w:tc>
          <w:tcPr>
            <w:tcW w:type="pct" w:w="30%"/>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7"/>
                <w:szCs w:val="17"/>
                <w:rtl/>
              </w:rPr>
              <w:t xml:space="preserve">خطة احتفاظ عربية</w:t>
            </w:r>
          </w:p>
        </w:tc>
        <w:tc>
          <w:tcPr>
            <w:tcW w:type="pct" w:w="14%"/>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Ollama</w:t>
            </w:r>
          </w:p>
        </w:tc>
        <w:tc>
          <w:tcPr>
            <w:tcW w:type="pct" w:w="13%"/>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hybrid gate</w:t>
            </w:r>
          </w:p>
        </w:tc>
      </w:tr>
      <w:tr>
        <w:trPr>
          <w:cantSplit/>
        </w:trPr>
        <w:tc>
          <w:tcPr>
            <w:tcW w:type="pct" w:w="5%"/>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9</w:t>
            </w:r>
          </w:p>
        </w:tc>
        <w:tc>
          <w:tcPr>
            <w:tcW w:type="pct" w:w="22%"/>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Finance Agent (Arabic v2)</w:t>
            </w:r>
          </w:p>
        </w:tc>
        <w:tc>
          <w:tcPr>
            <w:tcW w:type="pct" w:w="16%"/>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webhook aicos-finance-clv</w:t>
            </w:r>
          </w:p>
        </w:tc>
        <w:tc>
          <w:tcPr>
            <w:tcW w:type="pct" w:w="30%"/>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7"/>
                <w:szCs w:val="17"/>
                <w:rtl/>
              </w:rPr>
              <w:t xml:space="preserve">قرار CLV مالي</w:t>
            </w:r>
          </w:p>
        </w:tc>
        <w:tc>
          <w:tcPr>
            <w:tcW w:type="pct" w:w="14%"/>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Ollama</w:t>
            </w:r>
          </w:p>
        </w:tc>
        <w:tc>
          <w:tcPr>
            <w:tcW w:type="pct" w:w="13%"/>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hybrid gate</w:t>
            </w:r>
          </w:p>
        </w:tc>
      </w:tr>
      <w:tr>
        <w:trPr>
          <w:cantSplit/>
        </w:trPr>
        <w:tc>
          <w:tcPr>
            <w:tcW w:type="pct" w:w="5%"/>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10</w:t>
            </w:r>
          </w:p>
        </w:tc>
        <w:tc>
          <w:tcPr>
            <w:tcW w:type="pct" w:w="22%"/>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send_discount_offer</w:t>
            </w:r>
          </w:p>
        </w:tc>
        <w:tc>
          <w:tcPr>
            <w:tcW w:type="pct" w:w="16%"/>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webhook</w:t>
            </w:r>
          </w:p>
        </w:tc>
        <w:tc>
          <w:tcPr>
            <w:tcW w:type="pct" w:w="30%"/>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7"/>
                <w:szCs w:val="17"/>
                <w:rtl/>
              </w:rPr>
              <w:t xml:space="preserve">حملة كوبونات للمعرضين للفقد</w:t>
            </w:r>
          </w:p>
        </w:tc>
        <w:tc>
          <w:tcPr>
            <w:tcW w:type="pct" w:w="14%"/>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Telegram</w:t>
            </w:r>
          </w:p>
        </w:tc>
        <w:tc>
          <w:tcPr>
            <w:tcW w:type="pct" w:w="13%"/>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callbacks</w:t>
            </w:r>
          </w:p>
        </w:tc>
      </w:tr>
      <w:tr>
        <w:trPr>
          <w:cantSplit/>
        </w:trPr>
        <w:tc>
          <w:tcPr>
            <w:tcW w:type="pct" w:w="5%"/>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11</w:t>
            </w:r>
          </w:p>
        </w:tc>
        <w:tc>
          <w:tcPr>
            <w:tcW w:type="pct" w:w="22%"/>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Governance SLA Monitor</w:t>
            </w:r>
          </w:p>
        </w:tc>
        <w:tc>
          <w:tcPr>
            <w:tcW w:type="pct" w:w="16%"/>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7"/>
                <w:szCs w:val="17"/>
                <w:rtl/>
              </w:rPr>
              <w:t xml:space="preserve">cron ساعي</w:t>
            </w:r>
          </w:p>
        </w:tc>
        <w:tc>
          <w:tcPr>
            <w:tcW w:type="pct" w:w="30%"/>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7"/>
                <w:szCs w:val="17"/>
                <w:rtl/>
              </w:rPr>
              <w:t xml:space="preserve">مراقبة تذكيرات متأخرة عن SLA</w:t>
            </w:r>
          </w:p>
        </w:tc>
        <w:tc>
          <w:tcPr>
            <w:tcW w:type="pct" w:w="14%"/>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Telegram</w:t>
            </w:r>
          </w:p>
        </w:tc>
        <w:tc>
          <w:tcPr>
            <w:tcW w:type="pct" w:w="13%"/>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15/20</w:t>
            </w:r>
          </w:p>
        </w:tc>
      </w:tr>
      <w:tr>
        <w:trPr>
          <w:cantSplit/>
        </w:trPr>
        <w:tc>
          <w:tcPr>
            <w:tcW w:type="pct" w:w="5%"/>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12</w:t>
            </w:r>
          </w:p>
        </w:tc>
        <w:tc>
          <w:tcPr>
            <w:tcW w:type="pct" w:w="22%"/>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Patient Health Agent</w:t>
            </w:r>
          </w:p>
        </w:tc>
        <w:tc>
          <w:tcPr>
            <w:tcW w:type="pct" w:w="16%"/>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7"/>
                <w:szCs w:val="17"/>
                <w:rtl/>
              </w:rPr>
              <w:t xml:space="preserve">webhook داخلي</w:t>
            </w:r>
          </w:p>
        </w:tc>
        <w:tc>
          <w:tcPr>
            <w:tcW w:type="pct" w:w="30%"/>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7"/>
                <w:szCs w:val="17"/>
                <w:rtl/>
              </w:rPr>
              <w:t xml:space="preserve">رؤى صحية للعميل</w:t>
            </w:r>
          </w:p>
        </w:tc>
        <w:tc>
          <w:tcPr>
            <w:tcW w:type="pct" w:w="14%"/>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Ollama</w:t>
            </w:r>
          </w:p>
        </w:tc>
        <w:tc>
          <w:tcPr>
            <w:tcW w:type="pct" w:w="13%"/>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12/12</w:t>
            </w:r>
          </w:p>
        </w:tc>
      </w:tr>
      <w:tr>
        <w:trPr>
          <w:cantSplit/>
        </w:trPr>
        <w:tc>
          <w:tcPr>
            <w:tcW w:type="pct" w:w="5%"/>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13</w:t>
            </w:r>
          </w:p>
        </w:tc>
        <w:tc>
          <w:tcPr>
            <w:tcW w:type="pct" w:w="22%"/>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Global Error Handler</w:t>
            </w:r>
          </w:p>
        </w:tc>
        <w:tc>
          <w:tcPr>
            <w:tcW w:type="pct" w:w="16%"/>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7"/>
                <w:szCs w:val="17"/>
                <w:rtl/>
              </w:rPr>
              <w:t xml:space="preserve">أحداث أخطاء</w:t>
            </w:r>
          </w:p>
        </w:tc>
        <w:tc>
          <w:tcPr>
            <w:tcW w:type="pct" w:w="30%"/>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7"/>
                <w:szCs w:val="17"/>
                <w:rtl/>
              </w:rPr>
              <w:t xml:space="preserve">توحيد معالجة الأخطاء</w:t>
            </w:r>
          </w:p>
        </w:tc>
        <w:tc>
          <w:tcPr>
            <w:tcW w:type="pct" w:w="14%"/>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7"/>
                <w:szCs w:val="17"/>
                <w:rtl/>
              </w:rPr>
              <w:t xml:space="preserve">—</w:t>
            </w:r>
          </w:p>
        </w:tc>
        <w:tc>
          <w:tcPr>
            <w:tcW w:type="pct" w:w="13%"/>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148/150</w:t>
            </w:r>
          </w:p>
        </w:tc>
      </w:tr>
      <w:tr>
        <w:trPr>
          <w:cantSplit/>
        </w:trPr>
        <w:tc>
          <w:tcPr>
            <w:tcW w:type="pct" w:w="5%"/>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14</w:t>
            </w:r>
          </w:p>
        </w:tc>
        <w:tc>
          <w:tcPr>
            <w:tcW w:type="pct" w:w="22%"/>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Respond chain (webhooks)</w:t>
            </w:r>
          </w:p>
        </w:tc>
        <w:tc>
          <w:tcPr>
            <w:tcW w:type="pct" w:w="16%"/>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webhooks</w:t>
            </w:r>
          </w:p>
        </w:tc>
        <w:tc>
          <w:tcPr>
            <w:tcW w:type="pct" w:w="30%"/>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7"/>
                <w:szCs w:val="17"/>
                <w:rtl/>
              </w:rPr>
              <w:t xml:space="preserve">استجابات فورية للباكند</w:t>
            </w:r>
          </w:p>
        </w:tc>
        <w:tc>
          <w:tcPr>
            <w:tcW w:type="pct" w:w="14%"/>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7"/>
                <w:szCs w:val="17"/>
                <w:rtl/>
              </w:rPr>
              <w:t xml:space="preserve">—</w:t>
            </w:r>
          </w:p>
        </w:tc>
        <w:tc>
          <w:tcPr>
            <w:tcW w:type="pct" w:w="13%"/>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200 OK</w:t>
            </w:r>
          </w:p>
        </w:tc>
      </w:tr>
    </w:tbl>
    <w:p>
      <w:pPr>
        <w:bidi/>
        <w:spacing w:after="120" w:line="312"/>
        <w:ind w:firstLine="340"/>
        <w:jc w:val="both"/>
      </w:pPr>
      <w:r>
        <w:rPr>
          <w:rFonts w:ascii="Times New Roman" w:cs="Traditional Arabic" w:hAnsi="Times New Roman"/>
          <w:b w:val="false"/>
          <w:i w:val="false"/>
          <w:iCs w:val="false"/>
          <w:color w:val="000000"/>
          <w:sz w:val="26"/>
          <w:szCs w:val="30"/>
          <w:rtl/>
        </w:rPr>
        <w:t xml:space="preserve">ومفصلات الموثوقية المثبتة: توكن داخلي (X-Internal-Token) على كل webhook، جدار رفض في الـ hybrid، طابور outbox للطوارئ عند سقوط n8n مع إعادة إرسال عند الإقلاع، ذاكرة قياس automation_runs، وإصلاح جذري موثق لعامل الطوارئ (استبدال عقد Respond بنمط onReceived بعد كشف عزل Task Runners عن متغيرات البيئة).</w:t>
      </w:r>
    </w:p>
    <w:p>
      <w:pPr>
        <w:pStyle w:val="Heading1"/>
        <w:pageBreakBefore/>
        <w:bidi/>
        <w:spacing w:after="200" w:before="400" w:line="340"/>
        <w:jc w:val="right"/>
      </w:pPr>
      <w:bookmarkStart w:id="100039" w:name="_Toc100039"/>
      <w:r>
        <w:rPr>
          <w:rFonts w:ascii="Times New Roman" w:cs="Simplified Arabic" w:hAnsi="Times New Roman"/>
          <w:b/>
          <w:bCs/>
          <w:color w:val="1F3A5F"/>
          <w:sz w:val="32"/>
          <w:szCs w:val="36"/>
          <w:rtl/>
        </w:rPr>
        <w:t xml:space="preserve">33. تحليل الواجهة وتفاعل المستخدم (Frontend / User Interaction)</w:t>
      </w:r>
      <w:bookmarkEnd w:id="100039"/>
    </w:p>
    <w:p>
      <w:pPr>
        <w:bidi/>
        <w:spacing w:after="120" w:line="312"/>
        <w:ind w:firstLine="340"/>
        <w:jc w:val="both"/>
      </w:pPr>
      <w:r>
        <w:rPr>
          <w:rFonts w:ascii="Times New Roman" w:cs="Traditional Arabic" w:hAnsi="Times New Roman"/>
          <w:b w:val="false"/>
          <w:i w:val="false"/>
          <w:iCs w:val="false"/>
          <w:color w:val="000000"/>
          <w:sz w:val="26"/>
          <w:szCs w:val="30"/>
          <w:rtl/>
        </w:rPr>
        <w:t xml:space="preserve">واجهة </w:t>
      </w:r>
      <w:r>
        <w:rPr>
          <w:rFonts w:ascii="Times New Roman" w:eastAsia="Times New Roman" w:hAnsi="Times New Roman"/>
          <w:b w:val="false"/>
          <w:bCs w:val="false"/>
          <w:i w:val="false"/>
          <w:iCs w:val="false"/>
          <w:color w:val="000000"/>
          <w:sz w:val="24"/>
          <w:szCs w:val="24"/>
        </w:rPr>
        <w:t xml:space="preserve">Next.js 16 + React 19</w:t>
      </w:r>
      <w:r>
        <w:rPr>
          <w:rFonts w:ascii="Times New Roman" w:cs="Traditional Arabic" w:hAnsi="Times New Roman"/>
          <w:b w:val="false"/>
          <w:i w:val="false"/>
          <w:iCs w:val="false"/>
          <w:color w:val="000000"/>
          <w:sz w:val="26"/>
          <w:szCs w:val="30"/>
          <w:rtl/>
        </w:rPr>
        <w:t xml:space="preserve"> بـ 32 صفحة موزعة: متجر عام (الرئيسية، الكتالوج، من نحن، اتصل بنا، الملف الشخصي)، مسار شراء (checkout)، طلباتي، فاتورة QR للموبايل، دخول، ولوحة إدارية من 17 وحدة:</w:t>
      </w:r>
    </w:p>
    <w:p>
      <w:pPr>
        <w:keepNext/>
        <w:bidi/>
        <w:spacing w:after="80" w:before="160"/>
        <w:jc w:val="right"/>
      </w:pPr>
      <w:r>
        <w:rPr>
          <w:rFonts w:ascii="Times New Roman" w:cs="Traditional Arabic" w:hAnsi="Times New Roman"/>
          <w:b/>
          <w:bCs/>
          <w:i w:val="false"/>
          <w:iCs w:val="false"/>
          <w:color w:val="000000"/>
          <w:sz w:val="22"/>
          <w:szCs w:val="22"/>
          <w:rtl/>
        </w:rPr>
        <w:t xml:space="preserve">جدول 18: </w:t>
      </w:r>
      <w:r>
        <w:rPr>
          <w:rFonts w:ascii="Times New Roman" w:cs="Traditional Arabic" w:hAnsi="Times New Roman"/>
          <w:b w:val="false"/>
          <w:i w:val="false"/>
          <w:iCs w:val="false"/>
          <w:color w:val="000000"/>
          <w:sz w:val="22"/>
          <w:szCs w:val="22"/>
          <w:rtl/>
        </w:rPr>
        <w:t xml:space="preserve">وحدات لوحة الإدارة (17 وحدة)</w:t>
      </w:r>
    </w:p>
    <w:tbl>
      <w:tblPr>
        <w:bidiVisual/>
        <w:tblW w:type="pct" w:w="100%"/>
        <w:tblBorders>
          <w:top w:val="single" w:color="9AA6B2" w:sz="6"/>
          <w:left w:val="none" w:color="FFFFFF" w:sz="0"/>
          <w:bottom w:val="single" w:color="9AA6B2" w:sz="6"/>
          <w:right w:val="none" w:color="FFFFFF" w:sz="0"/>
          <w:insideH w:val="single" w:color="D5DCE4" w:sz="2"/>
          <w:insideV w:val="single" w:color="D5DCE4" w:sz="2"/>
        </w:tblBorders>
      </w:tblPr>
      <w:tblGrid>
        <w:gridCol w:w="100"/>
        <w:gridCol w:w="100"/>
        <w:gridCol w:w="100"/>
      </w:tblGrid>
      <w:tr>
        <w:trPr>
          <w:cantSplit/>
          <w:tblHeader/>
        </w:trPr>
        <w:tc>
          <w:tcPr>
            <w:tcW w:type="pct" w:w="26%"/>
            <w:shd w:fill="E8EDF3" w:val="clear"/>
            <w:tcMar>
              <w:top w:type="dxa" w:w="70"/>
              <w:left w:type="dxa" w:w="100"/>
              <w:bottom w:type="dxa" w:w="70"/>
              <w:right w:type="dxa" w:w="100"/>
            </w:tcMar>
            <w:vAlign w:val="center"/>
          </w:tcPr>
          <w:p>
            <w:pPr>
              <w:bidi/>
              <w:jc w:val="center"/>
            </w:pPr>
            <w:r>
              <w:rPr>
                <w:rFonts w:ascii="Times New Roman" w:cs="Traditional Arabic" w:hAnsi="Times New Roman"/>
                <w:b/>
                <w:bCs/>
                <w:i w:val="false"/>
                <w:iCs w:val="false"/>
                <w:color w:val="111111"/>
                <w:sz w:val="21"/>
                <w:szCs w:val="21"/>
                <w:rtl/>
              </w:rPr>
              <w:t xml:space="preserve">الوحدة</w:t>
            </w:r>
          </w:p>
        </w:tc>
        <w:tc>
          <w:tcPr>
            <w:tcW w:type="pct" w:w="30%"/>
            <w:shd w:fill="E8EDF3" w:val="clear"/>
            <w:tcMar>
              <w:top w:type="dxa" w:w="70"/>
              <w:left w:type="dxa" w:w="100"/>
              <w:bottom w:type="dxa" w:w="70"/>
              <w:right w:type="dxa" w:w="100"/>
            </w:tcMar>
            <w:vAlign w:val="center"/>
          </w:tcPr>
          <w:p>
            <w:pPr>
              <w:bidi/>
              <w:jc w:val="center"/>
            </w:pPr>
            <w:r>
              <w:rPr>
                <w:rFonts w:ascii="Times New Roman" w:cs="Traditional Arabic" w:hAnsi="Times New Roman"/>
                <w:b/>
                <w:bCs/>
                <w:i w:val="false"/>
                <w:iCs w:val="false"/>
                <w:color w:val="111111"/>
                <w:sz w:val="21"/>
                <w:szCs w:val="21"/>
                <w:rtl/>
              </w:rPr>
              <w:t xml:space="preserve">المسار</w:t>
            </w:r>
          </w:p>
        </w:tc>
        <w:tc>
          <w:tcPr>
            <w:tcW w:type="pct" w:w="44%"/>
            <w:shd w:fill="E8EDF3" w:val="clear"/>
            <w:tcMar>
              <w:top w:type="dxa" w:w="70"/>
              <w:left w:type="dxa" w:w="100"/>
              <w:bottom w:type="dxa" w:w="70"/>
              <w:right w:type="dxa" w:w="100"/>
            </w:tcMar>
            <w:vAlign w:val="center"/>
          </w:tcPr>
          <w:p>
            <w:pPr>
              <w:bidi/>
              <w:jc w:val="center"/>
            </w:pPr>
            <w:r>
              <w:rPr>
                <w:rFonts w:ascii="Times New Roman" w:cs="Traditional Arabic" w:hAnsi="Times New Roman"/>
                <w:b/>
                <w:bCs/>
                <w:i w:val="false"/>
                <w:iCs w:val="false"/>
                <w:color w:val="111111"/>
                <w:sz w:val="21"/>
                <w:szCs w:val="21"/>
                <w:rtl/>
              </w:rPr>
              <w:t xml:space="preserve">الوظيفة</w:t>
            </w:r>
          </w:p>
        </w:tc>
      </w:tr>
      <w:tr>
        <w:trPr>
          <w:cantSplit/>
        </w:trPr>
        <w:tc>
          <w:tcPr>
            <w:tcW w:type="pct" w:w="26%"/>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Dashboard</w:t>
            </w:r>
          </w:p>
        </w:tc>
        <w:tc>
          <w:tcPr>
            <w:tcW w:type="pct" w:w="30%"/>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/admin</w:t>
            </w:r>
          </w:p>
        </w:tc>
        <w:tc>
          <w:tcPr>
            <w:tcW w:type="pct" w:w="44%"/>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مؤشرات عامة وحالة المنظومة</w:t>
            </w:r>
          </w:p>
        </w:tc>
      </w:tr>
      <w:tr>
        <w:trPr>
          <w:cantSplit/>
        </w:trPr>
        <w:tc>
          <w:tcPr>
            <w:tcW w:type="pct" w:w="26%"/>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Customers</w:t>
            </w:r>
          </w:p>
        </w:tc>
        <w:tc>
          <w:tcPr>
            <w:tcW w:type="pct" w:w="30%"/>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/admin/customers (+[id])</w:t>
            </w:r>
          </w:p>
        </w:tc>
        <w:tc>
          <w:tcPr>
            <w:tcW w:type="pct" w:w="44%"/>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إدارة العملاء والبروفايل</w:t>
            </w:r>
          </w:p>
        </w:tc>
      </w:tr>
      <w:tr>
        <w:trPr>
          <w:cantSplit/>
        </w:trPr>
        <w:tc>
          <w:tcPr>
            <w:tcW w:type="pct" w:w="26%"/>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Orders &amp; Invoicing</w:t>
            </w:r>
          </w:p>
        </w:tc>
        <w:tc>
          <w:tcPr>
            <w:tcW w:type="pct" w:w="30%"/>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/admin/orders</w:t>
            </w:r>
          </w:p>
        </w:tc>
        <w:tc>
          <w:tcPr>
            <w:tcW w:type="pct" w:w="44%"/>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الطلبات والفوترة</w:t>
            </w:r>
          </w:p>
        </w:tc>
      </w:tr>
      <w:tr>
        <w:trPr>
          <w:cantSplit/>
        </w:trPr>
        <w:tc>
          <w:tcPr>
            <w:tcW w:type="pct" w:w="26%"/>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Catalog &amp; Stock</w:t>
            </w:r>
          </w:p>
        </w:tc>
        <w:tc>
          <w:tcPr>
            <w:tcW w:type="pct" w:w="30%"/>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/admin/catalog</w:t>
            </w:r>
          </w:p>
        </w:tc>
        <w:tc>
          <w:tcPr>
            <w:tcW w:type="pct" w:w="44%"/>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الأدوية والمخزون</w:t>
            </w:r>
          </w:p>
        </w:tc>
      </w:tr>
      <w:tr>
        <w:trPr>
          <w:cantSplit/>
        </w:trPr>
        <w:tc>
          <w:tcPr>
            <w:tcW w:type="pct" w:w="26%"/>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Procurement (P2P)</w:t>
            </w:r>
          </w:p>
        </w:tc>
        <w:tc>
          <w:tcPr>
            <w:tcW w:type="pct" w:w="30%"/>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/admin/procurement</w:t>
            </w:r>
          </w:p>
        </w:tc>
        <w:tc>
          <w:tcPr>
            <w:tcW w:type="pct" w:w="44%"/>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المشتريات والتوريد</w:t>
            </w:r>
          </w:p>
        </w:tc>
      </w:tr>
      <w:tr>
        <w:trPr>
          <w:cantSplit/>
        </w:trPr>
        <w:tc>
          <w:tcPr>
            <w:tcW w:type="pct" w:w="26%"/>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Suppliers</w:t>
            </w:r>
          </w:p>
        </w:tc>
        <w:tc>
          <w:tcPr>
            <w:tcW w:type="pct" w:w="30%"/>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/admin/suppliers</w:t>
            </w:r>
          </w:p>
        </w:tc>
        <w:tc>
          <w:tcPr>
            <w:tcW w:type="pct" w:w="44%"/>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الموردون</w:t>
            </w:r>
          </w:p>
        </w:tc>
      </w:tr>
      <w:tr>
        <w:trPr>
          <w:cantSplit/>
        </w:trPr>
        <w:tc>
          <w:tcPr>
            <w:tcW w:type="pct" w:w="26%"/>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General Ledger</w:t>
            </w:r>
          </w:p>
        </w:tc>
        <w:tc>
          <w:tcPr>
            <w:tcW w:type="pct" w:w="30%"/>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/admin/accounting</w:t>
            </w:r>
          </w:p>
        </w:tc>
        <w:tc>
          <w:tcPr>
            <w:tcW w:type="pct" w:w="44%"/>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الأستاذ والميزان مزدوج القيد</w:t>
            </w:r>
          </w:p>
        </w:tc>
      </w:tr>
      <w:tr>
        <w:trPr>
          <w:cantSplit/>
        </w:trPr>
        <w:tc>
          <w:tcPr>
            <w:tcW w:type="pct" w:w="26%"/>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Business Value &amp; ROI</w:t>
            </w:r>
          </w:p>
        </w:tc>
        <w:tc>
          <w:tcPr>
            <w:tcW w:type="pct" w:w="30%"/>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/admin/business-value</w:t>
            </w:r>
          </w:p>
        </w:tc>
        <w:tc>
          <w:tcPr>
            <w:tcW w:type="pct" w:w="44%"/>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عائد الأعمال والجدوى</w:t>
            </w:r>
          </w:p>
        </w:tc>
      </w:tr>
      <w:tr>
        <w:trPr>
          <w:cantSplit/>
        </w:trPr>
        <w:tc>
          <w:tcPr>
            <w:tcW w:type="pct" w:w="26%"/>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Analytics &amp; Predictions</w:t>
            </w:r>
          </w:p>
        </w:tc>
        <w:tc>
          <w:tcPr>
            <w:tcW w:type="pct" w:w="30%"/>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/admin/analytics</w:t>
            </w:r>
          </w:p>
        </w:tc>
        <w:tc>
          <w:tcPr>
            <w:tcW w:type="pct" w:w="44%"/>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التحليلات والتنبؤ</w:t>
            </w:r>
          </w:p>
        </w:tc>
      </w:tr>
      <w:tr>
        <w:trPr>
          <w:cantSplit/>
        </w:trPr>
        <w:tc>
          <w:tcPr>
            <w:tcW w:type="pct" w:w="26%"/>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AI Review &amp; CDSS</w:t>
            </w:r>
          </w:p>
        </w:tc>
        <w:tc>
          <w:tcPr>
            <w:tcW w:type="pct" w:w="30%"/>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/admin/ai-review</w:t>
            </w:r>
          </w:p>
        </w:tc>
        <w:tc>
          <w:tcPr>
            <w:tcW w:type="pct" w:w="44%"/>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مراجعة الذكاء السريري</w:t>
            </w:r>
          </w:p>
        </w:tc>
      </w:tr>
      <w:tr>
        <w:trPr>
          <w:cantSplit/>
        </w:trPr>
        <w:tc>
          <w:tcPr>
            <w:tcW w:type="pct" w:w="26%"/>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Agentic AI Hub</w:t>
            </w:r>
          </w:p>
        </w:tc>
        <w:tc>
          <w:tcPr>
            <w:tcW w:type="pct" w:w="30%"/>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/admin/agentic-ai</w:t>
            </w:r>
          </w:p>
        </w:tc>
        <w:tc>
          <w:tcPr>
            <w:tcW w:type="pct" w:w="44%"/>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مركز الوكلاء (تنفيذ وعرض المصدر)</w:t>
            </w:r>
          </w:p>
        </w:tc>
      </w:tr>
      <w:tr>
        <w:trPr>
          <w:cantSplit/>
        </w:trPr>
        <w:tc>
          <w:tcPr>
            <w:tcW w:type="pct" w:w="26%"/>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Market Intelligence</w:t>
            </w:r>
          </w:p>
        </w:tc>
        <w:tc>
          <w:tcPr>
            <w:tcW w:type="pct" w:w="30%"/>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/admin/market-intelligence</w:t>
            </w:r>
          </w:p>
        </w:tc>
        <w:tc>
          <w:tcPr>
            <w:tcW w:type="pct" w:w="44%"/>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استخبارات السوق والقرارات</w:t>
            </w:r>
          </w:p>
        </w:tc>
      </w:tr>
      <w:tr>
        <w:trPr>
          <w:cantSplit/>
        </w:trPr>
        <w:tc>
          <w:tcPr>
            <w:tcW w:type="pct" w:w="26%"/>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What-If Lab</w:t>
            </w:r>
          </w:p>
        </w:tc>
        <w:tc>
          <w:tcPr>
            <w:tcW w:type="pct" w:w="30%"/>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/admin/what-if</w:t>
            </w:r>
          </w:p>
        </w:tc>
        <w:tc>
          <w:tcPr>
            <w:tcW w:type="pct" w:w="44%"/>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محاكي القرارات والنشر</w:t>
            </w:r>
          </w:p>
        </w:tc>
      </w:tr>
      <w:tr>
        <w:trPr>
          <w:cantSplit/>
        </w:trPr>
        <w:tc>
          <w:tcPr>
            <w:tcW w:type="pct" w:w="26%"/>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OCR Corrections</w:t>
            </w:r>
          </w:p>
        </w:tc>
        <w:tc>
          <w:tcPr>
            <w:tcW w:type="pct" w:w="30%"/>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/admin/ocr-corrections</w:t>
            </w:r>
          </w:p>
        </w:tc>
        <w:tc>
          <w:tcPr>
            <w:tcW w:type="pct" w:w="44%"/>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ذاكرة تصحيحات الروشتات</w:t>
            </w:r>
          </w:p>
        </w:tc>
      </w:tr>
      <w:tr>
        <w:trPr>
          <w:cantSplit/>
        </w:trPr>
        <w:tc>
          <w:tcPr>
            <w:tcW w:type="pct" w:w="26%"/>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Vertical Packs</w:t>
            </w:r>
          </w:p>
        </w:tc>
        <w:tc>
          <w:tcPr>
            <w:tcW w:type="pct" w:w="30%"/>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/admin/vertical-packs</w:t>
            </w:r>
          </w:p>
        </w:tc>
        <w:tc>
          <w:tcPr>
            <w:tcW w:type="pct" w:w="44%"/>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حزم الأعمال العمودية</w:t>
            </w:r>
          </w:p>
        </w:tc>
      </w:tr>
      <w:tr>
        <w:trPr>
          <w:cantSplit/>
        </w:trPr>
        <w:tc>
          <w:tcPr>
            <w:tcW w:type="pct" w:w="26%"/>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Risk &amp; SoD Matrix</w:t>
            </w:r>
          </w:p>
        </w:tc>
        <w:tc>
          <w:tcPr>
            <w:tcW w:type="pct" w:w="30%"/>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/admin/risk-register</w:t>
            </w:r>
          </w:p>
        </w:tc>
        <w:tc>
          <w:tcPr>
            <w:tcW w:type="pct" w:w="44%"/>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المخاطر والفصل بين المهام</w:t>
            </w:r>
          </w:p>
        </w:tc>
      </w:tr>
      <w:tr>
        <w:trPr>
          <w:cantSplit/>
        </w:trPr>
        <w:tc>
          <w:tcPr>
            <w:tcW w:type="pct" w:w="26%"/>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Audit Trail &amp; WORM</w:t>
            </w:r>
          </w:p>
        </w:tc>
        <w:tc>
          <w:tcPr>
            <w:tcW w:type="pct" w:w="30%"/>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/admin/audit-logs</w:t>
            </w:r>
          </w:p>
        </w:tc>
        <w:tc>
          <w:tcPr>
            <w:tcW w:type="pct" w:w="44%"/>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سجل التدقيق المشفر</w:t>
            </w:r>
          </w:p>
        </w:tc>
      </w:tr>
    </w:tbl>
    <w:p>
      <w:pPr>
        <w:bidi/>
        <w:spacing w:after="120" w:line="312"/>
        <w:ind w:firstLine="340"/>
        <w:jc w:val="both"/>
      </w:pPr>
      <w:r>
        <w:rPr>
          <w:rFonts w:ascii="Times New Roman" w:cs="Traditional Arabic" w:hAnsi="Times New Roman"/>
          <w:b w:val="false"/>
          <w:i w:val="false"/>
          <w:iCs w:val="false"/>
          <w:color w:val="000000"/>
          <w:sz w:val="26"/>
          <w:szCs w:val="30"/>
          <w:rtl/>
        </w:rPr>
        <w:t xml:space="preserve">وأنماط تفاعل مثبتة: بث SSE للمحادثة مع ping كل 2.5ث ضد انقطاع البروكسي، شارات ثقة ومصدر تنفيذ لكل وكيل، بوابة RBAC على مستوى المسار (proxy.ts يتحقق من الجلسة) مع بوابة دور في التخطيط، طباعة أكاديمية للفواتير، ومعالجة أخطاء مركزية في fetchApi (مهلة 120ث، تجديد 401 تلقائي، فك 422، إعادة محاولة شبكية فقط).</w:t>
      </w:r>
    </w:p>
    <w:p>
      <w:pPr>
        <w:pStyle w:val="Heading1"/>
        <w:pageBreakBefore/>
        <w:bidi/>
        <w:spacing w:after="200" w:before="400" w:line="340"/>
        <w:jc w:val="right"/>
      </w:pPr>
      <w:bookmarkStart w:id="100040" w:name="_Toc100040"/>
      <w:r>
        <w:rPr>
          <w:rFonts w:ascii="Times New Roman" w:cs="Simplified Arabic" w:hAnsi="Times New Roman"/>
          <w:b/>
          <w:bCs/>
          <w:color w:val="1F3A5F"/>
          <w:sz w:val="32"/>
          <w:szCs w:val="36"/>
          <w:rtl/>
        </w:rPr>
        <w:t xml:space="preserve">34. تحليل الصور والملفات والـ OCR (Image / File / OCR Analysis)</w:t>
      </w:r>
      <w:bookmarkEnd w:id="100040"/>
    </w:p>
    <w:p>
      <w:pPr>
        <w:bidi/>
        <w:spacing w:after="120" w:line="312"/>
        <w:ind w:firstLine="340"/>
        <w:jc w:val="both"/>
      </w:pPr>
      <w:r>
        <w:rPr>
          <w:rFonts w:ascii="Times New Roman" w:cs="Traditional Arabic" w:hAnsi="Times New Roman"/>
          <w:b w:val="false"/>
          <w:i w:val="false"/>
          <w:iCs w:val="false"/>
          <w:color w:val="000000"/>
          <w:sz w:val="26"/>
          <w:szCs w:val="30"/>
          <w:rtl/>
        </w:rPr>
        <w:t xml:space="preserve">يميز النظام صراحة بين ثلاث فئات للصور، ولكل فئة مسار مختلف — وهذا تمييز تحليلي جوهري غالباً ما يُغفل:</w:t>
      </w:r>
    </w:p>
    <w:tbl>
      <w:tblPr>
        <w:bidiVisual/>
        <w:tblW w:type="pct" w:w="100%"/>
        <w:tblBorders>
          <w:top w:val="single" w:color="9AA6B2" w:sz="6"/>
          <w:left w:val="none" w:color="FFFFFF" w:sz="0"/>
          <w:bottom w:val="single" w:color="9AA6B2" w:sz="6"/>
          <w:right w:val="none" w:color="FFFFFF" w:sz="0"/>
          <w:insideH w:val="single" w:color="D5DCE4" w:sz="2"/>
          <w:insideV w:val="single" w:color="D5DCE4" w:sz="2"/>
        </w:tblBorders>
      </w:tblPr>
      <w:tblGrid>
        <w:gridCol w:w="100"/>
        <w:gridCol w:w="100"/>
        <w:gridCol w:w="100"/>
        <w:gridCol w:w="100"/>
      </w:tblGrid>
      <w:tr>
        <w:trPr>
          <w:cantSplit/>
          <w:tblHeader/>
        </w:trPr>
        <w:tc>
          <w:tcPr>
            <w:tcW w:type="pct" w:w="16%"/>
            <w:shd w:fill="E8EDF3" w:val="clear"/>
            <w:tcMar>
              <w:top w:type="dxa" w:w="70"/>
              <w:left w:type="dxa" w:w="100"/>
              <w:bottom w:type="dxa" w:w="70"/>
              <w:right w:type="dxa" w:w="100"/>
            </w:tcMar>
            <w:vAlign w:val="center"/>
          </w:tcPr>
          <w:p>
            <w:pPr>
              <w:bidi/>
              <w:jc w:val="center"/>
            </w:pPr>
            <w:r>
              <w:rPr>
                <w:rFonts w:ascii="Times New Roman" w:cs="Traditional Arabic" w:hAnsi="Times New Roman"/>
                <w:b/>
                <w:bCs/>
                <w:i w:val="false"/>
                <w:iCs w:val="false"/>
                <w:color w:val="111111"/>
                <w:sz w:val="21"/>
                <w:szCs w:val="21"/>
                <w:rtl/>
              </w:rPr>
              <w:t xml:space="preserve">الفئة</w:t>
            </w:r>
          </w:p>
        </w:tc>
        <w:tc>
          <w:tcPr>
            <w:tcW w:type="pct" w:w="22%"/>
            <w:shd w:fill="E8EDF3" w:val="clear"/>
            <w:tcMar>
              <w:top w:type="dxa" w:w="70"/>
              <w:left w:type="dxa" w:w="100"/>
              <w:bottom w:type="dxa" w:w="70"/>
              <w:right w:type="dxa" w:w="100"/>
            </w:tcMar>
            <w:vAlign w:val="center"/>
          </w:tcPr>
          <w:p>
            <w:pPr>
              <w:bidi/>
              <w:jc w:val="center"/>
            </w:pPr>
            <w:r>
              <w:rPr>
                <w:rFonts w:ascii="Times New Roman" w:cs="Traditional Arabic" w:hAnsi="Times New Roman"/>
                <w:b/>
                <w:bCs/>
                <w:i w:val="false"/>
                <w:iCs w:val="false"/>
                <w:color w:val="111111"/>
                <w:sz w:val="21"/>
                <w:szCs w:val="21"/>
                <w:rtl/>
              </w:rPr>
              <w:t xml:space="preserve">التعريف</w:t>
            </w:r>
          </w:p>
        </w:tc>
        <w:tc>
          <w:tcPr>
            <w:tcW w:type="pct" w:w="36%"/>
            <w:shd w:fill="E8EDF3" w:val="clear"/>
            <w:tcMar>
              <w:top w:type="dxa" w:w="70"/>
              <w:left w:type="dxa" w:w="100"/>
              <w:bottom w:type="dxa" w:w="70"/>
              <w:right w:type="dxa" w:w="100"/>
            </w:tcMar>
            <w:vAlign w:val="center"/>
          </w:tcPr>
          <w:p>
            <w:pPr>
              <w:bidi/>
              <w:jc w:val="center"/>
            </w:pPr>
            <w:r>
              <w:rPr>
                <w:rFonts w:ascii="Times New Roman" w:cs="Traditional Arabic" w:hAnsi="Times New Roman"/>
                <w:b/>
                <w:bCs/>
                <w:i w:val="false"/>
                <w:iCs w:val="false"/>
                <w:color w:val="111111"/>
                <w:sz w:val="21"/>
                <w:szCs w:val="21"/>
                <w:rtl/>
              </w:rPr>
              <w:t xml:space="preserve">المسار الفعلي</w:t>
            </w:r>
          </w:p>
        </w:tc>
        <w:tc>
          <w:tcPr>
            <w:tcW w:type="pct" w:w="26%"/>
            <w:shd w:fill="E8EDF3" w:val="clear"/>
            <w:tcMar>
              <w:top w:type="dxa" w:w="70"/>
              <w:left w:type="dxa" w:w="100"/>
              <w:bottom w:type="dxa" w:w="70"/>
              <w:right w:type="dxa" w:w="100"/>
            </w:tcMar>
            <w:vAlign w:val="center"/>
          </w:tcPr>
          <w:p>
            <w:pPr>
              <w:bidi/>
              <w:jc w:val="center"/>
            </w:pPr>
            <w:r>
              <w:rPr>
                <w:rFonts w:ascii="Times New Roman" w:cs="Traditional Arabic" w:hAnsi="Times New Roman"/>
                <w:b/>
                <w:bCs/>
                <w:i w:val="false"/>
                <w:iCs w:val="false"/>
                <w:color w:val="111111"/>
                <w:sz w:val="21"/>
                <w:szCs w:val="21"/>
                <w:rtl/>
              </w:rPr>
              <w:t xml:space="preserve">الحماية/القيود</w:t>
            </w:r>
          </w:p>
        </w:tc>
      </w:tr>
      <w:tr>
        <w:trPr>
          <w:cantSplit/>
        </w:trPr>
        <w:tc>
          <w:tcPr>
            <w:tcW w:type="pct" w:w="16%"/>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UI Image (صورة عرض)</w:t>
            </w:r>
          </w:p>
        </w:tc>
        <w:tc>
          <w:tcPr>
            <w:tcW w:type="pct" w:w="22%"/>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صور الأدوية في الكتالوج والواجهة</w:t>
            </w:r>
          </w:p>
        </w:tc>
        <w:tc>
          <w:tcPr>
            <w:tcW w:type="pct" w:w="36%"/>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image_url على جدول drugs؛ internal endpoint للتحديث؛ placeholder تلقائي عند الغياب</w:t>
            </w:r>
          </w:p>
        </w:tc>
        <w:tc>
          <w:tcPr>
            <w:tcW w:type="pct" w:w="26%"/>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لا معالجة ذكاء — عرض فقط</w:t>
            </w:r>
          </w:p>
        </w:tc>
      </w:tr>
      <w:tr>
        <w:trPr>
          <w:cantSplit/>
        </w:trPr>
        <w:tc>
          <w:tcPr>
            <w:tcW w:type="pct" w:w="16%"/>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Business Input Image (مدخل أعمال)</w:t>
            </w:r>
          </w:p>
        </w:tc>
        <w:tc>
          <w:tcPr>
            <w:tcW w:type="pct" w:w="22%"/>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صورة الروشتة التي يرفعها المريض</w:t>
            </w:r>
          </w:p>
        </w:tc>
        <w:tc>
          <w:tcPr>
            <w:tcW w:type="pct" w:w="36%"/>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رفع عبر واجهة المتجر → خدمة الرؤية المنفصلة (9202) → prescriptions.image_url + analysis</w:t>
            </w:r>
          </w:p>
        </w:tc>
        <w:tc>
          <w:tcPr>
            <w:tcW w:type="pct" w:w="26%"/>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دخول مسار AI حقيقي: OCR → مطابقة → مراجعة بشرية</w:t>
            </w:r>
          </w:p>
        </w:tc>
      </w:tr>
      <w:tr>
        <w:trPr>
          <w:cantSplit/>
        </w:trPr>
        <w:tc>
          <w:tcPr>
            <w:tcW w:type="pct" w:w="16%"/>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AI-Processed Image (معالجة آلياً)</w:t>
            </w:r>
          </w:p>
        </w:tc>
        <w:tc>
          <w:tcPr>
            <w:tcW w:type="pct" w:w="22%"/>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ناتج التحليل داخل نظام الروشتات</w:t>
            </w:r>
          </w:p>
        </w:tc>
        <w:tc>
          <w:tcPr>
            <w:tcW w:type="pct" w:w="36%"/>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Prescription + PrescriptionAnalysis + PrescriptionItem + ذاكرة التصحيحات (OcrCorrection/Example)</w:t>
            </w:r>
          </w:p>
        </w:tc>
        <w:tc>
          <w:tcPr>
            <w:tcW w:type="pct" w:w="26%"/>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Human-in-the-Loop: درجة تحت العتبة ⇒ مراجعة صيدلي إلزامية</w:t>
            </w:r>
          </w:p>
        </w:tc>
      </w:tr>
    </w:tbl>
    <w:p>
      <w:pPr>
        <w:bidi/>
        <w:spacing w:after="120" w:line="312"/>
        <w:ind w:firstLine="340"/>
        <w:jc w:val="both"/>
      </w:pPr>
      <w:r>
        <w:rPr>
          <w:rFonts w:ascii="Times New Roman" w:cs="Traditional Arabic" w:hAnsi="Times New Roman"/>
          <w:b w:val="false"/>
          <w:i w:val="false"/>
          <w:iCs w:val="false"/>
          <w:color w:val="000000"/>
          <w:sz w:val="26"/>
          <w:szCs w:val="30"/>
          <w:rtl/>
        </w:rPr>
        <w:t xml:space="preserve">وتدفق المعالجة الكامل موثق في أربعة ملفات: </w:t>
      </w:r>
      <w:r>
        <w:rPr>
          <w:rFonts w:ascii="Times New Roman" w:eastAsia="Times New Roman" w:hAnsi="Times New Roman"/>
          <w:b w:val="false"/>
          <w:bCs w:val="false"/>
          <w:i w:val="false"/>
          <w:iCs w:val="false"/>
          <w:color w:val="000000"/>
          <w:sz w:val="24"/>
          <w:szCs w:val="24"/>
        </w:rPr>
        <w:t xml:space="preserve">prescriptions/vision.py</w:t>
      </w:r>
      <w:r>
        <w:rPr>
          <w:rFonts w:ascii="Times New Roman" w:cs="Traditional Arabic" w:hAnsi="Times New Roman"/>
          <w:b w:val="false"/>
          <w:i w:val="false"/>
          <w:iCs w:val="false"/>
          <w:color w:val="000000"/>
          <w:sz w:val="26"/>
          <w:szCs w:val="30"/>
          <w:rtl/>
        </w:rPr>
        <w:t xml:space="preserve"> (استدعاء خدمة الرؤية 9202)، </w:t>
      </w:r>
      <w:r>
        <w:rPr>
          <w:rFonts w:ascii="Times New Roman" w:eastAsia="Times New Roman" w:hAnsi="Times New Roman"/>
          <w:b w:val="false"/>
          <w:bCs w:val="false"/>
          <w:i w:val="false"/>
          <w:iCs w:val="false"/>
          <w:color w:val="000000"/>
          <w:sz w:val="24"/>
          <w:szCs w:val="24"/>
        </w:rPr>
        <w:t xml:space="preserve">matching.py</w:t>
      </w:r>
      <w:r>
        <w:rPr>
          <w:rFonts w:ascii="Times New Roman" w:cs="Traditional Arabic" w:hAnsi="Times New Roman"/>
          <w:b w:val="false"/>
          <w:i w:val="false"/>
          <w:iCs w:val="false"/>
          <w:color w:val="000000"/>
          <w:sz w:val="26"/>
          <w:szCs w:val="30"/>
          <w:rtl/>
        </w:rPr>
        <w:t xml:space="preserve"> (مطابقة ضبابية بجدول دلالة متدرج وعتبة قطع 65% مع أزواج LASA ومرادفات الصور)، </w:t>
      </w:r>
      <w:r>
        <w:rPr>
          <w:rFonts w:ascii="Times New Roman" w:eastAsia="Times New Roman" w:hAnsi="Times New Roman"/>
          <w:b w:val="false"/>
          <w:bCs w:val="false"/>
          <w:i w:val="false"/>
          <w:iCs w:val="false"/>
          <w:color w:val="000000"/>
          <w:sz w:val="24"/>
          <w:szCs w:val="24"/>
        </w:rPr>
        <w:t xml:space="preserve">corrections.py</w:t>
      </w:r>
      <w:r>
        <w:rPr>
          <w:rFonts w:ascii="Times New Roman" w:cs="Traditional Arabic" w:hAnsi="Times New Roman"/>
          <w:b w:val="false"/>
          <w:i w:val="false"/>
          <w:iCs w:val="false"/>
          <w:color w:val="000000"/>
          <w:sz w:val="26"/>
          <w:szCs w:val="30"/>
          <w:rtl/>
        </w:rPr>
        <w:t xml:space="preserve"> (ذاكرة تصحيحات بشرية تتحول لأمثلة تدريب)، </w:t>
      </w:r>
      <w:r>
        <w:rPr>
          <w:rFonts w:ascii="Times New Roman" w:eastAsia="Times New Roman" w:hAnsi="Times New Roman"/>
          <w:b w:val="false"/>
          <w:bCs w:val="false"/>
          <w:i w:val="false"/>
          <w:iCs w:val="false"/>
          <w:color w:val="000000"/>
          <w:sz w:val="24"/>
          <w:szCs w:val="24"/>
        </w:rPr>
        <w:t xml:space="preserve">integrity.py</w:t>
      </w:r>
      <w:r>
        <w:rPr>
          <w:rFonts w:ascii="Times New Roman" w:cs="Traditional Arabic" w:hAnsi="Times New Roman"/>
          <w:b w:val="false"/>
          <w:i w:val="false"/>
          <w:iCs w:val="false"/>
          <w:color w:val="000000"/>
          <w:sz w:val="26"/>
          <w:szCs w:val="30"/>
          <w:rtl/>
        </w:rPr>
        <w:t xml:space="preserve"> (ضوابط سلامة). والناتج يجتاز فحص CDSS نفسه المطبق على الطلب اليدوي — فلا اختصار للسلامة.</w:t>
      </w:r>
    </w:p>
    <w:p>
      <w:pPr>
        <w:bidi/>
        <w:spacing w:after="120" w:line="312"/>
        <w:ind w:firstLine="340"/>
        <w:jc w:val="both"/>
      </w:pPr>
      <w:r>
        <w:rPr>
          <w:rFonts w:ascii="Times New Roman" w:cs="Traditional Arabic" w:hAnsi="Times New Roman"/>
          <w:b w:val="false"/>
          <w:i w:val="false"/>
          <w:iCs w:val="false"/>
          <w:color w:val="000000"/>
          <w:sz w:val="26"/>
          <w:szCs w:val="30"/>
          <w:rtl/>
        </w:rPr>
        <w:t xml:space="preserve">أما الملفات العامة (غير الروشتات) فتمر عبر نطاق </w:t>
      </w:r>
      <w:r>
        <w:rPr>
          <w:rFonts w:ascii="Times New Roman" w:eastAsia="Times New Roman" w:hAnsi="Times New Roman"/>
          <w:b w:val="false"/>
          <w:bCs w:val="false"/>
          <w:i w:val="false"/>
          <w:iCs w:val="false"/>
          <w:color w:val="000000"/>
          <w:sz w:val="24"/>
          <w:szCs w:val="24"/>
        </w:rPr>
        <w:t xml:space="preserve">files</w:t>
      </w:r>
      <w:r>
        <w:rPr>
          <w:rFonts w:ascii="Times New Roman" w:cs="Traditional Arabic" w:hAnsi="Times New Roman"/>
          <w:b w:val="false"/>
          <w:i w:val="false"/>
          <w:iCs w:val="false"/>
          <w:color w:val="000000"/>
          <w:sz w:val="26"/>
          <w:szCs w:val="30"/>
          <w:rtl/>
        </w:rPr>
        <w:t xml:space="preserve"> (router/service/schemas) بقواعد رفع منضبطة، وتبقى الصور والملفات داخل تخزين Supabase مع مصادقة.</w:t>
      </w:r>
    </w:p>
    <w:p>
      <w:pPr>
        <w:pStyle w:val="Heading1"/>
        <w:pageBreakBefore/>
        <w:bidi/>
        <w:spacing w:after="200" w:before="400" w:line="340"/>
        <w:jc w:val="right"/>
      </w:pPr>
      <w:bookmarkStart w:id="100041" w:name="_Toc100041"/>
      <w:r>
        <w:rPr>
          <w:rFonts w:ascii="Times New Roman" w:cs="Simplified Arabic" w:hAnsi="Times New Roman"/>
          <w:b/>
          <w:bCs/>
          <w:color w:val="1F3A5F"/>
          <w:sz w:val="32"/>
          <w:szCs w:val="36"/>
          <w:rtl/>
        </w:rPr>
        <w:t xml:space="preserve">35. معمارية النظام (System Architecture)</w:t>
      </w:r>
      <w:bookmarkEnd w:id="100041"/>
    </w:p>
    <w:p>
      <w:pPr>
        <w:bidi/>
        <w:spacing w:after="120" w:line="312"/>
        <w:ind w:firstLine="340"/>
        <w:jc w:val="both"/>
      </w:pPr>
      <w:r>
        <w:rPr>
          <w:rFonts w:ascii="Times New Roman" w:cs="Traditional Arabic" w:hAnsi="Times New Roman"/>
          <w:b w:val="false"/>
          <w:i w:val="false"/>
          <w:iCs w:val="false"/>
          <w:color w:val="000000"/>
          <w:sz w:val="26"/>
          <w:szCs w:val="30"/>
          <w:rtl/>
        </w:rPr>
        <w:t xml:space="preserve">المعمارية طبقية مع مخاوف عرضية (Cross-Cutting) معلنة، وتدفق الاعتماديات من الأعلى للأسفل صار: الواجهة لا تكلم القاعدة مباشرة، والنطاقات لا تتفاوض مع مزودي LLM إلا عبر طبقة المحرك المتدرج، والحوكمة تستقبل من الجميع:</w:t>
      </w:r>
    </w:p>
    <w:p>
      <w:pPr>
        <w:spacing w:after="60" w:before="140"/>
        <w:jc w:val="center"/>
      </w:pPr>
      <w:r>
        <w:drawing>
          <wp:inline distT="0" distB="0" distL="0" distR="0">
            <wp:extent cx="5667375" cy="407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667375" cy="4076700"/>
                    </a:xfrm>
                    <a:prstGeom prst="rect">
                      <a:avLst/>
                    </a:prstGeom>
                  </pic:spPr>
                </pic:pic>
              </a:graphicData>
            </a:graphic>
          </wp:inline>
        </w:drawing>
      </w:r>
    </w:p>
    <w:p>
      <w:pPr>
        <w:spacing w:after="200"/>
        <w:jc w:val="center"/>
      </w:pPr>
      <w:r>
        <w:rPr>
          <w:rFonts w:ascii="Times New Roman" w:eastAsia="Times New Roman" w:hAnsi="Times New Roman"/>
          <w:b/>
          <w:bCs/>
          <w:i w:val="false"/>
          <w:iCs w:val="false"/>
          <w:color w:val="1F3A5F"/>
          <w:sz w:val="20"/>
          <w:szCs w:val="20"/>
        </w:rPr>
        <w:t xml:space="preserve">Figure 17. </w:t>
      </w:r>
      <w:r>
        <w:rPr>
          <w:rFonts w:ascii="Times New Roman" w:eastAsia="Times New Roman" w:hAnsi="Times New Roman"/>
          <w:b w:val="false"/>
          <w:bCs w:val="false"/>
          <w:i w:val="false"/>
          <w:iCs w:val="false"/>
          <w:color w:val="333333"/>
          <w:sz w:val="20"/>
          <w:szCs w:val="20"/>
        </w:rPr>
        <w:t xml:space="preserve">System Architecture — layers, cross-cutting concerns, and external systems</w:t>
      </w:r>
    </w:p>
    <w:p>
      <w:pPr>
        <w:bidi/>
        <w:spacing w:after="120" w:line="312"/>
        <w:ind w:firstLine="340"/>
        <w:jc w:val="both"/>
      </w:pPr>
      <w:r>
        <w:rPr>
          <w:rFonts w:ascii="Times New Roman" w:cs="Traditional Arabic" w:hAnsi="Times New Roman"/>
          <w:b w:val="false"/>
          <w:i w:val="false"/>
          <w:iCs w:val="false"/>
          <w:color w:val="000000"/>
          <w:sz w:val="26"/>
          <w:szCs w:val="30"/>
          <w:rtl/>
        </w:rPr>
        <w:t xml:space="preserve">قرارات معمارية موثقة تستحق الذكر: فصل خدمة الرؤية (9202) عن API (8000) لحماية GPU من التشبع؛ semaphore مشترك (LLM_MAX_CONCURRENCY) يحصر تزامن النماذج المحلية؛ WORM خارج قاعدة البيانات في ملف sidecar مع قفل عابر للعمليات؛ وفصل n8n في كونتينر مستقل يتخاطب عبر webhooks موقعة.</w:t>
      </w:r>
    </w:p>
    <w:p>
      <w:pPr>
        <w:pStyle w:val="Heading1"/>
        <w:pageBreakBefore/>
        <w:bidi/>
        <w:spacing w:after="200" w:before="400" w:line="340"/>
        <w:jc w:val="right"/>
      </w:pPr>
      <w:bookmarkStart w:id="100042" w:name="_Toc100042"/>
      <w:r>
        <w:rPr>
          <w:rFonts w:ascii="Times New Roman" w:cs="Simplified Arabic" w:hAnsi="Times New Roman"/>
          <w:b/>
          <w:bCs/>
          <w:color w:val="1F3A5F"/>
          <w:sz w:val="32"/>
          <w:szCs w:val="36"/>
          <w:rtl/>
        </w:rPr>
        <w:t xml:space="preserve">36. الأمن والحوكمة (Security &amp; Governance)</w:t>
      </w:r>
      <w:bookmarkEnd w:id="100042"/>
    </w:p>
    <w:p>
      <w:pPr>
        <w:pStyle w:val="Heading2"/>
        <w:bidi/>
        <w:spacing w:after="140" w:before="300" w:line="320"/>
        <w:jc w:val="right"/>
      </w:pPr>
      <w:bookmarkStart w:id="100043" w:name="_Toc100043"/>
      <w:r>
        <w:rPr>
          <w:rFonts w:ascii="Times New Roman" w:cs="Simplified Arabic" w:hAnsi="Times New Roman"/>
          <w:b/>
          <w:bCs/>
          <w:color w:val="1F3A5F"/>
          <w:sz w:val="28"/>
          <w:szCs w:val="32"/>
          <w:rtl/>
        </w:rPr>
        <w:t xml:space="preserve">36.1 المصادقة والتفويض</w:t>
      </w:r>
      <w:bookmarkEnd w:id="100043"/>
    </w:p>
    <w:p>
      <w:pPr>
        <w:bidi/>
        <w:spacing w:after="120" w:line="312"/>
        <w:ind w:firstLine="340"/>
        <w:jc w:val="both"/>
      </w:pPr>
      <w:r>
        <w:rPr>
          <w:rFonts w:ascii="Times New Roman" w:cs="Traditional Arabic" w:hAnsi="Times New Roman"/>
          <w:b w:val="false"/>
          <w:i w:val="false"/>
          <w:iCs w:val="false"/>
          <w:color w:val="000000"/>
          <w:sz w:val="26"/>
          <w:szCs w:val="30"/>
          <w:rtl/>
        </w:rPr>
        <w:t xml:space="preserve">المصادقة عبر Supabase JWT تُتحقق في الباكند (verify_supabase_jwt)، والتفويض بمصفوفة أدوار (admin/super_admin/pharmacist/customer) عبر مصانع require_role، وقناتان للآلات: verify_internal_token وrequire_internal_service، وقناة مزدوجة require_admin_or_internal لنقاط محدودة فقط. حماية مسارات الإدارة طبقتان: ‏proxy.ts (تحقق جلسة server-side fail-closed) + بوابة دور في التخطيط + فرض require_role في كل نقطة.</w:t>
      </w:r>
    </w:p>
    <w:p>
      <w:pPr>
        <w:pStyle w:val="Heading2"/>
        <w:bidi/>
        <w:spacing w:after="140" w:before="300" w:line="320"/>
        <w:jc w:val="right"/>
      </w:pPr>
      <w:bookmarkStart w:id="100044" w:name="_Toc100044"/>
      <w:r>
        <w:rPr>
          <w:rFonts w:ascii="Times New Roman" w:cs="Simplified Arabic" w:hAnsi="Times New Roman"/>
          <w:b/>
          <w:bCs/>
          <w:color w:val="1F3A5F"/>
          <w:sz w:val="28"/>
          <w:szCs w:val="32"/>
          <w:rtl/>
        </w:rPr>
        <w:t xml:space="preserve">36.2 حوكمة WORM</w:t>
      </w:r>
      <w:bookmarkEnd w:id="100044"/>
    </w:p>
    <w:p>
      <w:pPr>
        <w:bidi/>
        <w:spacing w:after="120" w:line="312"/>
        <w:ind w:firstLine="340"/>
        <w:jc w:val="both"/>
      </w:pPr>
      <w:r>
        <w:rPr>
          <w:rFonts w:ascii="Times New Roman" w:cs="Traditional Arabic" w:hAnsi="Times New Roman"/>
          <w:b w:val="false"/>
          <w:i w:val="false"/>
          <w:iCs w:val="false"/>
          <w:color w:val="000000"/>
          <w:sz w:val="26"/>
          <w:szCs w:val="30"/>
          <w:rtl/>
        </w:rPr>
        <w:t xml:space="preserve">دفتر خارجي append-only بسلسلة SHA-256 (كل سطر يربط هاش سابقه + هاش محتوى الحدث): الإلحاق عبر fsync فيزيائي في Thread منفصل، قفل sidecar عابر للعمليات، قراءة ذيل للملفات الكبيرة، مزامنة worker كل 5 دقائق بترقيم مفاتيحي، تحقق ساعٍ مع إنذار كسر، ومرساة خارجية ساعية لبصمة الرأس. التحقق الثنائي (verify_against_db) يكشف: أحداث بالقاعدة غائبة عن الدفتر، وأحداث بالدفتر حُذفت من القاعدة (Rogue DBA).</w:t>
      </w:r>
    </w:p>
    <w:p>
      <w:pPr>
        <w:pStyle w:val="Heading2"/>
        <w:bidi/>
        <w:spacing w:after="140" w:before="300" w:line="320"/>
        <w:jc w:val="right"/>
      </w:pPr>
      <w:bookmarkStart w:id="100045" w:name="_Toc100045"/>
      <w:r>
        <w:rPr>
          <w:rFonts w:ascii="Times New Roman" w:cs="Simplified Arabic" w:hAnsi="Times New Roman"/>
          <w:b/>
          <w:bCs/>
          <w:color w:val="1F3A5F"/>
          <w:sz w:val="28"/>
          <w:szCs w:val="32"/>
          <w:rtl/>
        </w:rPr>
        <w:t xml:space="preserve">36.3 ضوابط مكملة</w:t>
      </w:r>
      <w:bookmarkEnd w:id="100045"/>
    </w:p>
    <w:p>
      <w:pPr>
        <w:pStyle w:val="ListParagraph"/>
        <w:numPr>
          <w:ilvl w:val="0"/>
          <w:numId w:val="1"/>
        </w:numPr>
        <w:bidi/>
        <w:spacing w:after="60" w:line="312"/>
        <w:jc w:val="both"/>
      </w:pPr>
      <w:r>
        <w:rPr>
          <w:rFonts w:ascii="Times New Roman" w:cs="Traditional Arabic" w:hAnsi="Times New Roman"/>
          <w:b w:val="false"/>
          <w:i w:val="false"/>
          <w:iCs w:val="false"/>
          <w:color w:val="000000"/>
          <w:sz w:val="26"/>
          <w:szCs w:val="30"/>
          <w:rtl/>
        </w:rPr>
        <w:t xml:space="preserve">فصل مهام (SoD): Maker-Checker للقرارات الحرجة + مصفوفة مخاطر معروضة في /admin/risk-register.</w:t>
      </w:r>
    </w:p>
    <w:p>
      <w:pPr>
        <w:pStyle w:val="ListParagraph"/>
        <w:numPr>
          <w:ilvl w:val="0"/>
          <w:numId w:val="1"/>
        </w:numPr>
        <w:bidi/>
        <w:spacing w:after="60" w:line="312"/>
        <w:jc w:val="both"/>
      </w:pPr>
      <w:r>
        <w:rPr>
          <w:rFonts w:ascii="Times New Roman" w:cs="Traditional Arabic" w:hAnsi="Times New Roman"/>
          <w:b w:val="false"/>
          <w:i w:val="false"/>
          <w:iCs w:val="false"/>
          <w:color w:val="000000"/>
          <w:sz w:val="26"/>
          <w:szCs w:val="30"/>
          <w:rtl/>
        </w:rPr>
        <w:t xml:space="preserve">تنقيح PII طبقتين (placeholder + regex) قبل السحابة، وقواعد منع كشف بيانات العملاء عبر الشات.</w:t>
      </w:r>
    </w:p>
    <w:p>
      <w:pPr>
        <w:pStyle w:val="ListParagraph"/>
        <w:numPr>
          <w:ilvl w:val="0"/>
          <w:numId w:val="1"/>
        </w:numPr>
        <w:bidi/>
        <w:spacing w:after="60" w:line="312"/>
        <w:jc w:val="both"/>
      </w:pPr>
      <w:r>
        <w:rPr>
          <w:rFonts w:ascii="Times New Roman" w:cs="Traditional Arabic" w:hAnsi="Times New Roman"/>
          <w:b w:val="false"/>
          <w:i w:val="false"/>
          <w:iCs w:val="false"/>
          <w:color w:val="000000"/>
          <w:sz w:val="26"/>
          <w:szCs w:val="30"/>
          <w:rtl/>
        </w:rPr>
        <w:t xml:space="preserve">معدلات طلب: SlowAPI على الشات (60/د) والوكلاء (قابل للضبط) لمنع إغراق الكلفة.</w:t>
      </w:r>
    </w:p>
    <w:p>
      <w:pPr>
        <w:pStyle w:val="ListParagraph"/>
        <w:numPr>
          <w:ilvl w:val="0"/>
          <w:numId w:val="1"/>
        </w:numPr>
        <w:bidi/>
        <w:spacing w:after="60" w:line="312"/>
        <w:jc w:val="both"/>
      </w:pPr>
      <w:r>
        <w:rPr>
          <w:rFonts w:ascii="Times New Roman" w:cs="Traditional Arabic" w:hAnsi="Times New Roman"/>
          <w:b w:val="false"/>
          <w:i w:val="false"/>
          <w:iCs w:val="false"/>
          <w:color w:val="000000"/>
          <w:sz w:val="26"/>
          <w:szCs w:val="30"/>
          <w:rtl/>
        </w:rPr>
        <w:t xml:space="preserve">سجل أمني للمحادثات: هجمات الحقن تُسجل في audit_logs وai_chat_logs بحالة blocked.</w:t>
      </w:r>
    </w:p>
    <w:p>
      <w:pPr>
        <w:pStyle w:val="Heading1"/>
        <w:pageBreakBefore/>
        <w:bidi/>
        <w:spacing w:after="200" w:before="400" w:line="340"/>
        <w:jc w:val="right"/>
      </w:pPr>
      <w:bookmarkStart w:id="100046" w:name="_Toc100046"/>
      <w:r>
        <w:rPr>
          <w:rFonts w:ascii="Times New Roman" w:cs="Simplified Arabic" w:hAnsi="Times New Roman"/>
          <w:b/>
          <w:bCs/>
          <w:color w:val="1F3A5F"/>
          <w:sz w:val="32"/>
          <w:szCs w:val="36"/>
          <w:rtl/>
        </w:rPr>
        <w:t xml:space="preserve">37. تحليل العمودية (Verticalization Analysis)</w:t>
      </w:r>
      <w:bookmarkEnd w:id="100046"/>
    </w:p>
    <w:p>
      <w:pPr>
        <w:bidi/>
        <w:spacing w:after="120" w:line="312"/>
        <w:ind w:firstLine="340"/>
        <w:jc w:val="both"/>
      </w:pPr>
      <w:r>
        <w:rPr>
          <w:rFonts w:ascii="Times New Roman" w:cs="Traditional Arabic" w:hAnsi="Times New Roman"/>
          <w:b w:val="false"/>
          <w:i w:val="false"/>
          <w:iCs w:val="false"/>
          <w:color w:val="000000"/>
          <w:sz w:val="26"/>
          <w:szCs w:val="30"/>
          <w:rtl/>
        </w:rPr>
        <w:t xml:space="preserve">الجوهر الثابت في النواة (Core): المحرك التجاري (طلبات، مخزون، مستخدمون، محاسبة)، طبقة الوكلاء وبنية التنفيذ الهجين، الحوكمة والتدقيق، والبنية التقنية كاملة. أما المتغير داخل الحزمة (Vertical Pack — YAML) فهو:</w:t>
      </w:r>
    </w:p>
    <w:tbl>
      <w:tblPr>
        <w:bidiVisual/>
        <w:tblW w:type="pct" w:w="100%"/>
        <w:tblBorders>
          <w:top w:val="single" w:color="9AA6B2" w:sz="6"/>
          <w:left w:val="none" w:color="FFFFFF" w:sz="0"/>
          <w:bottom w:val="single" w:color="9AA6B2" w:sz="6"/>
          <w:right w:val="none" w:color="FFFFFF" w:sz="0"/>
          <w:insideH w:val="single" w:color="D5DCE4" w:sz="2"/>
          <w:insideV w:val="single" w:color="D5DCE4" w:sz="2"/>
        </w:tblBorders>
      </w:tblPr>
      <w:tblGrid>
        <w:gridCol w:w="100"/>
        <w:gridCol w:w="100"/>
        <w:gridCol w:w="100"/>
        <w:gridCol w:w="100"/>
      </w:tblGrid>
      <w:tr>
        <w:trPr>
          <w:cantSplit/>
          <w:tblHeader/>
        </w:trPr>
        <w:tc>
          <w:tcPr>
            <w:tcW w:type="pct" w:w="18%"/>
            <w:shd w:fill="E8EDF3" w:val="clear"/>
            <w:tcMar>
              <w:top w:type="dxa" w:w="70"/>
              <w:left w:type="dxa" w:w="100"/>
              <w:bottom w:type="dxa" w:w="70"/>
              <w:right w:type="dxa" w:w="100"/>
            </w:tcMar>
            <w:vAlign w:val="center"/>
          </w:tcPr>
          <w:p>
            <w:pPr>
              <w:bidi/>
              <w:jc w:val="center"/>
            </w:pPr>
            <w:r>
              <w:rPr>
                <w:rFonts w:ascii="Times New Roman" w:cs="Traditional Arabic" w:hAnsi="Times New Roman"/>
                <w:b/>
                <w:bCs/>
                <w:i w:val="false"/>
                <w:iCs w:val="false"/>
                <w:color w:val="111111"/>
                <w:sz w:val="21"/>
                <w:szCs w:val="21"/>
                <w:rtl/>
              </w:rPr>
              <w:t xml:space="preserve">البعد</w:t>
            </w:r>
          </w:p>
        </w:tc>
        <w:tc>
          <w:tcPr>
            <w:tcW w:type="pct" w:w="30%"/>
            <w:shd w:fill="E8EDF3" w:val="clear"/>
            <w:tcMar>
              <w:top w:type="dxa" w:w="70"/>
              <w:left w:type="dxa" w:w="100"/>
              <w:bottom w:type="dxa" w:w="70"/>
              <w:right w:type="dxa" w:w="100"/>
            </w:tcMar>
            <w:vAlign w:val="center"/>
          </w:tcPr>
          <w:p>
            <w:pPr>
              <w:bidi/>
              <w:jc w:val="center"/>
            </w:pPr>
            <w:r>
              <w:rPr>
                <w:rFonts w:ascii="Times New Roman" w:cs="Traditional Arabic" w:hAnsi="Times New Roman"/>
                <w:b/>
                <w:bCs/>
                <w:i w:val="false"/>
                <w:iCs w:val="false"/>
                <w:color w:val="111111"/>
                <w:sz w:val="21"/>
                <w:szCs w:val="21"/>
                <w:rtl/>
              </w:rPr>
              <w:t xml:space="preserve">Pharmacy (مثبت)</w:t>
            </w:r>
          </w:p>
        </w:tc>
        <w:tc>
          <w:tcPr>
            <w:tcW w:type="pct" w:w="26%"/>
            <w:shd w:fill="E8EDF3" w:val="clear"/>
            <w:tcMar>
              <w:top w:type="dxa" w:w="70"/>
              <w:left w:type="dxa" w:w="100"/>
              <w:bottom w:type="dxa" w:w="70"/>
              <w:right w:type="dxa" w:w="100"/>
            </w:tcMar>
            <w:vAlign w:val="center"/>
          </w:tcPr>
          <w:p>
            <w:pPr>
              <w:bidi/>
              <w:jc w:val="center"/>
            </w:pPr>
            <w:r>
              <w:rPr>
                <w:rFonts w:ascii="Times New Roman" w:cs="Traditional Arabic" w:hAnsi="Times New Roman"/>
                <w:b/>
                <w:bCs/>
                <w:i w:val="false"/>
                <w:iCs w:val="false"/>
                <w:color w:val="111111"/>
                <w:sz w:val="21"/>
                <w:szCs w:val="21"/>
                <w:rtl/>
              </w:rPr>
              <w:t xml:space="preserve">Coffee (مثبت)</w:t>
            </w:r>
          </w:p>
        </w:tc>
        <w:tc>
          <w:tcPr>
            <w:tcW w:type="pct" w:w="26%"/>
            <w:shd w:fill="E8EDF3" w:val="clear"/>
            <w:tcMar>
              <w:top w:type="dxa" w:w="70"/>
              <w:left w:type="dxa" w:w="100"/>
              <w:bottom w:type="dxa" w:w="70"/>
              <w:right w:type="dxa" w:w="100"/>
            </w:tcMar>
            <w:vAlign w:val="center"/>
          </w:tcPr>
          <w:p>
            <w:pPr>
              <w:bidi/>
              <w:jc w:val="center"/>
            </w:pPr>
            <w:r>
              <w:rPr>
                <w:rFonts w:ascii="Times New Roman" w:cs="Traditional Arabic" w:hAnsi="Times New Roman"/>
                <w:b/>
                <w:bCs/>
                <w:i w:val="false"/>
                <w:iCs w:val="false"/>
                <w:color w:val="111111"/>
                <w:sz w:val="21"/>
                <w:szCs w:val="21"/>
                <w:rtl/>
              </w:rPr>
              <w:t xml:space="preserve">Apparel (مثبت)</w:t>
            </w:r>
          </w:p>
        </w:tc>
      </w:tr>
      <w:tr>
        <w:trPr>
          <w:cantSplit/>
        </w:trPr>
        <w:tc>
          <w:tcPr>
            <w:tcW w:type="pct" w:w="18%"/>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المصطلحات (terminology)</w:t>
            </w:r>
          </w:p>
        </w:tc>
        <w:tc>
          <w:tcPr>
            <w:tcW w:type="pct" w:w="30%"/>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مريض/صرف/روشتة</w:t>
            </w:r>
          </w:p>
        </w:tc>
        <w:tc>
          <w:tcPr>
            <w:tcW w:type="pct" w:w="26%"/>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مشروب/طلب</w:t>
            </w:r>
          </w:p>
        </w:tc>
        <w:tc>
          <w:tcPr>
            <w:tcW w:type="pct" w:w="26%"/>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قطعة/مقاس</w:t>
            </w:r>
          </w:p>
        </w:tc>
      </w:tr>
      <w:tr>
        <w:trPr>
          <w:cantSplit/>
        </w:trPr>
        <w:tc>
          <w:tcPr>
            <w:tcW w:type="pct" w:w="18%"/>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سياسة التسعير (pricing_policy)</w:t>
            </w:r>
          </w:p>
        </w:tc>
        <w:tc>
          <w:tcPr>
            <w:tcW w:type="pct" w:w="30%"/>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سقوف 10/12/20% حسب الفئة الدوائية</w:t>
            </w:r>
          </w:p>
        </w:tc>
        <w:tc>
          <w:tcPr>
            <w:tcW w:type="pct" w:w="26%"/>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سقوف المشروبات</w:t>
            </w:r>
          </w:p>
        </w:tc>
        <w:tc>
          <w:tcPr>
            <w:tcW w:type="pct" w:w="26%"/>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سقوف الملابس</w:t>
            </w:r>
          </w:p>
        </w:tc>
      </w:tr>
      <w:tr>
        <w:trPr>
          <w:cantSplit/>
        </w:trPr>
        <w:tc>
          <w:tcPr>
            <w:tcW w:type="pct" w:w="18%"/>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معايير (benchmarks)</w:t>
            </w:r>
          </w:p>
        </w:tc>
        <w:tc>
          <w:tcPr>
            <w:tcW w:type="pct" w:w="30%"/>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معدلات قطاع دوائي</w:t>
            </w:r>
          </w:p>
        </w:tc>
        <w:tc>
          <w:tcPr>
            <w:tcW w:type="pct" w:w="26%"/>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قطاع مقاهي</w:t>
            </w:r>
          </w:p>
        </w:tc>
        <w:tc>
          <w:tcPr>
            <w:tcW w:type="pct" w:w="26%"/>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قطاع أزياء</w:t>
            </w:r>
          </w:p>
        </w:tc>
      </w:tr>
      <w:tr>
        <w:trPr>
          <w:cantSplit/>
        </w:trPr>
        <w:tc>
          <w:tcPr>
            <w:tcW w:type="pct" w:w="18%"/>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السلامة (safety_guard)</w:t>
            </w:r>
          </w:p>
        </w:tc>
        <w:tc>
          <w:tcPr>
            <w:tcW w:type="pct" w:w="30%"/>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DDI + منع تكرار المادة الفعالة</w:t>
            </w:r>
          </w:p>
        </w:tc>
        <w:tc>
          <w:tcPr>
            <w:tcW w:type="pct" w:w="26%"/>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لا حاجز سريري (لا يدّعيه)</w:t>
            </w:r>
          </w:p>
        </w:tc>
        <w:tc>
          <w:tcPr>
            <w:tcW w:type="pct" w:w="26%"/>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لا حاجز سريري</w:t>
            </w:r>
          </w:p>
        </w:tc>
      </w:tr>
      <w:tr>
        <w:trPr>
          <w:cantSplit/>
        </w:trPr>
        <w:tc>
          <w:tcPr>
            <w:tcW w:type="pct" w:w="18%"/>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الامتثال (compliance)</w:t>
            </w:r>
          </w:p>
        </w:tc>
        <w:tc>
          <w:tcPr>
            <w:tcW w:type="pct" w:w="30%"/>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قواعد صرف + قانون 151</w:t>
            </w:r>
          </w:p>
        </w:tc>
        <w:tc>
          <w:tcPr>
            <w:tcW w:type="pct" w:w="26%"/>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قواعد غذائية</w:t>
            </w:r>
          </w:p>
        </w:tc>
        <w:tc>
          <w:tcPr>
            <w:tcW w:type="pct" w:w="26%"/>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إرجاع/استبدال</w:t>
            </w:r>
          </w:p>
        </w:tc>
      </w:tr>
      <w:tr>
        <w:trPr>
          <w:cantSplit/>
        </w:trPr>
        <w:tc>
          <w:tcPr>
            <w:tcW w:type="pct" w:w="18%"/>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تكوين الوكلاء (agents)</w:t>
            </w:r>
          </w:p>
        </w:tc>
        <w:tc>
          <w:tcPr>
            <w:tcW w:type="pct" w:w="30%"/>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وكلاء سريريون مفعّلون</w:t>
            </w:r>
          </w:p>
        </w:tc>
        <w:tc>
          <w:tcPr>
            <w:tcW w:type="pct" w:w="26%"/>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وكلاء تجاريون</w:t>
            </w:r>
          </w:p>
        </w:tc>
        <w:tc>
          <w:tcPr>
            <w:tcW w:type="pct" w:w="26%"/>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وكلاء تجاريون</w:t>
            </w:r>
          </w:p>
        </w:tc>
      </w:tr>
    </w:tbl>
    <w:p>
      <w:pPr>
        <w:bidi/>
        <w:spacing w:after="120" w:line="312"/>
        <w:ind w:firstLine="340"/>
        <w:jc w:val="both"/>
      </w:pPr>
      <w:r>
        <w:rPr>
          <w:rFonts w:ascii="Times New Roman" w:cs="Traditional Arabic" w:hAnsi="Times New Roman"/>
          <w:b w:val="false"/>
          <w:i w:val="false"/>
          <w:iCs w:val="false"/>
          <w:color w:val="000000"/>
          <w:sz w:val="26"/>
          <w:szCs w:val="30"/>
          <w:rtl/>
        </w:rPr>
        <w:t xml:space="preserve">وآلية التبديل حية: loader يقرأ الحزمة النشطة من platform_settings مع كاش 15 ثانية، والواجهة تعكس الحزمة (32 صفحة تعيد التكوين)، مع خطأ تصميمي موثق تجنبناه: UUID الثوابت تولد صراحة (gen_random_uuid) لأن أعمدة PK لا تحمل افتراضياً. الحد الأمني معلن بصدق: نماذج ML والوكلاء السريرية pharmacy-only حتى تتوفر بيانات حقيقية للحزم الأخرى.</w:t>
      </w:r>
    </w:p>
    <w:p>
      <w:pPr>
        <w:pStyle w:val="Heading1"/>
        <w:pageBreakBefore/>
        <w:bidi/>
        <w:spacing w:after="200" w:before="400" w:line="340"/>
        <w:jc w:val="right"/>
      </w:pPr>
      <w:bookmarkStart w:id="100047" w:name="_Toc100047"/>
      <w:r>
        <w:rPr>
          <w:rFonts w:ascii="Times New Roman" w:cs="Simplified Arabic" w:hAnsi="Times New Roman"/>
          <w:b/>
          <w:bCs/>
          <w:color w:val="1F3A5F"/>
          <w:sz w:val="32"/>
          <w:szCs w:val="36"/>
          <w:rtl/>
        </w:rPr>
        <w:t xml:space="preserve">38. تحليل التكامل (Integration Analysis)</w:t>
      </w:r>
      <w:bookmarkEnd w:id="100047"/>
    </w:p>
    <w:tbl>
      <w:tblPr>
        <w:bidiVisual/>
        <w:tblW w:type="pct" w:w="100%"/>
        <w:tblBorders>
          <w:top w:val="single" w:color="9AA6B2" w:sz="6"/>
          <w:left w:val="none" w:color="FFFFFF" w:sz="0"/>
          <w:bottom w:val="single" w:color="9AA6B2" w:sz="6"/>
          <w:right w:val="none" w:color="FFFFFF" w:sz="0"/>
          <w:insideH w:val="single" w:color="D5DCE4" w:sz="2"/>
          <w:insideV w:val="single" w:color="D5DCE4" w:sz="2"/>
        </w:tblBorders>
      </w:tblPr>
      <w:tblGrid>
        <w:gridCol w:w="100"/>
        <w:gridCol w:w="100"/>
        <w:gridCol w:w="100"/>
        <w:gridCol w:w="100"/>
        <w:gridCol w:w="100"/>
      </w:tblGrid>
      <w:tr>
        <w:trPr>
          <w:cantSplit/>
          <w:tblHeader/>
        </w:trPr>
        <w:tc>
          <w:tcPr>
            <w:tcW w:type="pct" w:w="16%"/>
            <w:shd w:fill="E8EDF3" w:val="clear"/>
            <w:tcMar>
              <w:top w:type="dxa" w:w="70"/>
              <w:left w:type="dxa" w:w="100"/>
              <w:bottom w:type="dxa" w:w="70"/>
              <w:right w:type="dxa" w:w="100"/>
            </w:tcMar>
            <w:vAlign w:val="center"/>
          </w:tcPr>
          <w:p>
            <w:pPr>
              <w:bidi/>
              <w:jc w:val="center"/>
            </w:pPr>
            <w:r>
              <w:rPr>
                <w:rFonts w:ascii="Times New Roman" w:cs="Traditional Arabic" w:hAnsi="Times New Roman"/>
                <w:b/>
                <w:bCs/>
                <w:i w:val="false"/>
                <w:iCs w:val="false"/>
                <w:color w:val="111111"/>
                <w:sz w:val="21"/>
                <w:szCs w:val="21"/>
                <w:rtl/>
              </w:rPr>
              <w:t xml:space="preserve">التكامل</w:t>
            </w:r>
          </w:p>
        </w:tc>
        <w:tc>
          <w:tcPr>
            <w:tcW w:type="pct" w:w="16%"/>
            <w:shd w:fill="E8EDF3" w:val="clear"/>
            <w:tcMar>
              <w:top w:type="dxa" w:w="70"/>
              <w:left w:type="dxa" w:w="100"/>
              <w:bottom w:type="dxa" w:w="70"/>
              <w:right w:type="dxa" w:w="100"/>
            </w:tcMar>
            <w:vAlign w:val="center"/>
          </w:tcPr>
          <w:p>
            <w:pPr>
              <w:bidi/>
              <w:jc w:val="center"/>
            </w:pPr>
            <w:r>
              <w:rPr>
                <w:rFonts w:ascii="Times New Roman" w:cs="Traditional Arabic" w:hAnsi="Times New Roman"/>
                <w:b/>
                <w:bCs/>
                <w:i w:val="false"/>
                <w:iCs w:val="false"/>
                <w:color w:val="111111"/>
                <w:sz w:val="21"/>
                <w:szCs w:val="21"/>
                <w:rtl/>
              </w:rPr>
              <w:t xml:space="preserve">النمط</w:t>
            </w:r>
          </w:p>
        </w:tc>
        <w:tc>
          <w:tcPr>
            <w:tcW w:type="pct" w:w="30%"/>
            <w:shd w:fill="E8EDF3" w:val="clear"/>
            <w:tcMar>
              <w:top w:type="dxa" w:w="70"/>
              <w:left w:type="dxa" w:w="100"/>
              <w:bottom w:type="dxa" w:w="70"/>
              <w:right w:type="dxa" w:w="100"/>
            </w:tcMar>
            <w:vAlign w:val="center"/>
          </w:tcPr>
          <w:p>
            <w:pPr>
              <w:bidi/>
              <w:jc w:val="center"/>
            </w:pPr>
            <w:r>
              <w:rPr>
                <w:rFonts w:ascii="Times New Roman" w:cs="Traditional Arabic" w:hAnsi="Times New Roman"/>
                <w:b/>
                <w:bCs/>
                <w:i w:val="false"/>
                <w:iCs w:val="false"/>
                <w:color w:val="111111"/>
                <w:sz w:val="21"/>
                <w:szCs w:val="21"/>
                <w:rtl/>
              </w:rPr>
              <w:t xml:space="preserve">الأغراض</w:t>
            </w:r>
          </w:p>
        </w:tc>
        <w:tc>
          <w:tcPr>
            <w:tcW w:type="pct" w:w="18%"/>
            <w:shd w:fill="E8EDF3" w:val="clear"/>
            <w:tcMar>
              <w:top w:type="dxa" w:w="70"/>
              <w:left w:type="dxa" w:w="100"/>
              <w:bottom w:type="dxa" w:w="70"/>
              <w:right w:type="dxa" w:w="100"/>
            </w:tcMar>
            <w:vAlign w:val="center"/>
          </w:tcPr>
          <w:p>
            <w:pPr>
              <w:bidi/>
              <w:jc w:val="center"/>
            </w:pPr>
            <w:r>
              <w:rPr>
                <w:rFonts w:ascii="Times New Roman" w:cs="Traditional Arabic" w:hAnsi="Times New Roman"/>
                <w:b/>
                <w:bCs/>
                <w:i w:val="false"/>
                <w:iCs w:val="false"/>
                <w:color w:val="111111"/>
                <w:sz w:val="21"/>
                <w:szCs w:val="21"/>
                <w:rtl/>
              </w:rPr>
              <w:t xml:space="preserve">الحماية</w:t>
            </w:r>
          </w:p>
        </w:tc>
        <w:tc>
          <w:tcPr>
            <w:tcW w:type="pct" w:w="20%"/>
            <w:shd w:fill="E8EDF3" w:val="clear"/>
            <w:tcMar>
              <w:top w:type="dxa" w:w="70"/>
              <w:left w:type="dxa" w:w="100"/>
              <w:bottom w:type="dxa" w:w="70"/>
              <w:right w:type="dxa" w:w="100"/>
            </w:tcMar>
            <w:vAlign w:val="center"/>
          </w:tcPr>
          <w:p>
            <w:pPr>
              <w:bidi/>
              <w:jc w:val="center"/>
            </w:pPr>
            <w:r>
              <w:rPr>
                <w:rFonts w:ascii="Times New Roman" w:cs="Traditional Arabic" w:hAnsi="Times New Roman"/>
                <w:b/>
                <w:bCs/>
                <w:i w:val="false"/>
                <w:iCs w:val="false"/>
                <w:color w:val="111111"/>
                <w:sz w:val="21"/>
                <w:szCs w:val="21"/>
                <w:rtl/>
              </w:rPr>
              <w:t xml:space="preserve">الدليل</w:t>
            </w:r>
          </w:p>
        </w:tc>
      </w:tr>
      <w:tr>
        <w:trPr>
          <w:cantSplit/>
        </w:trPr>
        <w:tc>
          <w:tcPr>
            <w:tcW w:type="pct" w:w="16%"/>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Supabase (DB + Auth)</w:t>
            </w:r>
          </w:p>
        </w:tc>
        <w:tc>
          <w:tcPr>
            <w:tcW w:type="pct" w:w="16%"/>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مباشر SQL/JWT</w:t>
            </w:r>
          </w:p>
        </w:tc>
        <w:tc>
          <w:tcPr>
            <w:tcW w:type="pct" w:w="30%"/>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تخزين، مصادقة، تخزين ملفات</w:t>
            </w:r>
          </w:p>
        </w:tc>
        <w:tc>
          <w:tcPr>
            <w:tcW w:type="pct" w:w="18%"/>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RLS + service keys</w:t>
            </w:r>
          </w:p>
        </w:tc>
        <w:tc>
          <w:tcPr>
            <w:tcW w:type="pct" w:w="20%"/>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database/session, dependencies/auth</w:t>
            </w:r>
          </w:p>
        </w:tc>
      </w:tr>
      <w:tr>
        <w:trPr>
          <w:cantSplit/>
        </w:trPr>
        <w:tc>
          <w:tcPr>
            <w:tcW w:type="pct" w:w="16%"/>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n8n (14 workflow)</w:t>
            </w:r>
          </w:p>
        </w:tc>
        <w:tc>
          <w:tcPr>
            <w:tcW w:type="pct" w:w="16%"/>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webhooks ثنائي الاتجاه</w:t>
            </w:r>
          </w:p>
        </w:tc>
        <w:tc>
          <w:tcPr>
            <w:tcW w:type="pct" w:w="30%"/>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أتمتة التذكير/الطوارئ/الملخص/الوكلاء الهجينة</w:t>
            </w:r>
          </w:p>
        </w:tc>
        <w:tc>
          <w:tcPr>
            <w:tcW w:type="pct" w:w="18%"/>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X-Internal-Token + run_id + callback</w:t>
            </w:r>
          </w:p>
        </w:tc>
        <w:tc>
          <w:tcPr>
            <w:tcW w:type="pct" w:w="20%"/>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core/n8n.py; automation_runs</w:t>
            </w:r>
          </w:p>
        </w:tc>
      </w:tr>
      <w:tr>
        <w:trPr>
          <w:cantSplit/>
        </w:trPr>
        <w:tc>
          <w:tcPr>
            <w:tcW w:type="pct" w:w="16%"/>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Ollama (local)</w:t>
            </w:r>
          </w:p>
        </w:tc>
        <w:tc>
          <w:tcPr>
            <w:tcW w:type="pct" w:w="16%"/>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HTTP /api/chat + stream</w:t>
            </w:r>
          </w:p>
        </w:tc>
        <w:tc>
          <w:tcPr>
            <w:tcW w:type="pct" w:w="30%"/>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توليد محلي أولى + وكلاء n8n</w:t>
            </w:r>
          </w:p>
        </w:tc>
        <w:tc>
          <w:tcPr>
            <w:tcW w:type="pct" w:w="18%"/>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semaphore + allowlist</w:t>
            </w:r>
          </w:p>
        </w:tc>
        <w:tc>
          <w:tcPr>
            <w:tcW w:type="pct" w:w="20%"/>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llm_engine; config</w:t>
            </w:r>
          </w:p>
        </w:tc>
      </w:tr>
      <w:tr>
        <w:trPr>
          <w:cantSplit/>
        </w:trPr>
        <w:tc>
          <w:tcPr>
            <w:tcW w:type="pct" w:w="16%"/>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Google Gemini</w:t>
            </w:r>
          </w:p>
        </w:tc>
        <w:tc>
          <w:tcPr>
            <w:tcW w:type="pct" w:w="16%"/>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genai SDK + grounding</w:t>
            </w:r>
          </w:p>
        </w:tc>
        <w:tc>
          <w:tcPr>
            <w:tcW w:type="pct" w:w="30%"/>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استخبارات سوق بالبحث الحي + بديل سحابي</w:t>
            </w:r>
          </w:p>
        </w:tc>
        <w:tc>
          <w:tcPr>
            <w:tcW w:type="pct" w:w="18%"/>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PII redaction + timeout</w:t>
            </w:r>
          </w:p>
        </w:tc>
        <w:tc>
          <w:tcPr>
            <w:tcW w:type="pct" w:w="20%"/>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market_intelligence; llm_engine</w:t>
            </w:r>
          </w:p>
        </w:tc>
      </w:tr>
      <w:tr>
        <w:trPr>
          <w:cantSplit/>
        </w:trPr>
        <w:tc>
          <w:tcPr>
            <w:tcW w:type="pct" w:w="16%"/>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Vision OCR (9202)</w:t>
            </w:r>
          </w:p>
        </w:tc>
        <w:tc>
          <w:tcPr>
            <w:tcW w:type="pct" w:w="16%"/>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HTTP منفصل</w:t>
            </w:r>
          </w:p>
        </w:tc>
        <w:tc>
          <w:tcPr>
            <w:tcW w:type="pct" w:w="30%"/>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قراءة الروشتات على GPU معزول</w:t>
            </w:r>
          </w:p>
        </w:tc>
        <w:tc>
          <w:tcPr>
            <w:tcW w:type="pct" w:w="18%"/>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فصل العمليات</w:t>
            </w:r>
          </w:p>
        </w:tc>
        <w:tc>
          <w:tcPr>
            <w:tcW w:type="pct" w:w="20%"/>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prescriptions/vision.py</w:t>
            </w:r>
          </w:p>
        </w:tc>
      </w:tr>
      <w:tr>
        <w:trPr>
          <w:cantSplit/>
        </w:trPr>
        <w:tc>
          <w:tcPr>
            <w:tcW w:type="pct" w:w="16%"/>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Telegram (عبر n8n)</w:t>
            </w:r>
          </w:p>
        </w:tc>
        <w:tc>
          <w:tcPr>
            <w:tcW w:type="pct" w:w="16%"/>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Bot API</w:t>
            </w:r>
          </w:p>
        </w:tc>
        <w:tc>
          <w:tcPr>
            <w:tcW w:type="pct" w:w="30%"/>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8"/>
                <w:szCs w:val="18"/>
                <w:rtl/>
              </w:rPr>
              <w:t xml:space="preserve">تذكيرات، طوارئ، ملخصات، مرساة WORM</w:t>
            </w:r>
          </w:p>
        </w:tc>
        <w:tc>
          <w:tcPr>
            <w:tcW w:type="pct" w:w="18%"/>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n8n credentials</w:t>
            </w:r>
          </w:p>
        </w:tc>
        <w:tc>
          <w:tcPr>
            <w:tcW w:type="pct" w:w="20%"/>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8"/>
                <w:szCs w:val="18"/>
              </w:rPr>
              <w:t xml:space="preserve">n8n final exports</w:t>
            </w:r>
          </w:p>
        </w:tc>
      </w:tr>
    </w:tbl>
    <w:p>
      <w:pPr>
        <w:pStyle w:val="Heading1"/>
        <w:pageBreakBefore/>
        <w:bidi/>
        <w:spacing w:after="200" w:before="400" w:line="340"/>
        <w:jc w:val="right"/>
      </w:pPr>
      <w:bookmarkStart w:id="100048" w:name="_Toc100048"/>
      <w:r>
        <w:rPr>
          <w:rFonts w:ascii="Times New Roman" w:cs="Simplified Arabic" w:hAnsi="Times New Roman"/>
          <w:b/>
          <w:bCs/>
          <w:color w:val="1F3A5F"/>
          <w:sz w:val="32"/>
          <w:szCs w:val="36"/>
          <w:rtl/>
        </w:rPr>
        <w:t xml:space="preserve">39. دراسة الجدوى (Feasibility Study)</w:t>
      </w:r>
      <w:bookmarkEnd w:id="100048"/>
    </w:p>
    <w:p>
      <w:pPr>
        <w:pStyle w:val="Heading2"/>
        <w:bidi/>
        <w:spacing w:after="140" w:before="300" w:line="320"/>
        <w:jc w:val="right"/>
      </w:pPr>
      <w:bookmarkStart w:id="100049" w:name="_Toc100049"/>
      <w:r>
        <w:rPr>
          <w:rFonts w:ascii="Times New Roman" w:cs="Simplified Arabic" w:hAnsi="Times New Roman"/>
          <w:b/>
          <w:bCs/>
          <w:color w:val="1F3A5F"/>
          <w:sz w:val="28"/>
          <w:szCs w:val="32"/>
          <w:rtl/>
        </w:rPr>
        <w:t xml:space="preserve">39.1 الجدوى التقنية (Technical)</w:t>
      </w:r>
      <w:bookmarkEnd w:id="100049"/>
    </w:p>
    <w:p>
      <w:pPr>
        <w:bidi/>
        <w:spacing w:after="120" w:line="312"/>
        <w:ind w:firstLine="340"/>
        <w:jc w:val="both"/>
      </w:pPr>
      <w:r>
        <w:rPr>
          <w:rFonts w:ascii="Times New Roman" w:cs="Traditional Arabic" w:hAnsi="Times New Roman"/>
          <w:b w:val="false"/>
          <w:i w:val="false"/>
          <w:iCs w:val="false"/>
          <w:color w:val="000000"/>
          <w:sz w:val="26"/>
          <w:szCs w:val="30"/>
          <w:rtl/>
        </w:rPr>
        <w:t xml:space="preserve">مثبتة عملياً: كل مكون يعمل — 189 مساراً و32 صفحة و14 سير عمل نشط و12 وكيلاً مفحوصاً بنداءات حية، واختبارات 223 دالة خضراء، ونماذج ML مدربة ومخزنة (churn_tuned_v2, regression_tuned). المكدس مفتوح المصدر بالكامل ويعمل على جهاز واحد (GPU محلي للرؤية والنماذج) — لا اعتماد على بنية مدفوعة إلا Supabase السحابية المجانية بالحدود.</w:t>
      </w:r>
    </w:p>
    <w:p>
      <w:pPr>
        <w:pStyle w:val="Heading2"/>
        <w:bidi/>
        <w:spacing w:after="140" w:before="300" w:line="320"/>
        <w:jc w:val="right"/>
      </w:pPr>
      <w:bookmarkStart w:id="100050" w:name="_Toc100050"/>
      <w:r>
        <w:rPr>
          <w:rFonts w:ascii="Times New Roman" w:cs="Simplified Arabic" w:hAnsi="Times New Roman"/>
          <w:b/>
          <w:bCs/>
          <w:color w:val="1F3A5F"/>
          <w:sz w:val="28"/>
          <w:szCs w:val="32"/>
          <w:rtl/>
        </w:rPr>
        <w:t xml:space="preserve">39.2 الجدوى التشغيلية (Operational)</w:t>
      </w:r>
      <w:bookmarkEnd w:id="100050"/>
    </w:p>
    <w:p>
      <w:pPr>
        <w:bidi/>
        <w:spacing w:after="120" w:line="312"/>
        <w:ind w:firstLine="340"/>
        <w:jc w:val="both"/>
      </w:pPr>
      <w:r>
        <w:rPr>
          <w:rFonts w:ascii="Times New Roman" w:cs="Traditional Arabic" w:hAnsi="Times New Roman"/>
          <w:b w:val="false"/>
          <w:i w:val="false"/>
          <w:iCs w:val="false"/>
          <w:color w:val="000000"/>
          <w:sz w:val="26"/>
          <w:szCs w:val="30"/>
          <w:rtl/>
        </w:rPr>
        <w:t xml:space="preserve">النظام مصمم ليعمل بأقل تدخل: التذكير مجدول 9AM تلقائياً، الطوارئ بلا تدخل بشري حتى التنبيه، والقرارات الحرجة فقط تستلزم اعتماداً بشرياً (Maker-Checker/HITL). حواجز التراجع موثقة: نموذج الفقد يعود للإصدار السابق بحذف ملف joblib، والحزم تُبدل بضغطة. المتطلب التشغيلي: جهاز بعقلية GPU للرؤية والنماذج + اتصال إنترنت للسحابة الاختيارية.</w:t>
      </w:r>
    </w:p>
    <w:p>
      <w:pPr>
        <w:pStyle w:val="Heading2"/>
        <w:bidi/>
        <w:spacing w:after="140" w:before="300" w:line="320"/>
        <w:jc w:val="right"/>
      </w:pPr>
      <w:bookmarkStart w:id="100051" w:name="_Toc100051"/>
      <w:r>
        <w:rPr>
          <w:rFonts w:ascii="Times New Roman" w:cs="Simplified Arabic" w:hAnsi="Times New Roman"/>
          <w:b/>
          <w:bCs/>
          <w:color w:val="1F3A5F"/>
          <w:sz w:val="28"/>
          <w:szCs w:val="32"/>
          <w:rtl/>
        </w:rPr>
        <w:t xml:space="preserve">39.3 الجدوى الاقتصادية (Economic)</w:t>
      </w:r>
      <w:bookmarkEnd w:id="100051"/>
    </w:p>
    <w:p>
      <w:pPr>
        <w:bidi/>
        <w:spacing w:after="120" w:line="312"/>
        <w:ind w:firstLine="340"/>
        <w:jc w:val="both"/>
      </w:pPr>
      <w:r>
        <w:rPr>
          <w:rFonts w:ascii="Times New Roman" w:cs="Traditional Arabic" w:hAnsi="Times New Roman"/>
          <w:b w:val="false"/>
          <w:i w:val="false"/>
          <w:iCs w:val="false"/>
          <w:color w:val="000000"/>
          <w:sz w:val="26"/>
          <w:szCs w:val="30"/>
          <w:rtl/>
        </w:rPr>
        <w:t xml:space="preserve">بلا اختلاق أرقام: بنية التكلفة مفتوحة المصدر (صفر تراخيص) + استضافة Supabase ضمن الحدود المجانية + كلفة كهرباء GPU. العائد مبني على آليات مثبتة داخل النظام: محرك التذكير يستعيد إيراداً متكرراً (الوفر محسوب حياً في نقطة weekly-digest بأرقام فعلية: 3,526 ج.م تقديراً موثق المنهجية)، ومحرك التسعير يمنع خصومات خاسرة (بوابة قسرية)، والجنائي يكشف التسرب. تُعرض هذه كآليات قيمة لا كوعود إيراد محددة — التقييم الدقيق يترك لبيانات تشغيل لاحقة (Not proven from current implementation كأرقام نهائية).</w:t>
      </w:r>
    </w:p>
    <w:p>
      <w:pPr>
        <w:pStyle w:val="Heading2"/>
        <w:bidi/>
        <w:spacing w:after="140" w:before="300" w:line="320"/>
        <w:jc w:val="right"/>
      </w:pPr>
      <w:bookmarkStart w:id="100052" w:name="_Toc100052"/>
      <w:r>
        <w:rPr>
          <w:rFonts w:ascii="Times New Roman" w:cs="Simplified Arabic" w:hAnsi="Times New Roman"/>
          <w:b/>
          <w:bCs/>
          <w:color w:val="1F3A5F"/>
          <w:sz w:val="28"/>
          <w:szCs w:val="32"/>
          <w:rtl/>
        </w:rPr>
        <w:t xml:space="preserve">39.4 جدوى الجدول الزمني (Schedule)</w:t>
      </w:r>
      <w:bookmarkEnd w:id="100052"/>
    </w:p>
    <w:p>
      <w:pPr>
        <w:bidi/>
        <w:spacing w:after="120" w:line="312"/>
        <w:ind w:firstLine="340"/>
        <w:jc w:val="both"/>
      </w:pPr>
      <w:r>
        <w:rPr>
          <w:rFonts w:ascii="Times New Roman" w:cs="Traditional Arabic" w:hAnsi="Times New Roman"/>
          <w:b w:val="false"/>
          <w:i w:val="false"/>
          <w:iCs w:val="false"/>
          <w:color w:val="000000"/>
          <w:sz w:val="26"/>
          <w:szCs w:val="30"/>
          <w:rtl/>
        </w:rPr>
        <w:t xml:space="preserve">المشروع مكتمل البنية ومثبت التشغيل بحلول موعد المناقشة (حالة المستودع والتشغيل الحي دليل الجدول الزمني): نواة مكتملة، حزمة أولى كاملة، حزمتان إضافيتان مهيأتين، ووثائق تشغيل وحوكمة — مع سجل إصلاح موثق يظهر نضج العملية الهندسية (التدقيق الحي والإصلاح المُثبت).</w:t>
      </w:r>
    </w:p>
    <w:p>
      <w:pPr>
        <w:pStyle w:val="Heading1"/>
        <w:pageBreakBefore/>
        <w:bidi/>
        <w:spacing w:after="200" w:before="400" w:line="340"/>
        <w:jc w:val="right"/>
      </w:pPr>
      <w:bookmarkStart w:id="100053" w:name="_Toc100053"/>
      <w:r>
        <w:rPr>
          <w:rFonts w:ascii="Times New Roman" w:cs="Simplified Arabic" w:hAnsi="Times New Roman"/>
          <w:b/>
          <w:bCs/>
          <w:color w:val="1F3A5F"/>
          <w:sz w:val="32"/>
          <w:szCs w:val="36"/>
          <w:rtl/>
        </w:rPr>
        <w:t xml:space="preserve">40. القيود والحدود (Constraints and Limitations)</w:t>
      </w:r>
      <w:bookmarkEnd w:id="100053"/>
    </w:p>
    <w:p>
      <w:pPr>
        <w:bidi/>
        <w:spacing w:after="120" w:line="312"/>
        <w:ind w:firstLine="340"/>
        <w:jc w:val="both"/>
      </w:pPr>
      <w:r>
        <w:rPr>
          <w:rFonts w:ascii="Times New Roman" w:cs="Traditional Arabic" w:hAnsi="Times New Roman"/>
          <w:b w:val="false"/>
          <w:i w:val="false"/>
          <w:iCs w:val="false"/>
          <w:color w:val="000000"/>
          <w:sz w:val="26"/>
          <w:szCs w:val="30"/>
          <w:rtl/>
        </w:rPr>
        <w:t xml:space="preserve">بتقسيم صادق ثلاثي:</w:t>
      </w:r>
    </w:p>
    <w:tbl>
      <w:tblPr>
        <w:bidiVisual/>
        <w:tblW w:type="pct" w:w="100%"/>
        <w:tblBorders>
          <w:top w:val="single" w:color="9AA6B2" w:sz="6"/>
          <w:left w:val="none" w:color="FFFFFF" w:sz="0"/>
          <w:bottom w:val="single" w:color="9AA6B2" w:sz="6"/>
          <w:right w:val="none" w:color="FFFFFF" w:sz="0"/>
          <w:insideH w:val="single" w:color="D5DCE4" w:sz="2"/>
          <w:insideV w:val="single" w:color="D5DCE4" w:sz="2"/>
        </w:tblBorders>
      </w:tblPr>
      <w:tblGrid>
        <w:gridCol w:w="100"/>
        <w:gridCol w:w="100"/>
        <w:gridCol w:w="100"/>
      </w:tblGrid>
      <w:tr>
        <w:trPr>
          <w:cantSplit/>
          <w:tblHeader/>
        </w:trPr>
        <w:tc>
          <w:tcPr>
            <w:tcW w:type="pct" w:w="20%"/>
            <w:shd w:fill="E8EDF3" w:val="clear"/>
            <w:tcMar>
              <w:top w:type="dxa" w:w="70"/>
              <w:left w:type="dxa" w:w="100"/>
              <w:bottom w:type="dxa" w:w="70"/>
              <w:right w:type="dxa" w:w="100"/>
            </w:tcMar>
            <w:vAlign w:val="center"/>
          </w:tcPr>
          <w:p>
            <w:pPr>
              <w:bidi/>
              <w:jc w:val="center"/>
            </w:pPr>
            <w:r>
              <w:rPr>
                <w:rFonts w:ascii="Times New Roman" w:cs="Traditional Arabic" w:hAnsi="Times New Roman"/>
                <w:b/>
                <w:bCs/>
                <w:i w:val="false"/>
                <w:iCs w:val="false"/>
                <w:color w:val="111111"/>
                <w:sz w:val="21"/>
                <w:szCs w:val="21"/>
                <w:rtl/>
              </w:rPr>
              <w:t xml:space="preserve">التصنيف</w:t>
            </w:r>
          </w:p>
        </w:tc>
        <w:tc>
          <w:tcPr>
            <w:tcW w:type="pct" w:w="30%"/>
            <w:shd w:fill="E8EDF3" w:val="clear"/>
            <w:tcMar>
              <w:top w:type="dxa" w:w="70"/>
              <w:left w:type="dxa" w:w="100"/>
              <w:bottom w:type="dxa" w:w="70"/>
              <w:right w:type="dxa" w:w="100"/>
            </w:tcMar>
            <w:vAlign w:val="center"/>
          </w:tcPr>
          <w:p>
            <w:pPr>
              <w:bidi/>
              <w:jc w:val="center"/>
            </w:pPr>
            <w:r>
              <w:rPr>
                <w:rFonts w:ascii="Times New Roman" w:cs="Traditional Arabic" w:hAnsi="Times New Roman"/>
                <w:b/>
                <w:bCs/>
                <w:i w:val="false"/>
                <w:iCs w:val="false"/>
                <w:color w:val="111111"/>
                <w:sz w:val="21"/>
                <w:szCs w:val="21"/>
                <w:rtl/>
              </w:rPr>
              <w:t xml:space="preserve">البند</w:t>
            </w:r>
          </w:p>
        </w:tc>
        <w:tc>
          <w:tcPr>
            <w:tcW w:type="pct" w:w="50%"/>
            <w:shd w:fill="E8EDF3" w:val="clear"/>
            <w:tcMar>
              <w:top w:type="dxa" w:w="70"/>
              <w:left w:type="dxa" w:w="100"/>
              <w:bottom w:type="dxa" w:w="70"/>
              <w:right w:type="dxa" w:w="100"/>
            </w:tcMar>
            <w:vAlign w:val="center"/>
          </w:tcPr>
          <w:p>
            <w:pPr>
              <w:bidi/>
              <w:jc w:val="center"/>
            </w:pPr>
            <w:r>
              <w:rPr>
                <w:rFonts w:ascii="Times New Roman" w:cs="Traditional Arabic" w:hAnsi="Times New Roman"/>
                <w:b/>
                <w:bCs/>
                <w:i w:val="false"/>
                <w:iCs w:val="false"/>
                <w:color w:val="111111"/>
                <w:sz w:val="21"/>
                <w:szCs w:val="21"/>
                <w:rtl/>
              </w:rPr>
              <w:t xml:space="preserve">التوضيح</w:t>
            </w:r>
          </w:p>
        </w:tc>
      </w:tr>
      <w:tr>
        <w:trPr>
          <w:cantSplit/>
        </w:trPr>
        <w:tc>
          <w:tcPr>
            <w:tcW w:type="pct" w:w="20%"/>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Implemented</w:t>
            </w:r>
          </w:p>
        </w:tc>
        <w:tc>
          <w:tcPr>
            <w:tcW w:type="pct" w:w="30%"/>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نواة التجارة والسلامة والحوكمة والأتمتة والوكلاء</w:t>
            </w:r>
          </w:p>
        </w:tc>
        <w:tc>
          <w:tcPr>
            <w:tcW w:type="pct" w:w="50%"/>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كل ما فُصّل في المتطلبات الوظيفية بحالة Implemented</w:t>
            </w:r>
          </w:p>
        </w:tc>
      </w:tr>
      <w:tr>
        <w:trPr>
          <w:cantSplit/>
        </w:trPr>
        <w:tc>
          <w:tcPr>
            <w:tcW w:type="pct" w:w="20%"/>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Partially Implemented</w:t>
            </w:r>
          </w:p>
        </w:tc>
        <w:tc>
          <w:tcPr>
            <w:tcW w:type="pct" w:w="30%"/>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نماذج الحزم غير الدوائية</w:t>
            </w:r>
          </w:p>
        </w:tc>
        <w:tc>
          <w:tcPr>
            <w:tcW w:type="pct" w:w="50%"/>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حزمتا Coffee/Apparel مثبتتان بنموذج وكتالوج وواجهة، لكن نماذج ML السريرية pharmacy-only حتى تتوفر بيانات حقيقية</w:t>
            </w:r>
          </w:p>
        </w:tc>
      </w:tr>
      <w:tr>
        <w:trPr>
          <w:cantSplit/>
        </w:trPr>
        <w:tc>
          <w:tcPr>
            <w:tcW w:type="pct" w:w="20%"/>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Known Gap</w:t>
            </w:r>
          </w:p>
        </w:tc>
        <w:tc>
          <w:tcPr>
            <w:tcW w:type="pct" w:w="30%"/>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بوابة دفع إلكتروني حي داخل المتجر</w:t>
            </w:r>
          </w:p>
        </w:tc>
        <w:tc>
          <w:tcPr>
            <w:tcW w:type="pct" w:w="50%"/>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الدفع يتم قنوات خارجية؛ لا تكامل بوابة موثق في المستودع</w:t>
            </w:r>
          </w:p>
        </w:tc>
      </w:tr>
      <w:tr>
        <w:trPr>
          <w:cantSplit/>
        </w:trPr>
        <w:tc>
          <w:tcPr>
            <w:tcW w:type="pct" w:w="20%"/>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Known Gap</w:t>
            </w:r>
          </w:p>
        </w:tc>
        <w:tc>
          <w:tcPr>
            <w:tcW w:type="pct" w:w="30%"/>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تطبيق جوال أصلي</w:t>
            </w:r>
          </w:p>
        </w:tc>
        <w:tc>
          <w:tcPr>
            <w:tcW w:type="pct" w:w="50%"/>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الواجهة ويب متجاوب (PWA-like) فقط</w:t>
            </w:r>
          </w:p>
        </w:tc>
      </w:tr>
      <w:tr>
        <w:trPr>
          <w:cantSplit/>
        </w:trPr>
        <w:tc>
          <w:tcPr>
            <w:tcW w:type="pct" w:w="20%"/>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Known Gap</w:t>
            </w:r>
          </w:p>
        </w:tc>
        <w:tc>
          <w:tcPr>
            <w:tcW w:type="pct" w:w="30%"/>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نطاق RLS شامل لكل جدول</w:t>
            </w:r>
          </w:p>
        </w:tc>
        <w:tc>
          <w:tcPr>
            <w:tcW w:type="pct" w:w="50%"/>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20 سياسة مفعلة على الجداول الحرجة؛ بعض جداول الدعم تعتمد عزل طبقة التطبيق</w:t>
            </w:r>
          </w:p>
        </w:tc>
      </w:tr>
      <w:tr>
        <w:trPr>
          <w:cantSplit/>
        </w:trPr>
        <w:tc>
          <w:tcPr>
            <w:tcW w:type="pct" w:w="20%"/>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Known Gap</w:t>
            </w:r>
          </w:p>
        </w:tc>
        <w:tc>
          <w:tcPr>
            <w:tcW w:type="pct" w:w="30%"/>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قياس أثر الكوبونات تاريخياً</w:t>
            </w:r>
          </w:p>
        </w:tc>
        <w:tc>
          <w:tcPr>
            <w:tcW w:type="pct" w:w="50%"/>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حلقة القياس مبنية (simulation_runs/automation_runs) وتحتاج تراكم بيانات تشغيل</w:t>
            </w:r>
          </w:p>
        </w:tc>
      </w:tr>
      <w:tr>
        <w:trPr>
          <w:cantSplit/>
        </w:trPr>
        <w:tc>
          <w:tcPr>
            <w:tcW w:type="pct" w:w="20%"/>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9"/>
                <w:szCs w:val="19"/>
              </w:rPr>
              <w:t xml:space="preserve">Future Enhancement</w:t>
            </w:r>
          </w:p>
        </w:tc>
        <w:tc>
          <w:tcPr>
            <w:tcW w:type="pct" w:w="30%"/>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ERP خارجي، تطبيق جوال، تعدد فروع حي، WORM على S3 Object Lock</w:t>
            </w:r>
          </w:p>
        </w:tc>
        <w:tc>
          <w:tcPr>
            <w:tcW w:type="pct" w:w="50%"/>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9"/>
                <w:szCs w:val="19"/>
                <w:rtl/>
              </w:rPr>
              <w:t xml:space="preserve">موثقة في قسم التوسع</w:t>
            </w:r>
          </w:p>
        </w:tc>
      </w:tr>
    </w:tbl>
    <w:p>
      <w:pPr>
        <w:pStyle w:val="Heading1"/>
        <w:pageBreakBefore/>
        <w:bidi/>
        <w:spacing w:after="200" w:before="400" w:line="340"/>
        <w:jc w:val="right"/>
      </w:pPr>
      <w:bookmarkStart w:id="100054" w:name="_Toc100054"/>
      <w:r>
        <w:rPr>
          <w:rFonts w:ascii="Times New Roman" w:cs="Simplified Arabic" w:hAnsi="Times New Roman"/>
          <w:b/>
          <w:bCs/>
          <w:color w:val="1F3A5F"/>
          <w:sz w:val="32"/>
          <w:szCs w:val="36"/>
          <w:rtl/>
        </w:rPr>
        <w:t xml:space="preserve">41. التوسع المستقبلي (Future Expansion)</w:t>
      </w:r>
      <w:bookmarkEnd w:id="100054"/>
    </w:p>
    <w:p>
      <w:pPr>
        <w:pStyle w:val="ListParagraph"/>
        <w:numPr>
          <w:ilvl w:val="0"/>
          <w:numId w:val="1"/>
        </w:numPr>
        <w:bidi/>
        <w:spacing w:after="60" w:line="312"/>
        <w:jc w:val="both"/>
      </w:pPr>
      <w:r>
        <w:rPr>
          <w:rFonts w:ascii="Times New Roman" w:cs="Traditional Arabic" w:hAnsi="Times New Roman"/>
          <w:b w:val="false"/>
          <w:i w:val="false"/>
          <w:iCs w:val="false"/>
          <w:color w:val="000000"/>
          <w:sz w:val="26"/>
          <w:szCs w:val="30"/>
          <w:rtl/>
        </w:rPr>
        <w:t xml:space="preserve">ترقية WORM إلى S3 Object Lock (Compliance mode) عبر نفس واجهة append — الواجهة موثقة في رأس الملف.</w:t>
      </w:r>
    </w:p>
    <w:p>
      <w:pPr>
        <w:pStyle w:val="ListParagraph"/>
        <w:numPr>
          <w:ilvl w:val="0"/>
          <w:numId w:val="1"/>
        </w:numPr>
        <w:bidi/>
        <w:spacing w:after="60" w:line="312"/>
        <w:jc w:val="both"/>
      </w:pPr>
      <w:r>
        <w:rPr>
          <w:rFonts w:ascii="Times New Roman" w:cs="Traditional Arabic" w:hAnsi="Times New Roman"/>
          <w:b w:val="false"/>
          <w:i w:val="false"/>
          <w:iCs w:val="false"/>
          <w:color w:val="000000"/>
          <w:sz w:val="26"/>
          <w:szCs w:val="30"/>
          <w:rtl/>
        </w:rPr>
        <w:t xml:space="preserve">حزم عمودية جديدة (بقالة، مستلزمات طبية) عبر scaffold المولد تلقائياً.</w:t>
      </w:r>
    </w:p>
    <w:p>
      <w:pPr>
        <w:pStyle w:val="ListParagraph"/>
        <w:numPr>
          <w:ilvl w:val="0"/>
          <w:numId w:val="1"/>
        </w:numPr>
        <w:bidi/>
        <w:spacing w:after="60" w:line="312"/>
        <w:jc w:val="both"/>
      </w:pPr>
      <w:r>
        <w:rPr>
          <w:rFonts w:ascii="Times New Roman" w:cs="Traditional Arabic" w:hAnsi="Times New Roman"/>
          <w:b w:val="false"/>
          <w:i w:val="false"/>
          <w:iCs w:val="false"/>
          <w:color w:val="000000"/>
          <w:sz w:val="26"/>
          <w:szCs w:val="30"/>
          <w:rtl/>
        </w:rPr>
        <w:t xml:space="preserve">تدريب OCR على صور حقيقية عبر حلقة التصحيحات المتراكمة (931 عنصراً في الذاكرة).</w:t>
      </w:r>
    </w:p>
    <w:p>
      <w:pPr>
        <w:pStyle w:val="ListParagraph"/>
        <w:numPr>
          <w:ilvl w:val="0"/>
          <w:numId w:val="1"/>
        </w:numPr>
        <w:bidi/>
        <w:spacing w:after="60" w:line="312"/>
        <w:jc w:val="both"/>
      </w:pPr>
      <w:r>
        <w:rPr>
          <w:rFonts w:ascii="Times New Roman" w:cs="Traditional Arabic" w:hAnsi="Times New Roman"/>
          <w:b w:val="false"/>
          <w:i w:val="false"/>
          <w:iCs w:val="false"/>
          <w:color w:val="000000"/>
          <w:sz w:val="26"/>
          <w:szCs w:val="30"/>
          <w:rtl/>
        </w:rPr>
        <w:t xml:space="preserve">تعميق SHAP لكل تنبؤ churn مع لوحة تفسير للأدمن.</w:t>
      </w:r>
    </w:p>
    <w:p>
      <w:pPr>
        <w:pStyle w:val="ListParagraph"/>
        <w:numPr>
          <w:ilvl w:val="0"/>
          <w:numId w:val="1"/>
        </w:numPr>
        <w:bidi/>
        <w:spacing w:after="60" w:line="312"/>
        <w:jc w:val="both"/>
      </w:pPr>
      <w:r>
        <w:rPr>
          <w:rFonts w:ascii="Times New Roman" w:cs="Traditional Arabic" w:hAnsi="Times New Roman"/>
          <w:b w:val="false"/>
          <w:i w:val="false"/>
          <w:iCs w:val="false"/>
          <w:color w:val="000000"/>
          <w:sz w:val="26"/>
          <w:szCs w:val="30"/>
          <w:rtl/>
        </w:rPr>
        <w:t xml:space="preserve">بوابة دفع ودراجات توصيل بالتكامل مع مزودين مصريين.</w:t>
      </w:r>
    </w:p>
    <w:p>
      <w:pPr>
        <w:pStyle w:val="ListParagraph"/>
        <w:numPr>
          <w:ilvl w:val="0"/>
          <w:numId w:val="1"/>
        </w:numPr>
        <w:bidi/>
        <w:spacing w:after="60" w:line="312"/>
        <w:jc w:val="both"/>
      </w:pPr>
      <w:r>
        <w:rPr>
          <w:rFonts w:ascii="Times New Roman" w:cs="Traditional Arabic" w:hAnsi="Times New Roman"/>
          <w:b w:val="false"/>
          <w:i w:val="false"/>
          <w:iCs w:val="false"/>
          <w:color w:val="000000"/>
          <w:sz w:val="26"/>
          <w:szCs w:val="30"/>
          <w:rtl/>
        </w:rPr>
        <w:t xml:space="preserve">تعدد فروع فعلي بنفس نواة تعدد المستأجرين (فرع = tenant).</w:t>
      </w:r>
    </w:p>
    <w:p>
      <w:pPr>
        <w:pStyle w:val="ListParagraph"/>
        <w:numPr>
          <w:ilvl w:val="0"/>
          <w:numId w:val="1"/>
        </w:numPr>
        <w:bidi/>
        <w:spacing w:after="60" w:line="312"/>
        <w:jc w:val="both"/>
      </w:pPr>
      <w:r>
        <w:rPr>
          <w:rFonts w:ascii="Times New Roman" w:cs="Traditional Arabic" w:hAnsi="Times New Roman"/>
          <w:b w:val="false"/>
          <w:i w:val="false"/>
          <w:iCs w:val="false"/>
          <w:color w:val="000000"/>
          <w:sz w:val="26"/>
          <w:szCs w:val="30"/>
          <w:rtl/>
        </w:rPr>
        <w:t xml:space="preserve">لوحة تنبؤات مجمعة بالأداء الحي مع إنذارات انحراف MAE.</w:t>
      </w:r>
    </w:p>
    <w:p>
      <w:pPr>
        <w:pStyle w:val="Heading1"/>
        <w:pageBreakBefore/>
        <w:bidi/>
        <w:spacing w:after="200" w:before="400" w:line="340"/>
        <w:jc w:val="right"/>
      </w:pPr>
      <w:bookmarkStart w:id="100055" w:name="_Toc100055"/>
      <w:r>
        <w:rPr>
          <w:rFonts w:ascii="Times New Roman" w:cs="Simplified Arabic" w:hAnsi="Times New Roman"/>
          <w:b/>
          <w:bCs/>
          <w:color w:val="1F3A5F"/>
          <w:sz w:val="32"/>
          <w:szCs w:val="36"/>
          <w:rtl/>
        </w:rPr>
        <w:t xml:space="preserve">42. مصفوفة التتبع (Traceability Matrix)</w:t>
      </w:r>
      <w:bookmarkEnd w:id="100055"/>
    </w:p>
    <w:p>
      <w:pPr>
        <w:bidi/>
        <w:spacing w:after="120" w:line="312"/>
        <w:ind w:firstLine="340"/>
        <w:jc w:val="both"/>
      </w:pPr>
      <w:r>
        <w:rPr>
          <w:rFonts w:ascii="Times New Roman" w:cs="Traditional Arabic" w:hAnsi="Times New Roman"/>
          <w:b w:val="false"/>
          <w:i w:val="false"/>
          <w:iCs w:val="false"/>
          <w:color w:val="000000"/>
          <w:sz w:val="26"/>
          <w:szCs w:val="30"/>
          <w:rtl/>
        </w:rPr>
        <w:t xml:space="preserve">تربط المصفوفة الأهداف بالمتطلبات بالعمليات بوظائف النظام بأدلة التنفيذ والاختبارات — عينة تمثيلية شاملة (الخريطة كاملة تتبع نفس النمط):</w:t>
      </w:r>
    </w:p>
    <w:p>
      <w:pPr>
        <w:keepNext/>
        <w:bidi/>
        <w:spacing w:after="80" w:before="160"/>
        <w:jc w:val="right"/>
      </w:pPr>
      <w:r>
        <w:rPr>
          <w:rFonts w:ascii="Times New Roman" w:cs="Traditional Arabic" w:hAnsi="Times New Roman"/>
          <w:b/>
          <w:bCs/>
          <w:i w:val="false"/>
          <w:iCs w:val="false"/>
          <w:color w:val="000000"/>
          <w:sz w:val="22"/>
          <w:szCs w:val="22"/>
          <w:rtl/>
        </w:rPr>
        <w:t xml:space="preserve">جدول 19: </w:t>
      </w:r>
      <w:r>
        <w:rPr>
          <w:rFonts w:ascii="Times New Roman" w:cs="Traditional Arabic" w:hAnsi="Times New Roman"/>
          <w:b w:val="false"/>
          <w:i w:val="false"/>
          <w:iCs w:val="false"/>
          <w:color w:val="000000"/>
          <w:sz w:val="22"/>
          <w:szCs w:val="22"/>
          <w:rtl/>
        </w:rPr>
        <w:t xml:space="preserve">مصفوفة التتبع — الأهداف ⇐ المتطلبات ⇐ العمليات ⇐ الوظائف ⇐ الأدلة ⇐ الاختبارات</w:t>
      </w:r>
    </w:p>
    <w:tbl>
      <w:tblPr>
        <w:bidiVisual/>
        <w:tblW w:type="pct" w:w="100%"/>
        <w:tblBorders>
          <w:top w:val="single" w:color="9AA6B2" w:sz="6"/>
          <w:left w:val="none" w:color="FFFFFF" w:sz="0"/>
          <w:bottom w:val="single" w:color="9AA6B2" w:sz="6"/>
          <w:right w:val="none" w:color="FFFFFF" w:sz="0"/>
          <w:insideH w:val="single" w:color="D5DCE4" w:sz="2"/>
          <w:insideV w:val="single" w:color="D5DCE4" w:sz="2"/>
        </w:tblBorders>
      </w:tblPr>
      <w:tblGrid>
        <w:gridCol w:w="100"/>
        <w:gridCol w:w="100"/>
        <w:gridCol w:w="100"/>
        <w:gridCol w:w="100"/>
        <w:gridCol w:w="100"/>
        <w:gridCol w:w="100"/>
      </w:tblGrid>
      <w:tr>
        <w:trPr>
          <w:cantSplit/>
          <w:tblHeader/>
        </w:trPr>
        <w:tc>
          <w:tcPr>
            <w:tcW w:type="pct" w:w="15%"/>
            <w:shd w:fill="E8EDF3" w:val="clear"/>
            <w:tcMar>
              <w:top w:type="dxa" w:w="70"/>
              <w:left w:type="dxa" w:w="100"/>
              <w:bottom w:type="dxa" w:w="70"/>
              <w:right w:type="dxa" w:w="100"/>
            </w:tcMar>
            <w:vAlign w:val="center"/>
          </w:tcPr>
          <w:p>
            <w:pPr>
              <w:bidi/>
              <w:jc w:val="center"/>
            </w:pPr>
            <w:r>
              <w:rPr>
                <w:rFonts w:ascii="Times New Roman" w:cs="Traditional Arabic" w:hAnsi="Times New Roman"/>
                <w:b/>
                <w:bCs/>
                <w:i w:val="false"/>
                <w:iCs w:val="false"/>
                <w:color w:val="111111"/>
                <w:sz w:val="21"/>
                <w:szCs w:val="21"/>
                <w:rtl/>
              </w:rPr>
              <w:t xml:space="preserve">Business Objective</w:t>
            </w:r>
          </w:p>
        </w:tc>
        <w:tc>
          <w:tcPr>
            <w:tcW w:type="pct" w:w="15%"/>
            <w:shd w:fill="E8EDF3" w:val="clear"/>
            <w:tcMar>
              <w:top w:type="dxa" w:w="70"/>
              <w:left w:type="dxa" w:w="100"/>
              <w:bottom w:type="dxa" w:w="70"/>
              <w:right w:type="dxa" w:w="100"/>
            </w:tcMar>
            <w:vAlign w:val="center"/>
          </w:tcPr>
          <w:p>
            <w:pPr>
              <w:bidi/>
              <w:jc w:val="center"/>
            </w:pPr>
            <w:r>
              <w:rPr>
                <w:rFonts w:ascii="Times New Roman" w:cs="Traditional Arabic" w:hAnsi="Times New Roman"/>
                <w:b/>
                <w:bCs/>
                <w:i w:val="false"/>
                <w:iCs w:val="false"/>
                <w:color w:val="111111"/>
                <w:sz w:val="21"/>
                <w:szCs w:val="21"/>
                <w:rtl/>
              </w:rPr>
              <w:t xml:space="preserve">Requirement</w:t>
            </w:r>
          </w:p>
        </w:tc>
        <w:tc>
          <w:tcPr>
            <w:tcW w:type="pct" w:w="10%"/>
            <w:shd w:fill="E8EDF3" w:val="clear"/>
            <w:tcMar>
              <w:top w:type="dxa" w:w="70"/>
              <w:left w:type="dxa" w:w="100"/>
              <w:bottom w:type="dxa" w:w="70"/>
              <w:right w:type="dxa" w:w="100"/>
            </w:tcMar>
            <w:vAlign w:val="center"/>
          </w:tcPr>
          <w:p>
            <w:pPr>
              <w:bidi/>
              <w:jc w:val="center"/>
            </w:pPr>
            <w:r>
              <w:rPr>
                <w:rFonts w:ascii="Times New Roman" w:cs="Traditional Arabic" w:hAnsi="Times New Roman"/>
                <w:b/>
                <w:bCs/>
                <w:i w:val="false"/>
                <w:iCs w:val="false"/>
                <w:color w:val="111111"/>
                <w:sz w:val="21"/>
                <w:szCs w:val="21"/>
                <w:rtl/>
              </w:rPr>
              <w:t xml:space="preserve">Business Process</w:t>
            </w:r>
          </w:p>
        </w:tc>
        <w:tc>
          <w:tcPr>
            <w:tcW w:type="pct" w:w="20%"/>
            <w:shd w:fill="E8EDF3" w:val="clear"/>
            <w:tcMar>
              <w:top w:type="dxa" w:w="70"/>
              <w:left w:type="dxa" w:w="100"/>
              <w:bottom w:type="dxa" w:w="70"/>
              <w:right w:type="dxa" w:w="100"/>
            </w:tcMar>
            <w:vAlign w:val="center"/>
          </w:tcPr>
          <w:p>
            <w:pPr>
              <w:bidi/>
              <w:jc w:val="center"/>
            </w:pPr>
            <w:r>
              <w:rPr>
                <w:rFonts w:ascii="Times New Roman" w:cs="Traditional Arabic" w:hAnsi="Times New Roman"/>
                <w:b/>
                <w:bCs/>
                <w:i w:val="false"/>
                <w:iCs w:val="false"/>
                <w:color w:val="111111"/>
                <w:sz w:val="21"/>
                <w:szCs w:val="21"/>
                <w:rtl/>
              </w:rPr>
              <w:t xml:space="preserve">System Function</w:t>
            </w:r>
          </w:p>
        </w:tc>
        <w:tc>
          <w:tcPr>
            <w:tcW w:type="pct" w:w="24%"/>
            <w:shd w:fill="E8EDF3" w:val="clear"/>
            <w:tcMar>
              <w:top w:type="dxa" w:w="70"/>
              <w:left w:type="dxa" w:w="100"/>
              <w:bottom w:type="dxa" w:w="70"/>
              <w:right w:type="dxa" w:w="100"/>
            </w:tcMar>
            <w:vAlign w:val="center"/>
          </w:tcPr>
          <w:p>
            <w:pPr>
              <w:bidi/>
              <w:jc w:val="center"/>
            </w:pPr>
            <w:r>
              <w:rPr>
                <w:rFonts w:ascii="Times New Roman" w:cs="Traditional Arabic" w:hAnsi="Times New Roman"/>
                <w:b/>
                <w:bCs/>
                <w:i w:val="false"/>
                <w:iCs w:val="false"/>
                <w:color w:val="111111"/>
                <w:sz w:val="21"/>
                <w:szCs w:val="21"/>
                <w:rtl/>
              </w:rPr>
              <w:t xml:space="preserve">Implementation Evidence</w:t>
            </w:r>
          </w:p>
        </w:tc>
        <w:tc>
          <w:tcPr>
            <w:tcW w:type="pct" w:w="16%"/>
            <w:shd w:fill="E8EDF3" w:val="clear"/>
            <w:tcMar>
              <w:top w:type="dxa" w:w="70"/>
              <w:left w:type="dxa" w:w="100"/>
              <w:bottom w:type="dxa" w:w="70"/>
              <w:right w:type="dxa" w:w="100"/>
            </w:tcMar>
            <w:vAlign w:val="center"/>
          </w:tcPr>
          <w:p>
            <w:pPr>
              <w:bidi/>
              <w:jc w:val="center"/>
            </w:pPr>
            <w:r>
              <w:rPr>
                <w:rFonts w:ascii="Times New Roman" w:cs="Traditional Arabic" w:hAnsi="Times New Roman"/>
                <w:b/>
                <w:bCs/>
                <w:i w:val="false"/>
                <w:iCs w:val="false"/>
                <w:color w:val="111111"/>
                <w:sz w:val="21"/>
                <w:szCs w:val="21"/>
                <w:rtl/>
              </w:rPr>
              <w:t xml:space="preserve">Test</w:t>
            </w:r>
          </w:p>
        </w:tc>
      </w:tr>
      <w:tr>
        <w:trPr>
          <w:cantSplit/>
        </w:trPr>
        <w:tc>
          <w:tcPr>
            <w:tcW w:type="pct" w:w="15%"/>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7"/>
                <w:szCs w:val="17"/>
                <w:rtl/>
              </w:rPr>
              <w:t xml:space="preserve">OBJ-1 سلامة الطلب</w:t>
            </w:r>
          </w:p>
        </w:tc>
        <w:tc>
          <w:tcPr>
            <w:tcW w:type="pct" w:w="15%"/>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FR-002, FR-003, FR-004</w:t>
            </w:r>
          </w:p>
        </w:tc>
        <w:tc>
          <w:tcPr>
            <w:tcW w:type="pct" w:w="10%"/>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BP-02</w:t>
            </w:r>
          </w:p>
        </w:tc>
        <w:tc>
          <w:tcPr>
            <w:tcW w:type="pct" w:w="20%"/>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CDSS gates in checkout</w:t>
            </w:r>
          </w:p>
        </w:tc>
        <w:tc>
          <w:tcPr>
            <w:tcW w:type="pct" w:w="24%"/>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drug/service.py (interactions/duplicates/equivalents)</w:t>
            </w:r>
          </w:p>
        </w:tc>
        <w:tc>
          <w:tcPr>
            <w:tcW w:type="pct" w:w="16%"/>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test_cdss_clinical.py</w:t>
            </w:r>
          </w:p>
        </w:tc>
      </w:tr>
      <w:tr>
        <w:trPr>
          <w:cantSplit/>
        </w:trPr>
        <w:tc>
          <w:tcPr>
            <w:tcW w:type="pct" w:w="15%"/>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7"/>
                <w:szCs w:val="17"/>
                <w:rtl/>
              </w:rPr>
              <w:t xml:space="preserve">OBJ-2 رقمنة الروشتات</w:t>
            </w:r>
          </w:p>
        </w:tc>
        <w:tc>
          <w:tcPr>
            <w:tcW w:type="pct" w:w="15%"/>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FR-005</w:t>
            </w:r>
          </w:p>
        </w:tc>
        <w:tc>
          <w:tcPr>
            <w:tcW w:type="pct" w:w="10%"/>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BP-03</w:t>
            </w:r>
          </w:p>
        </w:tc>
        <w:tc>
          <w:tcPr>
            <w:tcW w:type="pct" w:w="20%"/>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Vision OCR + matching + review</w:t>
            </w:r>
          </w:p>
        </w:tc>
        <w:tc>
          <w:tcPr>
            <w:tcW w:type="pct" w:w="24%"/>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prescriptions/vision.py, matching.py</w:t>
            </w:r>
          </w:p>
        </w:tc>
        <w:tc>
          <w:tcPr>
            <w:tcW w:type="pct" w:w="16%"/>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test_prescriptions_api.py, test_ocr_memory_engine.py</w:t>
            </w:r>
          </w:p>
        </w:tc>
      </w:tr>
      <w:tr>
        <w:trPr>
          <w:cantSplit/>
        </w:trPr>
        <w:tc>
          <w:tcPr>
            <w:tcW w:type="pct" w:w="15%"/>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7"/>
                <w:szCs w:val="17"/>
                <w:rtl/>
              </w:rPr>
              <w:t xml:space="preserve">OBJ-3 محادثة موثوقة</w:t>
            </w:r>
          </w:p>
        </w:tc>
        <w:tc>
          <w:tcPr>
            <w:tcW w:type="pct" w:w="15%"/>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FR-015..FR-021</w:t>
            </w:r>
          </w:p>
        </w:tc>
        <w:tc>
          <w:tcPr>
            <w:tcW w:type="pct" w:w="10%"/>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BP-04</w:t>
            </w:r>
          </w:p>
        </w:tc>
        <w:tc>
          <w:tcPr>
            <w:tcW w:type="pct" w:w="20%"/>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RAG pipeline + deterministic engines</w:t>
            </w:r>
          </w:p>
        </w:tc>
        <w:tc>
          <w:tcPr>
            <w:tcW w:type="pct" w:w="24%"/>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ai/service.py; llm_engine.py</w:t>
            </w:r>
          </w:p>
        </w:tc>
        <w:tc>
          <w:tcPr>
            <w:tcW w:type="pct" w:w="16%"/>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tests/ai/* (parallel RAG, sessions, security, math)</w:t>
            </w:r>
          </w:p>
        </w:tc>
      </w:tr>
      <w:tr>
        <w:trPr>
          <w:cantSplit/>
        </w:trPr>
        <w:tc>
          <w:tcPr>
            <w:tcW w:type="pct" w:w="15%"/>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7"/>
                <w:szCs w:val="17"/>
                <w:rtl/>
              </w:rPr>
              <w:t xml:space="preserve">OBJ-4 وكلاء هجينون</w:t>
            </w:r>
          </w:p>
        </w:tc>
        <w:tc>
          <w:tcPr>
            <w:tcW w:type="pct" w:w="15%"/>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FR-011, FR-013, FR-014</w:t>
            </w:r>
          </w:p>
        </w:tc>
        <w:tc>
          <w:tcPr>
            <w:tcW w:type="pct" w:w="10%"/>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BP-07</w:t>
            </w:r>
          </w:p>
        </w:tc>
        <w:tc>
          <w:tcPr>
            <w:tcW w:type="pct" w:w="20%"/>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hybrid execution + MI approval</w:t>
            </w:r>
          </w:p>
        </w:tc>
        <w:tc>
          <w:tcPr>
            <w:tcW w:type="pct" w:w="24%"/>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agents/hybrid.py; market_intelligence.py</w:t>
            </w:r>
          </w:p>
        </w:tc>
        <w:tc>
          <w:tcPr>
            <w:tcW w:type="pct" w:w="16%"/>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test_market_intelligence.py; test_market_api_routes.py</w:t>
            </w:r>
          </w:p>
        </w:tc>
      </w:tr>
      <w:tr>
        <w:trPr>
          <w:cantSplit/>
        </w:trPr>
        <w:tc>
          <w:tcPr>
            <w:tcW w:type="pct" w:w="15%"/>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7"/>
                <w:szCs w:val="17"/>
                <w:rtl/>
              </w:rPr>
              <w:t xml:space="preserve">OBJ-5 تذكير ذكي</w:t>
            </w:r>
          </w:p>
        </w:tc>
        <w:tc>
          <w:tcPr>
            <w:tcW w:type="pct" w:w="15%"/>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FR-022..FR-024</w:t>
            </w:r>
          </w:p>
        </w:tc>
        <w:tc>
          <w:tcPr>
            <w:tcW w:type="pct" w:w="10%"/>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BP-05</w:t>
            </w:r>
          </w:p>
        </w:tc>
        <w:tc>
          <w:tcPr>
            <w:tcW w:type="pct" w:w="20%"/>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cycles + churn + reminders</w:t>
            </w:r>
          </w:p>
        </w:tc>
        <w:tc>
          <w:tcPr>
            <w:tcW w:type="pct" w:w="24%"/>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prediction/service.py; tracking; n8n reminder</w:t>
            </w:r>
          </w:p>
        </w:tc>
        <w:tc>
          <w:tcPr>
            <w:tcW w:type="pct" w:w="16%"/>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test_agent_governance_hardening.py</w:t>
            </w:r>
          </w:p>
        </w:tc>
      </w:tr>
      <w:tr>
        <w:trPr>
          <w:cantSplit/>
        </w:trPr>
        <w:tc>
          <w:tcPr>
            <w:tcW w:type="pct" w:w="15%"/>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7"/>
                <w:szCs w:val="17"/>
                <w:rtl/>
              </w:rPr>
              <w:t xml:space="preserve">OBJ-6 تسعير مصرفي</w:t>
            </w:r>
          </w:p>
        </w:tc>
        <w:tc>
          <w:tcPr>
            <w:tcW w:type="pct" w:w="15%"/>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FR-012, FR-026, FR-035</w:t>
            </w:r>
          </w:p>
        </w:tc>
        <w:tc>
          <w:tcPr>
            <w:tcW w:type="pct" w:w="10%"/>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BP-06</w:t>
            </w:r>
          </w:p>
        </w:tc>
        <w:tc>
          <w:tcPr>
            <w:tcW w:type="pct" w:w="20%"/>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pricing gate + simulator + deploy</w:t>
            </w:r>
          </w:p>
        </w:tc>
        <w:tc>
          <w:tcPr>
            <w:tcW w:type="pct" w:w="24%"/>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agents/pricing.py; simulator.py</w:t>
            </w:r>
          </w:p>
        </w:tc>
        <w:tc>
          <w:tcPr>
            <w:tcW w:type="pct" w:w="16%"/>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test_hybrid_agents.py (pricing)</w:t>
            </w:r>
          </w:p>
        </w:tc>
      </w:tr>
      <w:tr>
        <w:trPr>
          <w:cantSplit/>
        </w:trPr>
        <w:tc>
          <w:tcPr>
            <w:tcW w:type="pct" w:w="15%"/>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7"/>
                <w:szCs w:val="17"/>
                <w:rtl/>
              </w:rPr>
              <w:t xml:space="preserve">OBJ-7 محاسبة وجنائي</w:t>
            </w:r>
          </w:p>
        </w:tc>
        <w:tc>
          <w:tcPr>
            <w:tcW w:type="pct" w:w="15%"/>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FR-007, FR-008</w:t>
            </w:r>
          </w:p>
        </w:tc>
        <w:tc>
          <w:tcPr>
            <w:tcW w:type="pct" w:w="10%"/>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BP-09</w:t>
            </w:r>
          </w:p>
        </w:tc>
        <w:tc>
          <w:tcPr>
            <w:tcW w:type="pct" w:w="20%"/>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journal + Benford/round/threshold</w:t>
            </w:r>
          </w:p>
        </w:tc>
        <w:tc>
          <w:tcPr>
            <w:tcW w:type="pct" w:w="24%"/>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accounting models; forensics.py</w:t>
            </w:r>
          </w:p>
        </w:tc>
        <w:tc>
          <w:tcPr>
            <w:tcW w:type="pct" w:w="16%"/>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test_forensics_and_working_capital.py</w:t>
            </w:r>
          </w:p>
        </w:tc>
      </w:tr>
      <w:tr>
        <w:trPr>
          <w:cantSplit/>
        </w:trPr>
        <w:tc>
          <w:tcPr>
            <w:tcW w:type="pct" w:w="15%"/>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7"/>
                <w:szCs w:val="17"/>
                <w:rtl/>
              </w:rPr>
              <w:t xml:space="preserve">OBJ-8 حوكمة WORM</w:t>
            </w:r>
          </w:p>
        </w:tc>
        <w:tc>
          <w:tcPr>
            <w:tcW w:type="pct" w:w="15%"/>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FR-009, FR-006</w:t>
            </w:r>
          </w:p>
        </w:tc>
        <w:tc>
          <w:tcPr>
            <w:tcW w:type="pct" w:w="10%"/>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BP-12</w:t>
            </w:r>
          </w:p>
        </w:tc>
        <w:tc>
          <w:tcPr>
            <w:tcW w:type="pct" w:w="20%"/>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WORM chain + bi-directional verify + recall signing</w:t>
            </w:r>
          </w:p>
        </w:tc>
        <w:tc>
          <w:tcPr>
            <w:tcW w:type="pct" w:w="24%"/>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core/worm_ledger.py; worm_worker.py; drug recall</w:t>
            </w:r>
          </w:p>
        </w:tc>
        <w:tc>
          <w:tcPr>
            <w:tcW w:type="pct" w:w="16%"/>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test_events_chain.py; test_market_intelligence.py</w:t>
            </w:r>
          </w:p>
        </w:tc>
      </w:tr>
      <w:tr>
        <w:trPr>
          <w:cantSplit/>
        </w:trPr>
        <w:tc>
          <w:tcPr>
            <w:tcW w:type="pct" w:w="15%"/>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7"/>
                <w:szCs w:val="17"/>
                <w:rtl/>
              </w:rPr>
              <w:t xml:space="preserve">OBJ-9 حزم عمودية</w:t>
            </w:r>
          </w:p>
        </w:tc>
        <w:tc>
          <w:tcPr>
            <w:tcW w:type="pct" w:w="15%"/>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FR-030, FR-032</w:t>
            </w:r>
          </w:p>
        </w:tc>
        <w:tc>
          <w:tcPr>
            <w:tcW w:type="pct" w:w="10%"/>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BP-11</w:t>
            </w:r>
          </w:p>
        </w:tc>
        <w:tc>
          <w:tcPr>
            <w:tcW w:type="pct" w:w="20%"/>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vertical loader + activation</w:t>
            </w:r>
          </w:p>
        </w:tc>
        <w:tc>
          <w:tcPr>
            <w:tcW w:type="pct" w:w="24%"/>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core/verticals/*; /verticals/activate</w:t>
            </w:r>
          </w:p>
        </w:tc>
        <w:tc>
          <w:tcPr>
            <w:tcW w:type="pct" w:w="16%"/>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test_vertical_packs.py; test_settings.py</w:t>
            </w:r>
          </w:p>
        </w:tc>
      </w:tr>
      <w:tr>
        <w:trPr>
          <w:cantSplit/>
        </w:trPr>
        <w:tc>
          <w:tcPr>
            <w:tcW w:type="pct" w:w="15%"/>
            <w:shd w:fill="F4F7FA" w:val="clear"/>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7"/>
                <w:szCs w:val="17"/>
                <w:rtl/>
              </w:rPr>
              <w:t xml:space="preserve">حوكمة أتمتة مقاسة</w:t>
            </w:r>
          </w:p>
        </w:tc>
        <w:tc>
          <w:tcPr>
            <w:tcW w:type="pct" w:w="15%"/>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FR-027</w:t>
            </w:r>
          </w:p>
        </w:tc>
        <w:tc>
          <w:tcPr>
            <w:tcW w:type="pct" w:w="10%"/>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BP-05/BP-12</w:t>
            </w:r>
          </w:p>
        </w:tc>
        <w:tc>
          <w:tcPr>
            <w:tcW w:type="pct" w:w="20%"/>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automation_runs + metrics</w:t>
            </w:r>
          </w:p>
        </w:tc>
        <w:tc>
          <w:tcPr>
            <w:tcW w:type="pct" w:w="24%"/>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router automation endpoints; retry worker</w:t>
            </w:r>
          </w:p>
        </w:tc>
        <w:tc>
          <w:tcPr>
            <w:tcW w:type="pct" w:w="16%"/>
            <w:shd w:fill="F4F7FA" w:val="clear"/>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test_operational_guards.py</w:t>
            </w:r>
          </w:p>
        </w:tc>
      </w:tr>
      <w:tr>
        <w:trPr>
          <w:cantSplit/>
        </w:trPr>
        <w:tc>
          <w:tcPr>
            <w:tcW w:type="pct" w:w="15%"/>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7"/>
                <w:szCs w:val="17"/>
                <w:rtl/>
              </w:rPr>
              <w:t xml:space="preserve">أمن وخصوصية</w:t>
            </w:r>
          </w:p>
        </w:tc>
        <w:tc>
          <w:tcPr>
            <w:tcW w:type="pct" w:w="15%"/>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FR-019, FR-020, FR-033, NFR-01..05</w:t>
            </w:r>
          </w:p>
        </w:tc>
        <w:tc>
          <w:tcPr>
            <w:tcW w:type="pct" w:w="10%"/>
            <w:tcMar>
              <w:top w:type="dxa" w:w="55"/>
              <w:left w:type="dxa" w:w="100"/>
              <w:bottom w:type="dxa" w:w="55"/>
              <w:right w:type="dxa" w:w="100"/>
            </w:tcMar>
            <w:vAlign w:val="center"/>
          </w:tcPr>
          <w:p>
            <w:pPr>
              <w:bidi/>
              <w:spacing w:line="276"/>
              <w:jc w:val="right"/>
            </w:pPr>
            <w:r>
              <w:rPr>
                <w:rFonts w:ascii="Times New Roman" w:cs="Traditional Arabic" w:hAnsi="Times New Roman"/>
                <w:b w:val="false"/>
                <w:i w:val="false"/>
                <w:iCs w:val="false"/>
                <w:color w:val="000000"/>
                <w:sz w:val="17"/>
                <w:szCs w:val="17"/>
                <w:rtl/>
              </w:rPr>
              <w:t xml:space="preserve">جميع العمليات</w:t>
            </w:r>
          </w:p>
        </w:tc>
        <w:tc>
          <w:tcPr>
            <w:tcW w:type="pct" w:w="20%"/>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auth/RBAC/RLS/rate-limit/redaction</w:t>
            </w:r>
          </w:p>
        </w:tc>
        <w:tc>
          <w:tcPr>
            <w:tcW w:type="pct" w:w="24%"/>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auth.py; security_guard.py; enable_rls.sql</w:t>
            </w:r>
          </w:p>
        </w:tc>
        <w:tc>
          <w:tcPr>
            <w:tcW w:type="pct" w:w="16%"/>
            <w:tcMar>
              <w:top w:type="dxa" w:w="55"/>
              <w:left w:type="dxa" w:w="100"/>
              <w:bottom w:type="dxa" w:w="55"/>
              <w:right w:type="dxa" w:w="100"/>
            </w:tcMar>
            <w:vAlign w:val="center"/>
          </w:tcPr>
          <w:p>
            <w:pPr>
              <w:bidi w:val="false"/>
              <w:spacing w:line="276"/>
              <w:jc w:val="left"/>
            </w:pPr>
            <w:r>
              <w:rPr>
                <w:rFonts w:ascii="Times New Roman" w:eastAsia="Times New Roman" w:hAnsi="Times New Roman"/>
                <w:b w:val="false"/>
                <w:bCs w:val="false"/>
                <w:i w:val="false"/>
                <w:iCs w:val="false"/>
                <w:color w:val="000000"/>
                <w:sz w:val="17"/>
                <w:szCs w:val="17"/>
              </w:rPr>
              <w:t xml:space="preserve">test_security_regression.py; tests/ai/test_security_guard.py</w:t>
            </w:r>
          </w:p>
        </w:tc>
      </w:tr>
    </w:tbl>
    <w:p>
      <w:pPr>
        <w:pStyle w:val="Heading1"/>
        <w:pageBreakBefore/>
        <w:bidi/>
        <w:spacing w:after="200" w:before="400" w:line="340"/>
        <w:jc w:val="right"/>
      </w:pPr>
      <w:bookmarkStart w:id="100056" w:name="_Toc100056"/>
      <w:r>
        <w:rPr>
          <w:rFonts w:ascii="Times New Roman" w:cs="Simplified Arabic" w:hAnsi="Times New Roman"/>
          <w:b/>
          <w:bCs/>
          <w:color w:val="1F3A5F"/>
          <w:sz w:val="32"/>
          <w:szCs w:val="36"/>
          <w:rtl/>
        </w:rPr>
        <w:t xml:space="preserve">43. الخاتمة (Conclusion)</w:t>
      </w:r>
      <w:bookmarkEnd w:id="100056"/>
    </w:p>
    <w:p>
      <w:pPr>
        <w:bidi/>
        <w:spacing w:after="120" w:line="312"/>
        <w:ind w:firstLine="340"/>
        <w:jc w:val="both"/>
      </w:pPr>
      <w:r>
        <w:rPr>
          <w:rFonts w:ascii="Times New Roman" w:cs="Traditional Arabic" w:hAnsi="Times New Roman"/>
          <w:b w:val="false"/>
          <w:i w:val="false"/>
          <w:iCs w:val="false"/>
          <w:color w:val="000000"/>
          <w:sz w:val="26"/>
          <w:szCs w:val="30"/>
          <w:rtl/>
        </w:rPr>
        <w:t xml:space="preserve">وثّق هذا التحليل نظام </w:t>
      </w:r>
      <w:r>
        <w:rPr>
          <w:rFonts w:ascii="Times New Roman" w:eastAsia="Times New Roman" w:hAnsi="Times New Roman"/>
          <w:b w:val="false"/>
          <w:bCs w:val="false"/>
          <w:i w:val="false"/>
          <w:iCs w:val="false"/>
          <w:color w:val="000000"/>
          <w:sz w:val="24"/>
          <w:szCs w:val="24"/>
        </w:rPr>
        <w:t xml:space="preserve">AI-COS</w:t>
      </w:r>
      <w:r>
        <w:rPr>
          <w:rFonts w:ascii="Times New Roman" w:cs="Traditional Arabic" w:hAnsi="Times New Roman"/>
          <w:b w:val="false"/>
          <w:i w:val="false"/>
          <w:iCs w:val="false"/>
          <w:color w:val="000000"/>
          <w:sz w:val="26"/>
          <w:szCs w:val="30"/>
          <w:rtl/>
        </w:rPr>
        <w:t xml:space="preserve"> كما هو فعلاً: نظام تشغيل أعمال وكيل متعدد المستأجرين، بقلب حتمي يحسب وقلب لغوي يصيغ، وبوابة سلامة سريرية تمنع بالكود، وحوكمة توقّع بالتشفير، وأتمتة تقيس نفسها، وحزم عمودية تجعل الصيدلية بداية الحكاية لا نهايتها.</w:t>
      </w:r>
    </w:p>
    <w:p>
      <w:pPr>
        <w:bidi/>
        <w:spacing w:after="120" w:line="312"/>
        <w:ind w:firstLine="340"/>
        <w:jc w:val="both"/>
      </w:pPr>
      <w:r>
        <w:rPr>
          <w:rFonts w:ascii="Times New Roman" w:cs="Traditional Arabic" w:hAnsi="Times New Roman"/>
          <w:b w:val="false"/>
          <w:i w:val="false"/>
          <w:iCs w:val="false"/>
          <w:color w:val="000000"/>
          <w:sz w:val="26"/>
          <w:szCs w:val="30"/>
          <w:rtl/>
        </w:rPr>
        <w:t xml:space="preserve">وتظهر قيمة التحليل في ثلاثة مستويات: للجنة التحكيم، منهجية هندسية مبنية على الأدلة (كل ادعاء بمساره)؛ للفريق، خريطة نضج توضح ما نُفذ وما هو جزئي وما هو مستقبلي بلا تجميل؛ وللنظام نفسه، مرآة تثبت أن الحوكمة لم تُضف كواجهة بل كعمود فقري — من بوابة CDSS في السلة إلى بصمة SHA-256 التي تغادر السيرفر كل ساعة.</w:t>
      </w:r>
    </w:p>
    <w:p>
      <w:pPr>
        <w:bidi/>
        <w:spacing w:after="120" w:line="312"/>
        <w:ind w:firstLine="340"/>
        <w:jc w:val="both"/>
      </w:pPr>
      <w:r>
        <w:rPr>
          <w:rFonts w:ascii="Times New Roman" w:cs="Traditional Arabic" w:hAnsi="Times New Roman"/>
          <w:b w:val="false"/>
          <w:i w:val="false"/>
          <w:iCs w:val="false"/>
          <w:color w:val="000000"/>
          <w:sz w:val="26"/>
          <w:szCs w:val="30"/>
          <w:rtl/>
        </w:rPr>
        <w:t xml:space="preserve">يبقى الأصدق قولاً: النظام موثق هنا بحدود موثقة — فجواته معلنة (دفع حي، جوال، RLS شامل، تراكم قياسات) وخطط ردمها مذكورة — لأن النضج الهندسي ليس غياب الفجوات بل معرفتها الدقيقة ومعرفة طريق ردمها.</w:t>
      </w:r>
    </w:p>
    <w:sectPr>
      <w:headerReference w:type="default" r:id="rId9"/>
      <w:footerReference w:type="default" r:id="rId10"/>
      <w:type w:val="nextPage"/>
      <w:pgSz w:w="11906" w:h="16838" w:orient="portrait"/>
      <w:pgMar w:top="1360" w:right="1500" w:bottom="1360" w:left="150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hAnsi="Times New Roman"/>
        <w:color w:val="666666"/>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hAnsi="Times New Roman"/>
        <w:color w:val="666666"/>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BBBB" w:sz="4"/>
      </w:pBdr>
      <w:spacing w:after="60"/>
      <w:jc w:val="center"/>
    </w:pPr>
    <w:r>
      <w:rPr>
        <w:rFonts w:ascii="Times New Roman" w:eastAsia="Times New Roman" w:hAnsi="Times New Roman"/>
        <w:color w:val="777777"/>
        <w:sz w:val="18"/>
        <w:szCs w:val="18"/>
      </w:rPr>
      <w:t xml:space="preserve">AI-COS — Agentic Business OS</w:t>
    </w:r>
    <w:r>
      <w:rPr>
        <w:rFonts w:ascii="Times New Roman" w:eastAsia="Times New Roman" w:hAnsi="Times New Roman"/>
        <w:color w:val="AAAAAA"/>
        <w:sz w:val="18"/>
        <w:szCs w:val="18"/>
      </w:rPr>
      <w:t xml:space="preserve">  |  </w:t>
    </w:r>
    <w:r>
      <w:rPr>
        <w:rFonts w:ascii="Times New Roman" w:cs="Traditional Arabic" w:hAnsi="Times New Roman"/>
        <w:color w:val="777777"/>
        <w:sz w:val="18"/>
        <w:szCs w:val="22"/>
        <w:rtl/>
      </w:rPr>
      <w:t xml:space="preserve">وثيقة تحليل النظام</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BBBB" w:sz="4"/>
      </w:pBdr>
      <w:spacing w:after="60"/>
      <w:jc w:val="center"/>
    </w:pPr>
    <w:r>
      <w:rPr>
        <w:rFonts w:ascii="Times New Roman" w:eastAsia="Times New Roman" w:hAnsi="Times New Roman"/>
        <w:color w:val="777777"/>
        <w:sz w:val="18"/>
        <w:szCs w:val="18"/>
      </w:rPr>
      <w:t xml:space="preserve">AI-COS — Agentic Business OS</w:t>
    </w:r>
    <w:r>
      <w:rPr>
        <w:rFonts w:ascii="Times New Roman" w:eastAsia="Times New Roman" w:hAnsi="Times New Roman"/>
        <w:color w:val="AAAAAA"/>
        <w:sz w:val="18"/>
        <w:szCs w:val="18"/>
      </w:rPr>
      <w:t xml:space="preserve">  |  </w:t>
    </w:r>
    <w:r>
      <w:rPr>
        <w:rFonts w:ascii="Times New Roman" w:cs="Traditional Arabic" w:hAnsi="Times New Roman"/>
        <w:color w:val="777777"/>
        <w:sz w:val="18"/>
        <w:szCs w:val="22"/>
        <w:rtl/>
      </w:rPr>
      <w:t xml:space="preserve">وثيقة تحليل النظام</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raditional Arabic" w:hAnsi="Times New Roma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line="340"/>
      <w:outlineLvl w:val="0"/>
    </w:pPr>
    <w:rPr>
      <w:rFonts w:ascii="Times New Roman" w:cs="Simplified Arabic"/>
      <w:b/>
      <w:bCs/>
      <w:color w:val="1F3A5F"/>
      <w:sz w:val="32"/>
      <w:szCs w:val="32"/>
    </w:rPr>
  </w:style>
  <w:style w:type="paragraph" w:styleId="Heading2">
    <w:name w:val="Heading 2"/>
    <w:basedOn w:val="Normal"/>
    <w:next w:val="Normal"/>
    <w:qFormat/>
    <w:pPr>
      <w:spacing w:after="140" w:before="300" w:line="320"/>
      <w:outlineLvl w:val="1"/>
    </w:pPr>
    <w:rPr>
      <w:rFonts w:ascii="Times New Roman" w:cs="Simplified Arabic"/>
      <w:b/>
      <w:bCs/>
      <w:color w:val="1F3A5F"/>
      <w:sz w:val="28"/>
      <w:szCs w:val="28"/>
    </w:rPr>
  </w:style>
  <w:style w:type="paragraph" w:styleId="Heading3">
    <w:name w:val="Heading 3"/>
    <w:basedOn w:val="Normal"/>
    <w:next w:val="Normal"/>
    <w:qFormat/>
    <w:pPr>
      <w:spacing w:after="110" w:before="220" w:line="310"/>
      <w:outlineLvl w:val="2"/>
    </w:pPr>
    <w:rPr>
      <w:rFonts w:ascii="Times New Roman" w:cs="Simplified Arabic"/>
      <w:b/>
      <w:bCs/>
      <w:color w:val="222222"/>
      <w:sz w:val="26"/>
      <w:szCs w:val="26"/>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6a21980cf202d6bea81b5a0039c48179f9e0f222.png"/><Relationship Id="rId12" Type="http://schemas.openxmlformats.org/officeDocument/2006/relationships/image" Target="media/f2ec68647083d92f1eeff6b6a5a5db05117a1a02.png"/><Relationship Id="rId13" Type="http://schemas.openxmlformats.org/officeDocument/2006/relationships/image" Target="media/3e47248ba0af340503d663590d571d5c7fd4edb1.png"/><Relationship Id="rId14" Type="http://schemas.openxmlformats.org/officeDocument/2006/relationships/image" Target="media/fee6034702a27de5cf6f056e0901ac32c06d1f32.png"/><Relationship Id="rId15" Type="http://schemas.openxmlformats.org/officeDocument/2006/relationships/image" Target="media/b4c28e1fbfb9549aa296d01fbe10ab22b8aadd9b.png"/><Relationship Id="rId16" Type="http://schemas.openxmlformats.org/officeDocument/2006/relationships/image" Target="media/b4819f48af0a2ef559ebf6408ce77cb066ca7f76.png"/><Relationship Id="rId17" Type="http://schemas.openxmlformats.org/officeDocument/2006/relationships/image" Target="media/10d65cb3138f57e23677d8bff237c5f260003494.png"/><Relationship Id="rId18" Type="http://schemas.openxmlformats.org/officeDocument/2006/relationships/image" Target="media/03cc1cf2fdf5a5b52c94327e43af5b374a0af68f.png"/><Relationship Id="rId19" Type="http://schemas.openxmlformats.org/officeDocument/2006/relationships/image" Target="media/5dc909aa36dcb715672993e0633d6f57e57015f9.png"/><Relationship Id="rId20" Type="http://schemas.openxmlformats.org/officeDocument/2006/relationships/image" Target="media/b4d1ef0ec06db147b877e7cc60db60f490c95269.png"/><Relationship Id="rId21" Type="http://schemas.openxmlformats.org/officeDocument/2006/relationships/image" Target="media/e43dc3bb3aa97c1c4bb625995995492ede5ee6d4.png"/><Relationship Id="rId22" Type="http://schemas.openxmlformats.org/officeDocument/2006/relationships/image" Target="media/742863aba87e271eb107be06db089a499750630d.png"/><Relationship Id="rId23" Type="http://schemas.openxmlformats.org/officeDocument/2006/relationships/image" Target="media/3471b5286b47f397a74f06f13fcb294ec8d58c6b.png"/><Relationship Id="rId24" Type="http://schemas.openxmlformats.org/officeDocument/2006/relationships/image" Target="media/ef58b0dbd99aea1d8c395f1b7885dcc6fc73ce94.png"/><Relationship Id="rId25" Type="http://schemas.openxmlformats.org/officeDocument/2006/relationships/image" Target="media/96f5be328b78a510b39a83532549448617b25850.png"/><Relationship Id="rId26" Type="http://schemas.openxmlformats.org/officeDocument/2006/relationships/image" Target="media/68eca348b5d161004e8aa83003dc9835bc84dc59.png"/><Relationship Id="rId27" Type="http://schemas.openxmlformats.org/officeDocument/2006/relationships/image" Target="media/b332fd9c68f87633fb7a00b40819b1ba5d23eb02.pn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AI-COS System Analysis Document</dc:title>
  <dc:creator>AI-COS Team — BIS Port Said University</dc:creator>
  <dc:description>Academic System Analysis for AI-COS Agentic Business Operating System</dc:description>
  <cp:lastModifiedBy>Un-named</cp:lastModifiedBy>
  <cp:revision>1</cp:revision>
  <dcterms:created xsi:type="dcterms:W3CDTF">2026-09-26T23:20:20.470Z</dcterms:created>
  <dcterms:modified xsi:type="dcterms:W3CDTF">2026-09-26T23:20:20.471Z</dcterms:modified>
</cp:coreProperties>
</file>

<file path=docProps/custom.xml><?xml version="1.0" encoding="utf-8"?>
<Properties xmlns="http://schemas.openxmlformats.org/officeDocument/2006/custom-properties" xmlns:vt="http://schemas.openxmlformats.org/officeDocument/2006/docPropsVTypes"/>
</file>