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0" w:before="1400" w:line="46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40"/>
          <w:szCs w:val="40"/>
          <w:rtl/>
        </w:rPr>
        <w:t xml:space="preserve">تقرير التحسينات النهائية</w:t>
      </w:r>
    </w:p>
    <w:p>
      <w:pPr>
        <w:bidi/>
        <w:spacing w:after="900" w:before="0" w:line="345" w:lineRule="atLeast"/>
        <w:jc w:val="center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30"/>
          <w:szCs w:val="30"/>
          <w:rtl/>
        </w:rPr>
        <w:t xml:space="preserve">تحليل النظام الهجين وعتبات الثقة — وحزمة المراجعة المستقلة</w:t>
      </w:r>
    </w:p>
    <w:p>
      <w:pPr>
        <w:bidi/>
        <w:spacing w:after="100" w:before="300" w:line="299" w:lineRule="atLeast"/>
        <w:jc w:val="center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6"/>
          <w:szCs w:val="26"/>
          <w:rtl/>
        </w:rPr>
        <w:t xml:space="preserve">مشروع: فرز المخلفات بالذكاء الاصطناعي — MobileNetV2 مقابل Gemini Vision</w:t>
      </w:r>
    </w:p>
    <w:p>
      <w:pPr>
        <w:bidi/>
        <w:spacing w:after="1300" w:before="0" w:line="276" w:lineRule="atLeast"/>
        <w:jc w:val="center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4"/>
          <w:szCs w:val="24"/>
          <w:rtl/>
        </w:rPr>
        <w:t xml:space="preserve">(ملحق تقني لمسابقة بحث: تدوير المخلفات وإعادة استخدامها)</w:t>
      </w:r>
    </w:p>
    <w:p>
      <w:pPr>
        <w:bidi/>
        <w:spacing w:after="120" w:before="600" w:line="322" w:lineRule="atLeast"/>
        <w:jc w:val="center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إعداد الطالبة: [الاسم الثلاثي]</w:t>
      </w:r>
    </w:p>
    <w:p>
      <w:pPr>
        <w:bidi/>
        <w:spacing w:after="0" w:before="0" w:line="322" w:lineRule="atLeast"/>
        <w:jc w:val="center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أكتوبر 2026</w:t>
      </w:r>
    </w:p>
    <w:p>
      <w:pPr>
        <w:sectPr>
          <w:pgSz w:w="11906" w:h="16838" w:orient="portrait"/>
          <w:pgMar w:top="1440" w:right="1417" w:bottom="1440" w:left="1701" w:header="850" w:footer="992" w:gutter="0"/>
          <w:pgNumType/>
          <w:titlePg/>
          <w:docGrid w:linePitch="360"/>
        </w:sectPr>
      </w:pPr>
    </w:p>
    <w:p>
      <w:pPr>
        <w:pStyle w:val="Heading1"/>
        <w:bidi/>
        <w:spacing w:after="220" w:before="380" w:line="38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4"/>
          <w:szCs w:val="34"/>
          <w:rtl/>
        </w:rPr>
        <w:t xml:space="preserve">ملخص تنفيذي</w:t>
      </w:r>
    </w:p>
    <w:p>
      <w:pPr>
        <w:bidi/>
        <w:spacing w:after="60" w:line="330"/>
        <w:ind w:firstLine="48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بناءً على طلب مراجعة نقاط الضعف المحتملة، نُفذت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أربعة تحسينات كاملة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باستخدام البيانات الحقيقية الموجودة فقط — من دون أي طلب جديد لـ Gemini أو أي أرقام مصنعة: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1.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تحليل النظام الهجين الحقيقي: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سياسة «MobileNet محليًا أولًا، تصعيد لـ Gemini عند الثقة المنخفضة» حُسبت فعليًا على الـ125 صورة من ملفي التنبؤات الموجودين.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2.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تحليل معايرة الثقة: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هل ثقة MobileNet تميز الإجابة الصحيحة من الخاطئة على الصور غير المقيدة؟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3.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المرئيات الجديدة: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شكل سلسلة القيمة (ربط البحث بموضوع المسابقة) + مخطط المفاضلة (دقة/زمن/خصوصية).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4.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حزمة المراجعة الثانية: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بروتوكول مراجعة عمياء كامل جاهز للتنفيذ (125 صورة مرقمة بترتيب مخلوط + ورقة قرارات + تعريفات الفئات).</w:t>
      </w:r>
    </w:p>
    <w:p>
      <w:pPr>
        <w:bidi/>
        <w:spacing w:after="60" w:line="330"/>
        <w:ind w:firstLine="480"/>
        <w:jc w:val="both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والبندين المعلقين موثقين بأدواتهما الجاهزة: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المراجعة الثانية (تنتظر مُقيّمًا بشريًا — والبروتوكول جاهز) والاستبيان المصغر (النموذج جاهز والتنفيذ يتطلب وصولًا للطلاب).</w:t>
      </w:r>
    </w:p>
    <w:p>
      <w:pPr>
        <w:pStyle w:val="Heading1"/>
        <w:bidi/>
        <w:spacing w:after="220" w:before="380" w:line="38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4"/>
          <w:szCs w:val="34"/>
          <w:rtl/>
        </w:rPr>
        <w:t xml:space="preserve">1) تحليل الثقة والنظام الهجين الحقيقي</w:t>
      </w:r>
    </w:p>
    <w:p>
      <w:pPr>
        <w:pStyle w:val="Heading2"/>
        <w:bidi/>
        <w:spacing w:after="160" w:before="280" w:line="360" w:lineRule="atLeast"/>
        <w:jc w:val="right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0"/>
          <w:szCs w:val="30"/>
          <w:rtl/>
        </w:rPr>
        <w:t xml:space="preserve">1-1 المنهج والسياسة المحسومة مسبقًا</w:t>
      </w:r>
    </w:p>
    <w:p>
      <w:pPr>
        <w:bidi/>
        <w:spacing w:after="60" w:line="330"/>
        <w:ind w:firstLine="48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السياسة: إذا كانت ثقة MobileNet في توقعها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≥ T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تُقبل الإجابة محليًا؛ وإلا تُصعَّد الصورة إلى Gemini وتُستخدم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إجابة Gemini الحقيقية المسجلة في التجربة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(results/webset/predictions_gemini_webset.csv). لا محاكاة مصنعة ولا طلبات جديدة — ربط مباشر بين ملفي التنبؤات الفعليين على نفس الـ125 صورة (تحقق التغطية والوسوم قبل الحساب).</w:t>
      </w:r>
    </w:p>
    <w:p>
      <w:pPr>
        <w:pStyle w:val="Heading2"/>
        <w:bidi/>
        <w:spacing w:after="160" w:before="280" w:line="360" w:lineRule="atLeast"/>
        <w:jc w:val="right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0"/>
          <w:szCs w:val="30"/>
          <w:rtl/>
        </w:rPr>
        <w:t xml:space="preserve">1-2 النتائج الفعلية عند كل عتبة</w:t>
      </w:r>
    </w:p>
    <w:tbl>
      <w:tblPr>
        <w:bidiVisual/>
        <w:tblW w:type="pct" w:w="5000"/>
        <w:tblBorders>
          <w:top w:val="single" w:color="000000" w:sz="6"/>
          <w:left w:val="none"/>
          <w:bottom w:val="single" w:color="000000" w:sz="6"/>
          <w:right w:val="none"/>
          <w:insideH w:val="none"/>
          <w:insideV w:val="none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العتبة T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تصعيد لـ Gemini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نسبة التصعيد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دقة النظام الهجين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45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36.0%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0.5520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63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50.4%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0.6640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73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58.4%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0.7200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0.80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89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71.2%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0.7760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0.90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102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81.6%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0.8160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0.95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111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88.8%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0.8480</w:t>
            </w: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 (الأفضل)</w:t>
            </w:r>
          </w:p>
        </w:tc>
      </w:tr>
    </w:tbl>
    <w:p>
      <w:pPr>
        <w:spacing w:after="120"/>
      </w:pPr>
    </w:p>
    <w:p>
      <w:pPr>
        <w:bidi/>
        <w:spacing w:after="60" w:line="330"/>
        <w:ind w:firstLine="48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للمرجعية: MobileNet وحده = 0.3200 — Gemini وحده = 0.8880.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04825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line="300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333333"/>
          <w:sz w:val="22"/>
          <w:szCs w:val="22"/>
          <w:rtl/>
        </w:rPr>
        <w:t xml:space="preserve">شكل (1-1): منحنى سياسة التصعيد مقابل العتبتين المرجعيتين</w:t>
      </w:r>
    </w:p>
    <w:p>
      <w:pPr>
        <w:pStyle w:val="Heading2"/>
        <w:bidi/>
        <w:spacing w:after="160" w:before="280" w:line="360" w:lineRule="atLeast"/>
        <w:jc w:val="right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0"/>
          <w:szCs w:val="30"/>
          <w:rtl/>
        </w:rPr>
        <w:t xml:space="preserve">1-3 معايرة الثقة: هل الثقة تميز الصحيح من الخاطئ؟</w:t>
      </w:r>
    </w:p>
    <w:tbl>
      <w:tblPr>
        <w:bidiVisual/>
        <w:tblW w:type="pct" w:w="5000"/>
        <w:tblBorders>
          <w:top w:val="single" w:color="000000" w:sz="6"/>
          <w:left w:val="none"/>
          <w:bottom w:val="single" w:color="000000" w:sz="6"/>
          <w:right w:val="none"/>
          <w:insideH w:val="none"/>
          <w:insideV w:val="none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المؤشر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القيمة الفعلية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متوسط الثقة عندما يكون التوقع 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صحيحًا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0.7190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متوسط الثقة عندما يكون التوقع </w:t>
            </w: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خاطئًا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0.5971</w:t>
            </w:r>
          </w:p>
        </w:tc>
      </w:tr>
    </w:tbl>
    <w:p>
      <w:pPr>
        <w:spacing w:after="120"/>
      </w:pPr>
    </w:p>
    <w:tbl>
      <w:tblPr>
        <w:bidiVisual/>
        <w:tblW w:type="pct" w:w="5000"/>
        <w:tblBorders>
          <w:top w:val="single" w:color="000000" w:sz="6"/>
          <w:left w:val="none"/>
          <w:bottom w:val="single" w:color="000000" w:sz="6"/>
          <w:right w:val="none"/>
          <w:insideH w:val="none"/>
          <w:insideV w:val="none"/>
        </w:tblBorders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شريحة الثقة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عدد الصور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الدقة الفعلية داخل الشريحة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0.50 – 0.70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0.1786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0.70 – 0.85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23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0.3913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0.85 – 0.95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0.3333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0.95 – 1.00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0.6429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5048250" cy="3609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line="300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333333"/>
          <w:sz w:val="22"/>
          <w:szCs w:val="22"/>
          <w:rtl/>
        </w:rPr>
        <w:t xml:space="preserve">شكل (1-2): معايرة الثقة</w:t>
      </w:r>
    </w:p>
    <w:p>
      <w:pPr>
        <w:pStyle w:val="Heading2"/>
        <w:bidi/>
        <w:spacing w:after="160" w:before="280" w:line="360" w:lineRule="atLeast"/>
        <w:jc w:val="right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0"/>
          <w:szCs w:val="30"/>
          <w:rtl/>
        </w:rPr>
        <w:t xml:space="preserve">1-4 التفصيل عند أفضل عتبة (T = 0.95)</w:t>
      </w:r>
    </w:p>
    <w:tbl>
      <w:tblPr>
        <w:bidiVisual/>
        <w:tblW w:type="pct" w:w="5000"/>
        <w:tblBorders>
          <w:top w:val="single" w:color="000000" w:sz="6"/>
          <w:left w:val="none"/>
          <w:bottom w:val="single" w:color="000000" w:sz="6"/>
          <w:right w:val="none"/>
          <w:insideH w:val="none"/>
          <w:insideV w:val="none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المجموعة الفرعية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العدد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MobileNet وحده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النظام الهجين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مشاهد مفردة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44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0.3864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0.9091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مشاهد مزدحمة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81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0.2840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0.8148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مواد عادية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111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0.3333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0.8468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مواد شفافة صعبة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0.2143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0.8571</w:t>
            </w:r>
          </w:p>
        </w:tc>
      </w:tr>
    </w:tbl>
    <w:p>
      <w:pPr>
        <w:spacing w:after="120"/>
      </w:pPr>
    </w:p>
    <w:p>
      <w:pPr>
        <w:pStyle w:val="Heading2"/>
        <w:bidi/>
        <w:spacing w:after="160" w:before="280" w:line="360" w:lineRule="atLeast"/>
        <w:jc w:val="right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0"/>
          <w:szCs w:val="30"/>
          <w:rtl/>
        </w:rPr>
        <w:t xml:space="preserve">1-5 القراءة الصادقة للنتائج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1.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النظام الهجين يضاعف الدقة تقريبًا: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من 32.00% إلى 77.6% عند عتبة 0.80 — التحسين حقيقي ومقاس.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2.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لكنه لا يبلغ Gemini وحده (88.80%) مهما رفعت العتبة: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حتى مع تصعيد 88.8% من الصور، الدقة القصوى 84.80%. السبب أن إجابات MobileNet «الواثقة» على الصور غير المقيدة أدق من العشوائية لكنها أدنى من Gemini — فكل صورة تُقبل محليًا تنقص الدقة قليلًا.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3.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الثقة ضعيفة المعايرة وغير رتيبة: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شريحة 0.85–0.95 أعطت دقة 0.3333 —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أدنى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من شريحة 0.70–0.85 (0.3913). أي أن الاعتماد على الثقة كمؤشر صحة غير موثوق خارج توزيع التدريب، والفروقات بين الشرائح الوسطى ليست اتجاهًا ثابتًا.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4.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الخلاصة العملية: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لا يصح استخدام ثقة نموذج خارج نطاق تدريبه كآلية قرار تصعيد؛ النشر الواقعي إما خدمة سحابية كاملة (88.8% بدقة أعلى وكلفة سحابية) أو إعادة تدريب النموذج الخفيف على بيانات واقعية (المسار الموثق في الأعمال المستقبلية) — وأدوات هذا التحليل نفسها ستقيس التحسن بعد أي إعادة تدريب.</w:t>
      </w:r>
    </w:p>
    <w:p>
      <w:pPr>
        <w:pStyle w:val="Heading1"/>
        <w:bidi/>
        <w:spacing w:after="220" w:before="380" w:line="38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4"/>
          <w:szCs w:val="34"/>
          <w:rtl/>
        </w:rPr>
        <w:t xml:space="preserve">2) المرئيات الجديدة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048250" cy="1143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line="300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333333"/>
          <w:sz w:val="22"/>
          <w:szCs w:val="22"/>
          <w:rtl/>
        </w:rPr>
        <w:t xml:space="preserve">شكل (2-1): سلسلة القيمة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048250" cy="20669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line="300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333333"/>
          <w:sz w:val="22"/>
          <w:szCs w:val="22"/>
          <w:rtl/>
        </w:rPr>
        <w:t xml:space="preserve">شكل (2-2): المفاضلة الفعلية</w:t>
      </w:r>
    </w:p>
    <w:p>
      <w:pPr>
        <w:bidi/>
        <w:spacing w:after="60" w:line="330"/>
        <w:ind w:firstLine="48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الشكلان مقترح إدراجهما في الفصلين الرابع والسابع عند اعتماد النسخة النهائية المطبوعة.</w:t>
      </w:r>
    </w:p>
    <w:p>
      <w:pPr>
        <w:pStyle w:val="Heading1"/>
        <w:bidi/>
        <w:spacing w:after="220" w:before="380" w:line="38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4"/>
          <w:szCs w:val="34"/>
          <w:rtl/>
        </w:rPr>
        <w:t xml:space="preserve">3) حزمة المراجعة الثانية (جاهزة للتنفيذ)</w:t>
      </w:r>
    </w:p>
    <w:p>
      <w:pPr>
        <w:bidi/>
        <w:spacing w:after="60" w:line="330"/>
        <w:ind w:firstLine="48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البروتوكول الكامل في docs/second_reviewer_protocol.md: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125 صورة مرقمة R001–R125 بترتيب مخلوط (seed=42) وبلا أي تسمية ظاهرة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— 7 أوراق معاينة عمياء + ورقة قرارات فارغة. يراجع شخص مختلف عن المُسمّي الأساسي بتعريفات الفئات الست، ثم يُحسب الاتفاق الخام وCohen's Kappa ويُدرج في موثوقية الوسوم. المطلوب: 45–60 دقيقة من مراجع بشري واحد.</w:t>
      </w:r>
    </w:p>
    <w:p>
      <w:pPr>
        <w:pStyle w:val="Heading1"/>
        <w:bidi/>
        <w:spacing w:after="220" w:before="380" w:line="38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4"/>
          <w:szCs w:val="34"/>
          <w:rtl/>
        </w:rPr>
        <w:t xml:space="preserve">4) الاستبيان المصغر (جاهز للنشر)</w:t>
      </w:r>
    </w:p>
    <w:p>
      <w:pPr>
        <w:bidi/>
        <w:spacing w:after="60" w:line="330"/>
        <w:ind w:firstLine="48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ستة أسئلة جاهزة للصق في Google Forms في docs/mini_survey.md — مجهول الهوية، أقل من دقيقة للتعبئة، بتصريح صريح بأنها عينة ملائمة من 15–30 طالبًا لسياق الفرز الجامعي. التحليل الوصفي (نسب + رسوم) يُنفذ آليًا بعد إغلاق النموذج.</w:t>
      </w:r>
    </w:p>
    <w:p>
      <w:pPr>
        <w:pStyle w:val="Heading1"/>
        <w:bidi/>
        <w:spacing w:after="220" w:before="380" w:line="38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4"/>
          <w:szCs w:val="34"/>
          <w:rtl/>
        </w:rPr>
        <w:t xml:space="preserve">5) الملفات المضافة والمعدلة</w:t>
      </w:r>
    </w:p>
    <w:tbl>
      <w:tblPr>
        <w:bidiVisual/>
        <w:tblW w:type="pct" w:w="5000"/>
        <w:tblBorders>
          <w:top w:val="single" w:color="000000" w:sz="6"/>
          <w:left w:val="none"/>
          <w:bottom w:val="single" w:color="000000" w:sz="6"/>
          <w:right w:val="none"/>
          <w:insideH w:val="none"/>
          <w:insideV w:val="none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الملف</w:t>
            </w:r>
          </w:p>
        </w:tc>
        <w:tc>
          <w:tcPr>
            <w:tcBorders>
              <w:top w:val="none"/>
              <w:left w:val="none"/>
              <w:bottom w:val="single" w:color="000000" w:sz="3"/>
              <w:right w:val="none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النوع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scripts/analyze_hybrid.py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جديد — تحليل الهجين والمعايرة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results/webset/hybrid_analysis.json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جديد — النتائج الفعلية الكاملة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charts/hybrid_policy_curve.png + charts/confidence_calibration.png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جديد — رسوم التحليل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scripts/make_figures.py + charts/topic_chain.png + charts/tradeoff.png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جديد — المرئيات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docs/second_reviewer_protocol.md + review_web/blind/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جديد — حزمة المُقيّم الثاني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docs/mini_survey.md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جديد — الاستبيان المصغر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تقرير_التحسينات.docx / .pdf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جديد — هذا التقرير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بحث_فرز_المخلفات_بالذكاء_الاصطناعي.docx/pdf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line="300"/>
              <w:jc w:val="center"/>
            </w:pPr>
            <w:r>
              <w:rPr>
                <w:rFonts w:ascii="Times New Roman" w:cs="Traditional Arabic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لم يُعدل</w:t>
            </w:r>
            <w:r>
              <w:rPr>
                <w:rFonts w:ascii="Times New Roman" w:cs="Traditional Arabic" w:eastAsia="Times New Roman" w:hAnsi="Times New Roman"/>
                <w:b w:val="false"/>
                <w:i w:val="false"/>
                <w:iCs w:val="false"/>
                <w:color w:val="000000"/>
                <w:sz w:val="24"/>
                <w:szCs w:val="24"/>
                <w:rtl/>
              </w:rPr>
              <w:t xml:space="preserve"> — إدراج نتائج الهجين فيه ينتظر قرار الاعتماد</w:t>
            </w:r>
          </w:p>
        </w:tc>
      </w:tr>
    </w:tbl>
    <w:p>
      <w:pPr>
        <w:spacing w:after="120"/>
      </w:pPr>
    </w:p>
    <w:p>
      <w:pPr>
        <w:pStyle w:val="Heading1"/>
        <w:bidi/>
        <w:spacing w:after="220" w:before="380" w:line="380" w:lineRule="atLeast"/>
        <w:jc w:val="center"/>
      </w:pP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34"/>
          <w:szCs w:val="34"/>
          <w:rtl/>
        </w:rPr>
        <w:t xml:space="preserve">6) ما لم يُنفذ ولماذا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1.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المراجعة الثانية: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تتطلب شخصًا بشريًا مختلفًا عن المُسمّي الأساسي — البروتوكول والمواد جاهزة والمتبقي 45–60 دقيقة مراجعة.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2.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جمع ردود الاستبيان: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يتطلب توزيع النموذج على طلاب حقيقيين — النموذج جاهز.</w:t>
      </w:r>
    </w:p>
    <w:p>
      <w:pPr>
        <w:bidi/>
        <w:spacing w:after="60" w:line="330"/>
        <w:jc w:val="both"/>
      </w:pP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3. </w:t>
      </w:r>
      <w:r>
        <w:rPr>
          <w:rFonts w:ascii="Times New Roman" w:cs="Traditional Arabic" w:eastAsia="Times New Roman" w:hAnsi="Times New Roman"/>
          <w:b/>
          <w:bCs/>
          <w:i w:val="false"/>
          <w:iCs w:val="false"/>
          <w:color w:val="000000"/>
          <w:sz w:val="28"/>
          <w:szCs w:val="28"/>
          <w:rtl/>
        </w:rPr>
        <w:t xml:space="preserve">إدراج النظام الهجين في متن البحث:</w:t>
      </w:r>
      <w:r>
        <w:rPr>
          <w:rFonts w:ascii="Times New Roman" w:cs="Traditional Arabic" w:eastAsia="Times New Roman" w:hAnsi="Times New Roman"/>
          <w:b w:val="false"/>
          <w:i w:val="false"/>
          <w:iCs w:val="false"/>
          <w:color w:val="000000"/>
          <w:sz w:val="28"/>
          <w:szCs w:val="28"/>
          <w:rtl/>
        </w:rPr>
        <w:t xml:space="preserve"> مؤجل لقرار الاعتماد بعد عرض النتائج الحقيقية أعلاه — النتيجتان (تحسن كبير + ثقة غير موثوقة) مفيدتان علميًا أياً كان القرار.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raditional Arabic" w:eastAsia="Times New Roman" w:hAnsi="Times New Roman"/>
        <w:sz w:val="21"/>
        <w:szCs w:val="21"/>
      </w:rPr>
      <w:t xml:space="preserve">- </w:t>
    </w:r>
    <w:r>
      <w:rPr>
        <w:rFonts w:ascii="Times New Roman" w:cs="Traditional Arabic" w:eastAsia="Times New Roman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raditional Arabic" w:eastAsia="Times New Roma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2"/>
      </w:pBdr>
      <w:bidi/>
      <w:jc w:val="center"/>
    </w:pPr>
    <w:r>
      <w:rPr>
        <w:rFonts w:ascii="Times New Roman" w:cs="Traditional Arabic" w:eastAsia="Times New Roman" w:hAnsi="Times New Roman"/>
        <w:b w:val="false"/>
        <w:i w:val="false"/>
        <w:iCs w:val="false"/>
        <w:color w:val="333333"/>
        <w:sz w:val="18"/>
        <w:szCs w:val="18"/>
        <w:rtl/>
      </w:rPr>
      <w:t xml:space="preserve">فرز المخلفات بالذكاء الاصطناعي — دراسة تجريبية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raditional Arabic" w:eastAsia="Times New Roman" w:hAnsi="Times New Roman"/>
        <w:color w:val="000000"/>
        <w:sz w:val="28"/>
        <w:szCs w:val="28"/>
      </w:rPr>
    </w:rPrDefault>
    <w:pPrDefault>
      <w:pPr>
        <w:spacing w:line="33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00" w:before="480" w:line="400"/>
      <w:jc w:val="center"/>
    </w:pPr>
    <w:rPr>
      <w:rFonts w:ascii="Times New Roman" w:cs="Traditional Arabic" w:eastAsia="Times New Roman" w:hAnsi="Times New Roman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200" w:before="360" w:line="380"/>
    </w:pPr>
    <w:rPr>
      <w:rFonts w:ascii="Times New Roman" w:cs="Traditional Arabic" w:eastAsia="Times New Roman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40" w:line="360"/>
    </w:pPr>
    <w:rPr>
      <w:rFonts w:ascii="Times New Roman" w:cs="Traditional Arabic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d93ffe45643f65cfcf0d9b52ca938f83f8b2b84.png"/><Relationship Id="rId10" Type="http://schemas.openxmlformats.org/officeDocument/2006/relationships/image" Target="media/510c94ec93f5092c0f37c5787e36d51a3711c571.png"/><Relationship Id="rId11" Type="http://schemas.openxmlformats.org/officeDocument/2006/relationships/image" Target="media/43f71708ade5117b5baea12536f095152a1546af.png"/><Relationship Id="rId12" Type="http://schemas.openxmlformats.org/officeDocument/2006/relationships/image" Target="media/18f3bdb8bcdbfa1b9982e3fc7068b6b186d7489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2026-10-04T20:55:32.807Z</dcterms:created>
  <dcterms:modified xsi:type="dcterms:W3CDTF">2026-10-04T20:55:32.807Z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