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jc w:val="center"/>
        <w:rPr>
          <w:b/>
          <w:bCs/>
          <w:sz w:val="32"/>
          <w:szCs w:val="32"/>
          <w:u w:val="single"/>
        </w:rPr>
      </w:pPr>
      <w:r>
        <w:rPr>
          <w:b/>
          <w:bCs/>
          <w:sz w:val="32"/>
          <w:szCs w:val="32"/>
          <w:u w:val="single"/>
        </w:rPr>
        <w:t>KPI Datasheet</w:t>
      </w:r>
    </w:p>
    <w:p>
      <w:pPr>
        <w:pStyle w:val="Normal"/>
        <w:spacing w:before="0" w:after="0"/>
        <w:jc w:val="center"/>
        <w:rPr>
          <w:b/>
          <w:bCs/>
          <w:sz w:val="28"/>
          <w:szCs w:val="28"/>
          <w:u w:val="single"/>
        </w:rPr>
      </w:pPr>
      <w:r>
        <w:rPr>
          <w:b/>
          <w:bCs/>
          <w:sz w:val="28"/>
          <w:szCs w:val="28"/>
          <w:u w:val="single"/>
        </w:rPr>
        <w:t xml:space="preserve">Distribution Division </w:t>
      </w:r>
      <w:r>
        <w:rPr>
          <w:b/>
          <w:bCs/>
          <w:color w:val="000000"/>
          <w:sz w:val="28"/>
          <w:szCs w:val="28"/>
          <w:u w:val="single"/>
        </w:rPr>
        <w:t xml:space="preserve">03 </w:t>
      </w:r>
      <w:r>
        <w:rPr>
          <w:b/>
          <w:bCs/>
          <w:sz w:val="28"/>
          <w:szCs w:val="28"/>
          <w:u w:val="single"/>
        </w:rPr>
        <w:t>BSC</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826"/>
        <w:gridCol w:w="642"/>
        <w:gridCol w:w="1812"/>
        <w:gridCol w:w="5295"/>
      </w:tblGrid>
      <w:tr>
        <w:trPr>
          <w:cantSplit w:val="false"/>
        </w:trPr>
        <w:tc>
          <w:tcPr>
            <w:tcW w:w="18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6D9F1" w:val="clear"/>
            <w:tcMar>
              <w:left w:w="108" w:type="dxa"/>
            </w:tcMar>
          </w:tcPr>
          <w:p>
            <w:pPr>
              <w:pStyle w:val="Normal"/>
              <w:spacing w:before="0" w:after="0"/>
              <w:rPr>
                <w:b/>
                <w:bCs/>
              </w:rPr>
            </w:pPr>
            <w:r>
              <w:rPr>
                <w:b/>
                <w:bCs/>
              </w:rPr>
              <w:t>KPI Short Code</w:t>
            </w:r>
          </w:p>
        </w:tc>
        <w:tc>
          <w:tcPr>
            <w:tcW w:w="6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6D9F1" w:val="clear"/>
            <w:tcMar>
              <w:left w:w="108" w:type="dxa"/>
            </w:tcMar>
          </w:tcPr>
          <w:p>
            <w:pPr>
              <w:pStyle w:val="Normal"/>
              <w:spacing w:before="0" w:after="0"/>
              <w:rPr/>
            </w:pPr>
            <w:r>
              <w:rPr/>
              <w:t>F2</w:t>
            </w:r>
          </w:p>
        </w:tc>
        <w:tc>
          <w:tcPr>
            <w:tcW w:w="18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6D9F1" w:val="clear"/>
            <w:tcMar>
              <w:left w:w="108" w:type="dxa"/>
            </w:tcMar>
          </w:tcPr>
          <w:p>
            <w:pPr>
              <w:pStyle w:val="Normal"/>
              <w:spacing w:before="0" w:after="0"/>
              <w:rPr>
                <w:b/>
                <w:bCs/>
              </w:rPr>
            </w:pPr>
            <w:r>
              <w:rPr>
                <w:b/>
                <w:bCs/>
              </w:rPr>
              <w:t>KPI Short Name</w:t>
            </w:r>
          </w:p>
        </w:tc>
        <w:tc>
          <w:tcPr>
            <w:tcW w:w="52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6D9F1" w:val="clear"/>
            <w:tcMar>
              <w:left w:w="108" w:type="dxa"/>
            </w:tcMar>
          </w:tcPr>
          <w:p>
            <w:pPr>
              <w:pStyle w:val="Normal"/>
              <w:spacing w:before="0" w:after="0"/>
              <w:rPr/>
            </w:pPr>
            <w:r>
              <w:rPr/>
              <w:t>Debtors Period</w:t>
            </w:r>
          </w:p>
        </w:tc>
      </w:tr>
    </w:tbl>
    <w:p>
      <w:pPr>
        <w:pStyle w:val="Normal"/>
        <w:rPr/>
      </w:pPr>
      <w:r>
        <w:rPr/>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1547"/>
        <w:gridCol w:w="450"/>
        <w:gridCol w:w="640"/>
        <w:gridCol w:w="1249"/>
        <w:gridCol w:w="1620"/>
        <w:gridCol w:w="539"/>
        <w:gridCol w:w="720"/>
        <w:gridCol w:w="1358"/>
      </w:tblGrid>
      <w:tr>
        <w:trPr>
          <w:cantSplit w:val="false"/>
        </w:trPr>
        <w:tc>
          <w:tcPr>
            <w:tcW w:w="154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Amendment #</w:t>
            </w:r>
          </w:p>
        </w:tc>
        <w:tc>
          <w:tcPr>
            <w:tcW w:w="450"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0</w:t>
            </w:r>
          </w:p>
        </w:tc>
        <w:tc>
          <w:tcPr>
            <w:tcW w:w="640"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Date</w:t>
            </w:r>
          </w:p>
        </w:tc>
        <w:tc>
          <w:tcPr>
            <w:tcW w:w="124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2015-5-18</w:t>
            </w:r>
          </w:p>
        </w:tc>
        <w:tc>
          <w:tcPr>
            <w:tcW w:w="1620"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Amendment #</w:t>
            </w:r>
          </w:p>
        </w:tc>
        <w:tc>
          <w:tcPr>
            <w:tcW w:w="53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r>
          </w:p>
        </w:tc>
        <w:tc>
          <w:tcPr>
            <w:tcW w:w="720"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Date</w:t>
            </w:r>
          </w:p>
        </w:tc>
        <w:tc>
          <w:tcPr>
            <w:tcW w:w="1358"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r>
          </w:p>
        </w:tc>
      </w:tr>
      <w:tr>
        <w:trPr>
          <w:cantSplit w:val="false"/>
        </w:trPr>
        <w:tc>
          <w:tcPr>
            <w:tcW w:w="154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Amendment #</w:t>
            </w:r>
          </w:p>
        </w:tc>
        <w:tc>
          <w:tcPr>
            <w:tcW w:w="450"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r>
          </w:p>
        </w:tc>
        <w:tc>
          <w:tcPr>
            <w:tcW w:w="640"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Date</w:t>
            </w:r>
          </w:p>
        </w:tc>
        <w:tc>
          <w:tcPr>
            <w:tcW w:w="124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r>
          </w:p>
        </w:tc>
        <w:tc>
          <w:tcPr>
            <w:tcW w:w="1620"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Amendment #</w:t>
            </w:r>
          </w:p>
        </w:tc>
        <w:tc>
          <w:tcPr>
            <w:tcW w:w="53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r>
          </w:p>
        </w:tc>
        <w:tc>
          <w:tcPr>
            <w:tcW w:w="720"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Date</w:t>
            </w:r>
          </w:p>
        </w:tc>
        <w:tc>
          <w:tcPr>
            <w:tcW w:w="1358"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r>
          </w:p>
        </w:tc>
      </w:tr>
      <w:tr>
        <w:trPr>
          <w:cantSplit w:val="false"/>
        </w:trPr>
        <w:tc>
          <w:tcPr>
            <w:tcW w:w="154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Amendment #</w:t>
            </w:r>
          </w:p>
        </w:tc>
        <w:tc>
          <w:tcPr>
            <w:tcW w:w="450"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r>
          </w:p>
        </w:tc>
        <w:tc>
          <w:tcPr>
            <w:tcW w:w="640"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Date</w:t>
            </w:r>
          </w:p>
        </w:tc>
        <w:tc>
          <w:tcPr>
            <w:tcW w:w="124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r>
          </w:p>
        </w:tc>
        <w:tc>
          <w:tcPr>
            <w:tcW w:w="1620"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Amendment #</w:t>
            </w:r>
          </w:p>
        </w:tc>
        <w:tc>
          <w:tcPr>
            <w:tcW w:w="53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r>
          </w:p>
        </w:tc>
        <w:tc>
          <w:tcPr>
            <w:tcW w:w="720"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Date</w:t>
            </w:r>
          </w:p>
        </w:tc>
        <w:tc>
          <w:tcPr>
            <w:tcW w:w="1358"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r>
          </w:p>
        </w:tc>
      </w:tr>
    </w:tbl>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215"/>
        <w:gridCol w:w="6342"/>
      </w:tblGrid>
      <w:tr>
        <w:trPr>
          <w:cantSplit w:val="false"/>
        </w:trPr>
        <w:tc>
          <w:tcPr>
            <w:tcW w:w="3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DBDB" w:val="clear"/>
            <w:tcMar>
              <w:left w:w="108" w:type="dxa"/>
            </w:tcMar>
          </w:tcPr>
          <w:p>
            <w:pPr>
              <w:pStyle w:val="Normal"/>
              <w:spacing w:before="0" w:after="0"/>
              <w:rPr>
                <w:b/>
                <w:bCs/>
                <w:sz w:val="24"/>
                <w:szCs w:val="24"/>
              </w:rPr>
            </w:pPr>
            <w:r>
              <w:rPr>
                <w:b/>
                <w:bCs/>
                <w:sz w:val="24"/>
                <w:szCs w:val="24"/>
              </w:rPr>
              <w:t>BSC Perspective</w:t>
            </w:r>
          </w:p>
        </w:tc>
        <w:tc>
          <w:tcPr>
            <w:tcW w:w="63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DBDB" w:val="clear"/>
            <w:tcMar>
              <w:left w:w="108" w:type="dxa"/>
            </w:tcMar>
          </w:tcPr>
          <w:p>
            <w:pPr>
              <w:pStyle w:val="Normal"/>
              <w:spacing w:before="0" w:after="0"/>
              <w:jc w:val="center"/>
              <w:rPr>
                <w:sz w:val="24"/>
                <w:szCs w:val="24"/>
              </w:rPr>
            </w:pPr>
            <w:r>
              <w:rPr>
                <w:sz w:val="24"/>
                <w:szCs w:val="24"/>
              </w:rPr>
              <w:t>Finance</w:t>
            </w:r>
          </w:p>
        </w:tc>
      </w:tr>
      <w:tr>
        <w:trPr>
          <w:cantSplit w:val="false"/>
        </w:trPr>
        <w:tc>
          <w:tcPr>
            <w:tcW w:w="3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DBDB" w:val="clear"/>
            <w:tcMar>
              <w:left w:w="108" w:type="dxa"/>
            </w:tcMar>
          </w:tcPr>
          <w:p>
            <w:pPr>
              <w:pStyle w:val="Normal"/>
              <w:spacing w:before="0" w:after="0"/>
              <w:rPr>
                <w:b/>
                <w:bCs/>
                <w:sz w:val="24"/>
                <w:szCs w:val="24"/>
              </w:rPr>
            </w:pPr>
            <w:r>
              <w:rPr>
                <w:b/>
                <w:bCs/>
                <w:sz w:val="24"/>
                <w:szCs w:val="24"/>
              </w:rPr>
              <w:t>Objective</w:t>
            </w:r>
          </w:p>
        </w:tc>
        <w:tc>
          <w:tcPr>
            <w:tcW w:w="63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DBDB" w:val="clear"/>
            <w:tcMar>
              <w:left w:w="108" w:type="dxa"/>
            </w:tcMar>
            <w:vAlign w:val="center"/>
          </w:tcPr>
          <w:p>
            <w:pPr>
              <w:pStyle w:val="Normal"/>
              <w:spacing w:before="0" w:after="0"/>
              <w:jc w:val="center"/>
              <w:rPr>
                <w:rFonts w:cs="Calibri"/>
                <w:sz w:val="24"/>
                <w:szCs w:val="24"/>
              </w:rPr>
            </w:pPr>
            <w:r>
              <w:rPr>
                <w:rFonts w:cs="Calibri"/>
                <w:sz w:val="24"/>
                <w:szCs w:val="24"/>
              </w:rPr>
              <w:t>Generate Positive Cash Flow</w:t>
            </w:r>
          </w:p>
        </w:tc>
      </w:tr>
      <w:tr>
        <w:trPr>
          <w:cantSplit w:val="false"/>
        </w:trPr>
        <w:tc>
          <w:tcPr>
            <w:tcW w:w="3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DBDB" w:val="clear"/>
            <w:tcMar>
              <w:left w:w="108" w:type="dxa"/>
            </w:tcMar>
          </w:tcPr>
          <w:p>
            <w:pPr>
              <w:pStyle w:val="Normal"/>
              <w:spacing w:before="0" w:after="0"/>
              <w:rPr>
                <w:b/>
                <w:bCs/>
                <w:sz w:val="24"/>
                <w:szCs w:val="24"/>
              </w:rPr>
            </w:pPr>
            <w:r>
              <w:rPr>
                <w:b/>
                <w:bCs/>
                <w:sz w:val="24"/>
                <w:szCs w:val="24"/>
              </w:rPr>
              <w:t>KPI Long Description.</w:t>
            </w:r>
          </w:p>
        </w:tc>
        <w:tc>
          <w:tcPr>
            <w:tcW w:w="63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DBDB" w:val="clear"/>
            <w:tcMar>
              <w:left w:w="108" w:type="dxa"/>
            </w:tcMar>
            <w:vAlign w:val="center"/>
          </w:tcPr>
          <w:p>
            <w:pPr>
              <w:pStyle w:val="Normal"/>
              <w:spacing w:before="0" w:after="0"/>
              <w:jc w:val="center"/>
              <w:rPr>
                <w:rFonts w:cs="Calibri"/>
                <w:sz w:val="24"/>
                <w:szCs w:val="24"/>
              </w:rPr>
            </w:pPr>
            <w:r>
              <w:rPr>
                <w:rFonts w:cs="Calibri"/>
                <w:sz w:val="24"/>
                <w:szCs w:val="24"/>
              </w:rPr>
              <w:t>Debtors Period for Ordinary and Heavy Supplies. (Computed separately)</w:t>
            </w:r>
          </w:p>
        </w:tc>
      </w:tr>
      <w:tr>
        <w:trPr>
          <w:cantSplit w:val="false"/>
        </w:trPr>
        <w:tc>
          <w:tcPr>
            <w:tcW w:w="3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DBDB" w:val="clear"/>
            <w:tcMar>
              <w:left w:w="108" w:type="dxa"/>
            </w:tcMar>
          </w:tcPr>
          <w:p>
            <w:pPr>
              <w:pStyle w:val="Normal"/>
              <w:spacing w:before="0" w:after="0"/>
              <w:rPr>
                <w:b/>
                <w:bCs/>
                <w:sz w:val="24"/>
                <w:szCs w:val="24"/>
              </w:rPr>
            </w:pPr>
            <w:r>
              <w:rPr>
                <w:b/>
                <w:bCs/>
                <w:sz w:val="24"/>
                <w:szCs w:val="24"/>
              </w:rPr>
              <w:t>KPI Unit</w:t>
            </w:r>
          </w:p>
        </w:tc>
        <w:tc>
          <w:tcPr>
            <w:tcW w:w="63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DBDB" w:val="clear"/>
            <w:tcMar>
              <w:left w:w="108" w:type="dxa"/>
            </w:tcMar>
            <w:vAlign w:val="center"/>
          </w:tcPr>
          <w:p>
            <w:pPr>
              <w:pStyle w:val="Normal"/>
              <w:spacing w:before="0" w:after="0"/>
              <w:jc w:val="center"/>
              <w:rPr>
                <w:rFonts w:cs="Calibri"/>
                <w:sz w:val="24"/>
                <w:szCs w:val="24"/>
              </w:rPr>
            </w:pPr>
            <w:r>
              <w:rPr>
                <w:rFonts w:cs="Calibri"/>
                <w:sz w:val="24"/>
                <w:szCs w:val="24"/>
              </w:rPr>
              <w:t>Months</w:t>
            </w:r>
          </w:p>
        </w:tc>
      </w:tr>
      <w:tr>
        <w:trPr>
          <w:cantSplit w:val="false"/>
        </w:trPr>
        <w:tc>
          <w:tcPr>
            <w:tcW w:w="3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DBDB" w:val="clear"/>
            <w:tcMar>
              <w:left w:w="108" w:type="dxa"/>
            </w:tcMar>
          </w:tcPr>
          <w:p>
            <w:pPr>
              <w:pStyle w:val="Normal"/>
              <w:spacing w:before="0" w:after="0"/>
              <w:rPr>
                <w:b/>
                <w:bCs/>
                <w:sz w:val="24"/>
                <w:szCs w:val="24"/>
              </w:rPr>
            </w:pPr>
            <w:r>
              <w:rPr>
                <w:b/>
                <w:bCs/>
                <w:sz w:val="24"/>
                <w:szCs w:val="24"/>
              </w:rPr>
              <w:t>KPI Update Cycle</w:t>
            </w:r>
          </w:p>
        </w:tc>
        <w:tc>
          <w:tcPr>
            <w:tcW w:w="63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DBDB" w:val="clear"/>
            <w:tcMar>
              <w:left w:w="108" w:type="dxa"/>
            </w:tcMar>
            <w:vAlign w:val="center"/>
          </w:tcPr>
          <w:p>
            <w:pPr>
              <w:pStyle w:val="Normal"/>
              <w:spacing w:before="0" w:after="0"/>
              <w:jc w:val="center"/>
              <w:rPr>
                <w:rFonts w:cs="Calibri"/>
                <w:sz w:val="24"/>
                <w:szCs w:val="24"/>
              </w:rPr>
            </w:pPr>
            <w:r>
              <w:rPr>
                <w:rFonts w:cs="Calibri"/>
                <w:sz w:val="24"/>
                <w:szCs w:val="24"/>
              </w:rPr>
              <w:t>Quarterly</w:t>
            </w:r>
          </w:p>
        </w:tc>
      </w:tr>
      <w:tr>
        <w:trPr>
          <w:cantSplit w:val="false"/>
        </w:trPr>
        <w:tc>
          <w:tcPr>
            <w:tcW w:w="3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DBDB" w:val="clear"/>
            <w:tcMar>
              <w:left w:w="108" w:type="dxa"/>
            </w:tcMar>
          </w:tcPr>
          <w:p>
            <w:pPr>
              <w:pStyle w:val="Normal"/>
              <w:spacing w:before="0" w:after="0"/>
              <w:rPr>
                <w:b/>
                <w:bCs/>
                <w:sz w:val="24"/>
                <w:szCs w:val="24"/>
              </w:rPr>
            </w:pPr>
            <w:r>
              <w:rPr>
                <w:b/>
                <w:bCs/>
                <w:sz w:val="24"/>
                <w:szCs w:val="24"/>
              </w:rPr>
              <w:t>Data Availability Cycle</w:t>
            </w:r>
          </w:p>
        </w:tc>
        <w:tc>
          <w:tcPr>
            <w:tcW w:w="63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DBDB" w:val="clear"/>
            <w:tcMar>
              <w:left w:w="108" w:type="dxa"/>
            </w:tcMar>
          </w:tcPr>
          <w:p>
            <w:pPr>
              <w:pStyle w:val="Normal"/>
              <w:spacing w:before="0" w:after="0"/>
              <w:jc w:val="center"/>
              <w:rPr>
                <w:sz w:val="24"/>
                <w:szCs w:val="24"/>
              </w:rPr>
            </w:pPr>
            <w:r>
              <w:rPr>
                <w:sz w:val="24"/>
                <w:szCs w:val="24"/>
              </w:rPr>
              <w:t>Monthly</w:t>
            </w:r>
          </w:p>
        </w:tc>
      </w:tr>
    </w:tbl>
    <w:p>
      <w:pPr>
        <w:pStyle w:val="Normal"/>
        <w:rPr>
          <w:b/>
          <w:bCs/>
          <w:sz w:val="24"/>
          <w:szCs w:val="24"/>
          <w:u w:val="single"/>
        </w:rPr>
      </w:pPr>
      <w:r>
        <w:rPr>
          <w:b/>
          <w:bCs/>
          <w:sz w:val="24"/>
          <w:szCs w:val="24"/>
          <w:u w:val="single"/>
        </w:rPr>
        <w:t>Data required to compute the KPI</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997"/>
        <w:gridCol w:w="1068"/>
        <w:gridCol w:w="1501"/>
        <w:gridCol w:w="1676"/>
      </w:tblGrid>
      <w:tr>
        <w:trPr>
          <w:cantSplit w:val="false"/>
        </w:trPr>
        <w:tc>
          <w:tcPr>
            <w:tcW w:w="4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b/>
                <w:bCs/>
                <w:sz w:val="28"/>
                <w:szCs w:val="28"/>
              </w:rPr>
            </w:pPr>
            <w:r>
              <w:rPr>
                <w:b/>
                <w:bCs/>
                <w:sz w:val="28"/>
                <w:szCs w:val="28"/>
              </w:rPr>
              <w:t>Data</w:t>
            </w:r>
          </w:p>
        </w:tc>
        <w:tc>
          <w:tcPr>
            <w:tcW w:w="10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b/>
                <w:bCs/>
                <w:sz w:val="28"/>
                <w:szCs w:val="28"/>
              </w:rPr>
            </w:pPr>
            <w:r>
              <w:rPr>
                <w:b/>
                <w:bCs/>
                <w:sz w:val="28"/>
                <w:szCs w:val="28"/>
              </w:rPr>
              <w:t>Unit</w:t>
            </w:r>
          </w:p>
        </w:tc>
        <w:tc>
          <w:tcPr>
            <w:tcW w:w="15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b/>
                <w:bCs/>
                <w:sz w:val="28"/>
                <w:szCs w:val="28"/>
              </w:rPr>
            </w:pPr>
            <w:r>
              <w:rPr>
                <w:b/>
                <w:bCs/>
                <w:sz w:val="28"/>
                <w:szCs w:val="28"/>
              </w:rPr>
              <w:t>Data Update Cycle</w:t>
            </w:r>
          </w:p>
        </w:tc>
        <w:tc>
          <w:tcPr>
            <w:tcW w:w="16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b/>
                <w:bCs/>
                <w:sz w:val="28"/>
                <w:szCs w:val="28"/>
              </w:rPr>
            </w:pPr>
            <w:r>
              <w:rPr>
                <w:b/>
                <w:bCs/>
                <w:sz w:val="28"/>
                <w:szCs w:val="28"/>
              </w:rPr>
              <w:t>Data due Date</w:t>
            </w:r>
          </w:p>
        </w:tc>
      </w:tr>
      <w:tr>
        <w:trPr>
          <w:cantSplit w:val="false"/>
        </w:trPr>
        <w:tc>
          <w:tcPr>
            <w:tcW w:w="4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4"/>
                <w:szCs w:val="24"/>
              </w:rPr>
            </w:pPr>
            <w:r>
              <w:rPr>
                <w:b/>
                <w:bCs/>
                <w:sz w:val="24"/>
                <w:szCs w:val="24"/>
              </w:rPr>
              <w:t>Ordinary Supply Debt</w:t>
            </w:r>
            <w:r>
              <w:rPr>
                <w:sz w:val="24"/>
                <w:szCs w:val="24"/>
              </w:rPr>
              <w:t xml:space="preserve"> as at the end of month “M”.</w:t>
            </w:r>
          </w:p>
        </w:tc>
        <w:tc>
          <w:tcPr>
            <w:tcW w:w="10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 w:val="24"/>
                <w:szCs w:val="24"/>
              </w:rPr>
            </w:pPr>
            <w:r>
              <w:rPr>
                <w:sz w:val="24"/>
                <w:szCs w:val="24"/>
              </w:rPr>
              <w:t>Rs million</w:t>
            </w:r>
          </w:p>
        </w:tc>
        <w:tc>
          <w:tcPr>
            <w:tcW w:w="15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 w:val="24"/>
                <w:szCs w:val="24"/>
              </w:rPr>
            </w:pPr>
            <w:r>
              <w:rPr>
                <w:sz w:val="24"/>
                <w:szCs w:val="24"/>
              </w:rPr>
              <w:t>Monthly</w:t>
            </w:r>
          </w:p>
        </w:tc>
        <w:tc>
          <w:tcPr>
            <w:tcW w:w="16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 w:val="24"/>
                <w:szCs w:val="24"/>
              </w:rPr>
            </w:pPr>
            <w:r>
              <w:rPr>
                <w:sz w:val="24"/>
                <w:szCs w:val="24"/>
              </w:rPr>
              <w:t>5W after the month</w:t>
            </w:r>
          </w:p>
        </w:tc>
      </w:tr>
      <w:tr>
        <w:trPr>
          <w:cantSplit w:val="false"/>
        </w:trPr>
        <w:tc>
          <w:tcPr>
            <w:tcW w:w="4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4"/>
                <w:szCs w:val="24"/>
              </w:rPr>
            </w:pPr>
            <w:r>
              <w:rPr>
                <w:b/>
                <w:bCs/>
                <w:sz w:val="24"/>
                <w:szCs w:val="24"/>
              </w:rPr>
              <w:t>Average monthly sales of Ordinary Customers</w:t>
            </w:r>
            <w:r>
              <w:rPr>
                <w:sz w:val="24"/>
                <w:szCs w:val="24"/>
              </w:rPr>
              <w:t xml:space="preserve"> for three consecutive preceding months including month “M”.</w:t>
            </w:r>
          </w:p>
        </w:tc>
        <w:tc>
          <w:tcPr>
            <w:tcW w:w="10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 w:val="24"/>
                <w:szCs w:val="24"/>
              </w:rPr>
            </w:pPr>
            <w:r>
              <w:rPr>
                <w:sz w:val="24"/>
                <w:szCs w:val="24"/>
              </w:rPr>
              <w:t>Rs million</w:t>
            </w:r>
          </w:p>
        </w:tc>
        <w:tc>
          <w:tcPr>
            <w:tcW w:w="15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 w:val="24"/>
                <w:szCs w:val="24"/>
              </w:rPr>
            </w:pPr>
            <w:r>
              <w:rPr>
                <w:sz w:val="24"/>
                <w:szCs w:val="24"/>
              </w:rPr>
              <w:t>Monthly</w:t>
            </w:r>
          </w:p>
        </w:tc>
        <w:tc>
          <w:tcPr>
            <w:tcW w:w="16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 w:val="24"/>
                <w:szCs w:val="24"/>
              </w:rPr>
            </w:pPr>
            <w:r>
              <w:rPr>
                <w:sz w:val="24"/>
                <w:szCs w:val="24"/>
              </w:rPr>
              <w:t>5W after the month</w:t>
            </w:r>
          </w:p>
        </w:tc>
      </w:tr>
      <w:tr>
        <w:trPr>
          <w:cantSplit w:val="false"/>
        </w:trPr>
        <w:tc>
          <w:tcPr>
            <w:tcW w:w="4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4"/>
                <w:szCs w:val="24"/>
              </w:rPr>
            </w:pPr>
            <w:r>
              <w:rPr>
                <w:b/>
                <w:bCs/>
                <w:sz w:val="24"/>
                <w:szCs w:val="24"/>
              </w:rPr>
              <w:t>Heavy Supply Debt</w:t>
            </w:r>
            <w:r>
              <w:rPr>
                <w:sz w:val="24"/>
                <w:szCs w:val="24"/>
              </w:rPr>
              <w:t xml:space="preserve"> as at the end of month “M”.</w:t>
            </w:r>
          </w:p>
        </w:tc>
        <w:tc>
          <w:tcPr>
            <w:tcW w:w="10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 w:val="24"/>
                <w:szCs w:val="24"/>
              </w:rPr>
            </w:pPr>
            <w:r>
              <w:rPr>
                <w:sz w:val="24"/>
                <w:szCs w:val="24"/>
              </w:rPr>
              <w:t>Rs million</w:t>
            </w:r>
          </w:p>
        </w:tc>
        <w:tc>
          <w:tcPr>
            <w:tcW w:w="15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 w:val="24"/>
                <w:szCs w:val="24"/>
              </w:rPr>
            </w:pPr>
            <w:r>
              <w:rPr>
                <w:sz w:val="24"/>
                <w:szCs w:val="24"/>
              </w:rPr>
              <w:t>Monthly</w:t>
            </w:r>
          </w:p>
        </w:tc>
        <w:tc>
          <w:tcPr>
            <w:tcW w:w="16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 w:val="24"/>
                <w:szCs w:val="24"/>
              </w:rPr>
            </w:pPr>
            <w:r>
              <w:rPr>
                <w:sz w:val="24"/>
                <w:szCs w:val="24"/>
              </w:rPr>
              <w:t>5W after the month</w:t>
            </w:r>
          </w:p>
        </w:tc>
      </w:tr>
      <w:tr>
        <w:trPr>
          <w:cantSplit w:val="false"/>
        </w:trPr>
        <w:tc>
          <w:tcPr>
            <w:tcW w:w="4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24"/>
                <w:szCs w:val="24"/>
              </w:rPr>
            </w:pPr>
            <w:r>
              <w:rPr>
                <w:b/>
                <w:bCs/>
                <w:sz w:val="24"/>
                <w:szCs w:val="24"/>
              </w:rPr>
              <w:t>Average monthly sales of Heavy Customers</w:t>
            </w:r>
            <w:r>
              <w:rPr>
                <w:sz w:val="24"/>
                <w:szCs w:val="24"/>
              </w:rPr>
              <w:t xml:space="preserve"> for three consecutive preceding months including month “M”.</w:t>
            </w:r>
          </w:p>
        </w:tc>
        <w:tc>
          <w:tcPr>
            <w:tcW w:w="10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 w:val="24"/>
                <w:szCs w:val="24"/>
              </w:rPr>
            </w:pPr>
            <w:r>
              <w:rPr>
                <w:sz w:val="24"/>
                <w:szCs w:val="24"/>
              </w:rPr>
              <w:t>Rs million</w:t>
            </w:r>
          </w:p>
        </w:tc>
        <w:tc>
          <w:tcPr>
            <w:tcW w:w="15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 w:val="24"/>
                <w:szCs w:val="24"/>
              </w:rPr>
            </w:pPr>
            <w:r>
              <w:rPr>
                <w:sz w:val="24"/>
                <w:szCs w:val="24"/>
              </w:rPr>
              <w:t>Monthly</w:t>
            </w:r>
          </w:p>
        </w:tc>
        <w:tc>
          <w:tcPr>
            <w:tcW w:w="16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 w:val="24"/>
                <w:szCs w:val="24"/>
              </w:rPr>
            </w:pPr>
            <w:r>
              <w:rPr>
                <w:sz w:val="24"/>
                <w:szCs w:val="24"/>
              </w:rPr>
              <w:t>5W after the month</w:t>
            </w:r>
          </w:p>
        </w:tc>
      </w:tr>
    </w:tbl>
    <w:p>
      <w:pPr>
        <w:pStyle w:val="Normal"/>
        <w:rPr>
          <w:b/>
          <w:bCs/>
          <w:sz w:val="24"/>
          <w:szCs w:val="24"/>
          <w:u w:val="single"/>
        </w:rPr>
      </w:pPr>
      <w:r>
        <w:rPr>
          <w:b/>
          <w:bCs/>
          <w:sz w:val="24"/>
          <w:szCs w:val="24"/>
          <w:u w:val="single"/>
        </w:rPr>
        <w:t>KPI Data Terminology Definitions</w:t>
      </w:r>
    </w:p>
    <w:p>
      <w:pPr>
        <w:pStyle w:val="ListParagraph"/>
        <w:numPr>
          <w:ilvl w:val="0"/>
          <w:numId w:val="1"/>
        </w:numPr>
        <w:jc w:val="both"/>
        <w:rPr>
          <w:color w:val="000000"/>
        </w:rPr>
      </w:pPr>
      <w:r>
        <w:rPr>
          <w:b/>
          <w:bCs/>
        </w:rPr>
        <w:t>Ordinary Supply</w:t>
      </w:r>
      <w:r>
        <w:rPr/>
        <w:t xml:space="preserve"> means: </w:t>
      </w:r>
      <w:r>
        <w:rPr>
          <w:color w:val="000000"/>
        </w:rPr>
        <w:t>All consumers with a contracted demand of less than 42kVA</w:t>
      </w:r>
      <w:r>
        <w:rPr>
          <w:rStyle w:val="FootnoteAnchor"/>
          <w:color w:val="000000"/>
        </w:rPr>
        <w:footnoteReference w:id="2"/>
      </w:r>
      <w:r>
        <w:rPr>
          <w:color w:val="000000"/>
        </w:rPr>
        <w:t>.</w:t>
      </w:r>
    </w:p>
    <w:p>
      <w:pPr>
        <w:pStyle w:val="ListParagraph"/>
        <w:numPr>
          <w:ilvl w:val="0"/>
          <w:numId w:val="1"/>
        </w:numPr>
        <w:jc w:val="both"/>
        <w:rPr>
          <w:color w:val="000000"/>
        </w:rPr>
      </w:pPr>
      <w:r>
        <w:rPr>
          <w:b/>
          <w:bCs/>
        </w:rPr>
        <w:t xml:space="preserve">Heavy Supply </w:t>
      </w:r>
      <w:r>
        <w:rPr/>
        <w:t>means</w:t>
      </w:r>
      <w:r>
        <w:rPr>
          <w:b/>
          <w:bCs/>
        </w:rPr>
        <w:t xml:space="preserve">: </w:t>
      </w:r>
      <w:r>
        <w:rPr>
          <w:color w:val="000000"/>
        </w:rPr>
        <w:t>All consumers with a contracted demand of over 42kVA.</w:t>
      </w:r>
    </w:p>
    <w:p>
      <w:pPr>
        <w:pStyle w:val="ListParagraph"/>
        <w:numPr>
          <w:ilvl w:val="0"/>
          <w:numId w:val="1"/>
        </w:numPr>
        <w:jc w:val="both"/>
        <w:rPr/>
      </w:pPr>
      <w:r>
        <w:rPr>
          <w:b/>
          <w:bCs/>
        </w:rPr>
        <w:t>Debt</w:t>
      </w:r>
      <w:r>
        <w:rPr/>
        <w:t>(Ordinary/Heavy Supply</w:t>
      </w:r>
      <w:r>
        <w:rPr>
          <w:b/>
          <w:bCs/>
        </w:rPr>
        <w:t xml:space="preserve">) </w:t>
      </w:r>
      <w:r>
        <w:rPr/>
        <w:t>means: Receivable in million Rs for electricity sales(of Ordinary/Heavy supply) consumers as at end of a particular month (Month “M”).</w:t>
      </w:r>
    </w:p>
    <w:p>
      <w:pPr>
        <w:pStyle w:val="ListParagraph"/>
        <w:numPr>
          <w:ilvl w:val="0"/>
          <w:numId w:val="1"/>
        </w:numPr>
        <w:jc w:val="both"/>
        <w:rPr/>
      </w:pPr>
      <w:r>
        <w:rPr>
          <w:b/>
          <w:bCs/>
        </w:rPr>
        <w:t>Average Monthly Sales (</w:t>
      </w:r>
      <w:r>
        <w:rPr/>
        <w:t>of Ordinary/Heavy Customers)means: Average monthly sales of three consecutive months immediately before the relevant month (M), including month “M”, for which receivable position is calculated(for ordinary/Heavy Customers).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01"/>
        <w:gridCol w:w="2545"/>
        <w:gridCol w:w="1"/>
        <w:gridCol w:w="1839"/>
        <w:gridCol w:w="1"/>
        <w:gridCol w:w="1484"/>
        <w:gridCol w:w="1"/>
        <w:gridCol w:w="1314"/>
        <w:gridCol w:w="1256"/>
      </w:tblGrid>
      <w:tr>
        <w:trPr>
          <w:cantSplit w:val="false"/>
        </w:trPr>
        <w:tc>
          <w:tcPr>
            <w:tcW w:w="3347"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8" w:type="dxa"/>
            </w:tcMar>
          </w:tcPr>
          <w:p>
            <w:pPr>
              <w:pStyle w:val="Normal"/>
              <w:spacing w:before="0" w:after="0"/>
              <w:jc w:val="center"/>
              <w:rPr/>
            </w:pPr>
            <w:r>
              <w:rPr/>
              <w:t>Data</w:t>
            </w:r>
          </w:p>
        </w:tc>
        <w:tc>
          <w:tcPr>
            <w:tcW w:w="1840" w:type="dxa"/>
            <w:gridSpan w:val="2"/>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8" w:type="dxa"/>
            </w:tcMar>
          </w:tcPr>
          <w:p>
            <w:pPr>
              <w:pStyle w:val="Normal"/>
              <w:spacing w:before="0" w:after="0"/>
              <w:jc w:val="center"/>
              <w:rPr/>
            </w:pPr>
            <w:r>
              <w:rPr/>
              <w:t>Data up loader/ Data Source</w:t>
            </w:r>
          </w:p>
        </w:tc>
        <w:tc>
          <w:tcPr>
            <w:tcW w:w="1485" w:type="dxa"/>
            <w:gridSpan w:val="2"/>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8" w:type="dxa"/>
            </w:tcMar>
          </w:tcPr>
          <w:p>
            <w:pPr>
              <w:pStyle w:val="Normal"/>
              <w:spacing w:before="0" w:after="0"/>
              <w:jc w:val="center"/>
              <w:rPr/>
            </w:pPr>
            <w:r>
              <w:rPr/>
              <w:t>Availability date</w:t>
            </w:r>
          </w:p>
        </w:tc>
        <w:tc>
          <w:tcPr>
            <w:tcW w:w="257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2F2F2" w:val="clear"/>
            <w:tcMar>
              <w:left w:w="108" w:type="dxa"/>
            </w:tcMar>
          </w:tcPr>
          <w:p>
            <w:pPr>
              <w:pStyle w:val="Normal"/>
              <w:spacing w:before="0" w:after="0"/>
              <w:jc w:val="center"/>
              <w:rPr/>
            </w:pPr>
            <w:r>
              <w:rPr/>
              <w:t>Contact</w:t>
            </w:r>
          </w:p>
        </w:tc>
      </w:tr>
      <w:tr>
        <w:trPr>
          <w:cantSplit w:val="false"/>
        </w:trPr>
        <w:tc>
          <w:tcPr>
            <w:tcW w:w="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No</w:t>
            </w:r>
          </w:p>
        </w:tc>
        <w:tc>
          <w:tcPr>
            <w:tcW w:w="25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Description</w:t>
            </w:r>
          </w:p>
        </w:tc>
        <w:tc>
          <w:tcPr>
            <w:tcW w:w="1840"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485" w:type="dxa"/>
            <w:gridSpan w:val="2"/>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3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Telephone</w:t>
            </w:r>
          </w:p>
        </w:tc>
        <w:tc>
          <w:tcPr>
            <w:tcW w:w="1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Email</w:t>
            </w:r>
          </w:p>
        </w:tc>
      </w:tr>
      <w:tr>
        <w:trPr>
          <w:cantSplit w:val="false"/>
        </w:trPr>
        <w:tc>
          <w:tcPr>
            <w:tcW w:w="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D1</w:t>
            </w:r>
          </w:p>
        </w:tc>
        <w:tc>
          <w:tcPr>
            <w:tcW w:w="25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Ordinary supply Debt as at end of a particular month in WPS I</w:t>
            </w:r>
          </w:p>
          <w:p>
            <w:pPr>
              <w:pStyle w:val="Normal"/>
              <w:spacing w:before="0" w:after="0"/>
              <w:rPr/>
            </w:pPr>
            <w:r>
              <w:rPr/>
            </w:r>
          </w:p>
        </w:tc>
        <w:tc>
          <w:tcPr>
            <w:tcW w:w="184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DGM(WPS I)</w:t>
            </w:r>
          </w:p>
        </w:tc>
        <w:tc>
          <w:tcPr>
            <w:tcW w:w="14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 after the month</w:t>
            </w:r>
          </w:p>
        </w:tc>
        <w:tc>
          <w:tcPr>
            <w:tcW w:w="13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D2</w:t>
            </w:r>
          </w:p>
        </w:tc>
        <w:tc>
          <w:tcPr>
            <w:tcW w:w="25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Average monthly sales of three consecutive months of  ordinary customers in WPS I</w:t>
            </w:r>
          </w:p>
        </w:tc>
        <w:tc>
          <w:tcPr>
            <w:tcW w:w="184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DGM(WPS I)</w:t>
            </w:r>
          </w:p>
        </w:tc>
        <w:tc>
          <w:tcPr>
            <w:tcW w:w="14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 after the month</w:t>
            </w:r>
          </w:p>
        </w:tc>
        <w:tc>
          <w:tcPr>
            <w:tcW w:w="13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D3</w:t>
            </w:r>
          </w:p>
        </w:tc>
        <w:tc>
          <w:tcPr>
            <w:tcW w:w="25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Heavy supply Debt as at end of a particular month in WPS I</w:t>
            </w:r>
          </w:p>
          <w:p>
            <w:pPr>
              <w:pStyle w:val="Normal"/>
              <w:spacing w:before="0" w:after="0"/>
              <w:rPr/>
            </w:pPr>
            <w:r>
              <w:rPr/>
            </w:r>
          </w:p>
        </w:tc>
        <w:tc>
          <w:tcPr>
            <w:tcW w:w="184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DGM(WPS I)</w:t>
            </w:r>
          </w:p>
        </w:tc>
        <w:tc>
          <w:tcPr>
            <w:tcW w:w="14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 after the month</w:t>
            </w:r>
          </w:p>
        </w:tc>
        <w:tc>
          <w:tcPr>
            <w:tcW w:w="13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D4</w:t>
            </w:r>
          </w:p>
        </w:tc>
        <w:tc>
          <w:tcPr>
            <w:tcW w:w="25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Average monthly sales of three consecutive months of  Heavy customers in WPS I</w:t>
            </w:r>
          </w:p>
          <w:p>
            <w:pPr>
              <w:pStyle w:val="Normal"/>
              <w:spacing w:before="0" w:after="0"/>
              <w:rPr/>
            </w:pPr>
            <w:r>
              <w:rPr/>
            </w:r>
          </w:p>
        </w:tc>
        <w:tc>
          <w:tcPr>
            <w:tcW w:w="184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DGM(WPS I)</w:t>
            </w:r>
          </w:p>
        </w:tc>
        <w:tc>
          <w:tcPr>
            <w:tcW w:w="14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 after the month</w:t>
            </w:r>
          </w:p>
        </w:tc>
        <w:tc>
          <w:tcPr>
            <w:tcW w:w="13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D5</w:t>
            </w:r>
          </w:p>
        </w:tc>
        <w:tc>
          <w:tcPr>
            <w:tcW w:w="25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Ordinary supply Debt as at end of a particular month in Southern Province</w:t>
            </w:r>
          </w:p>
          <w:p>
            <w:pPr>
              <w:pStyle w:val="Normal"/>
              <w:spacing w:before="0" w:after="0"/>
              <w:rPr/>
            </w:pPr>
            <w:r>
              <w:rPr/>
            </w:r>
          </w:p>
        </w:tc>
        <w:tc>
          <w:tcPr>
            <w:tcW w:w="184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DGM(Southern)</w:t>
            </w:r>
          </w:p>
        </w:tc>
        <w:tc>
          <w:tcPr>
            <w:tcW w:w="14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 after the month</w:t>
            </w:r>
          </w:p>
        </w:tc>
        <w:tc>
          <w:tcPr>
            <w:tcW w:w="13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D6</w:t>
            </w:r>
          </w:p>
        </w:tc>
        <w:tc>
          <w:tcPr>
            <w:tcW w:w="25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Average monthly sales of three consecutive months of  ordinary customers in Southern Province</w:t>
            </w:r>
          </w:p>
        </w:tc>
        <w:tc>
          <w:tcPr>
            <w:tcW w:w="184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DGM(Southern)</w:t>
            </w:r>
          </w:p>
        </w:tc>
        <w:tc>
          <w:tcPr>
            <w:tcW w:w="14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 after the month</w:t>
            </w:r>
          </w:p>
        </w:tc>
        <w:tc>
          <w:tcPr>
            <w:tcW w:w="13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D7</w:t>
            </w:r>
          </w:p>
        </w:tc>
        <w:tc>
          <w:tcPr>
            <w:tcW w:w="25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Heavy supply Debt as at end of a particular month in Southern Province</w:t>
            </w:r>
          </w:p>
          <w:p>
            <w:pPr>
              <w:pStyle w:val="Normal"/>
              <w:spacing w:before="0" w:after="0"/>
              <w:rPr/>
            </w:pPr>
            <w:r>
              <w:rPr/>
            </w:r>
          </w:p>
        </w:tc>
        <w:tc>
          <w:tcPr>
            <w:tcW w:w="184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DGM(Southern)</w:t>
            </w:r>
          </w:p>
        </w:tc>
        <w:tc>
          <w:tcPr>
            <w:tcW w:w="14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 after the month</w:t>
            </w:r>
          </w:p>
        </w:tc>
        <w:tc>
          <w:tcPr>
            <w:tcW w:w="13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8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D8</w:t>
            </w:r>
          </w:p>
        </w:tc>
        <w:tc>
          <w:tcPr>
            <w:tcW w:w="25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Average monthly sales of three consecutive months of  Heavy customers in Southern Province</w:t>
            </w:r>
          </w:p>
          <w:p>
            <w:pPr>
              <w:pStyle w:val="Normal"/>
              <w:spacing w:before="0" w:after="0"/>
              <w:rPr/>
            </w:pPr>
            <w:r>
              <w:rPr/>
            </w:r>
          </w:p>
        </w:tc>
        <w:tc>
          <w:tcPr>
            <w:tcW w:w="184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DGM(Southern)</w:t>
            </w:r>
          </w:p>
        </w:tc>
        <w:tc>
          <w:tcPr>
            <w:tcW w:w="148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 after the month</w:t>
            </w:r>
          </w:p>
        </w:tc>
        <w:tc>
          <w:tcPr>
            <w:tcW w:w="13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2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bl>
    <w:p>
      <w:pPr>
        <w:pStyle w:val="ListParagraph"/>
        <w:ind w:left="90" w:right="0" w:hanging="0"/>
        <w:rPr>
          <w:b/>
          <w:bCs/>
          <w:u w:val="single"/>
        </w:rPr>
      </w:pPr>
      <w:r>
        <w:rPr>
          <w:b/>
          <w:bCs/>
          <w:u w:val="single"/>
        </w:rPr>
      </w:r>
    </w:p>
    <w:p>
      <w:pPr>
        <w:pStyle w:val="ListParagraph"/>
        <w:ind w:left="90" w:right="0" w:hanging="0"/>
        <w:rPr>
          <w:b/>
          <w:bCs/>
          <w:u w:val="single"/>
        </w:rPr>
      </w:pPr>
      <w:r>
        <w:rPr>
          <w:b/>
          <w:bCs/>
          <w:u w:val="single"/>
        </w:rPr>
        <w:t>KPI Formula</w:t>
      </w:r>
    </w:p>
    <w:p>
      <w:pPr>
        <w:pStyle w:val="ListParagraph"/>
        <w:ind w:left="90" w:right="0" w:hanging="0"/>
        <w:rPr/>
      </w:pPr>
      <w:r>
        <w:rPr/>
      </w:r>
    </w:p>
    <w:p>
      <w:pPr>
        <w:pStyle w:val="ListParagraph"/>
        <w:ind w:left="90" w:right="0" w:hanging="0"/>
        <w:jc w:val="center"/>
        <w:rPr/>
      </w:pPr>
      <w:r>
        <w:rPr/>
      </w:r>
      <m:oMath xmlns:m="http://schemas.openxmlformats.org/officeDocument/2006/math">
        <m:r>
          <w:rPr>
            <w:rFonts w:ascii="Cambria Math" w:hAnsi="Cambria Math"/>
          </w:rPr>
          <m:t xml:space="preserve">Ordinary</m:t>
        </m:r>
        <m:r>
          <w:rPr>
            <w:rFonts w:ascii="Cambria Math" w:hAnsi="Cambria Math"/>
          </w:rPr>
          <m:t xml:space="preserve">Supply</m:t>
        </m:r>
        <m:r>
          <w:rPr>
            <w:rFonts w:ascii="Cambria Math" w:hAnsi="Cambria Math"/>
          </w:rPr>
          <m:t xml:space="preserve">Debtors</m:t>
        </m:r>
        <m:r>
          <w:rPr>
            <w:rFonts w:ascii="Cambria Math" w:hAnsi="Cambria Math"/>
          </w:rPr>
          <m:t xml:space="preserve">Period</m:t>
        </m:r>
        <m:r>
          <w:rPr>
            <w:rFonts w:ascii="Cambria Math" w:hAnsi="Cambria Math"/>
          </w:rPr>
          <m:t xml:space="preserve">=</m:t>
        </m:r>
        <m:f>
          <m:num>
            <m:d>
              <m:dPr>
                <m:begChr m:val="("/>
                <m:endChr m:val=")"/>
              </m:dPr>
              <m:e>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5</m:t>
                    </m:r>
                  </m:sub>
                </m:sSub>
              </m:e>
            </m:d>
          </m:num>
          <m:den>
            <m:d>
              <m:dPr>
                <m:begChr m:val="("/>
                <m:endChr m:val=")"/>
              </m:dPr>
              <m:e>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6</m:t>
                    </m:r>
                  </m:sub>
                </m:sSub>
              </m:e>
            </m:d>
          </m:den>
        </m:f>
      </m:oMath>
    </w:p>
    <w:p>
      <w:pPr>
        <w:pStyle w:val="ListParagraph"/>
        <w:ind w:left="90" w:right="0" w:hanging="0"/>
        <w:rPr/>
      </w:pPr>
      <w:r>
        <w:rPr/>
      </w:r>
    </w:p>
    <w:p>
      <w:pPr>
        <w:pStyle w:val="ListParagraph"/>
        <w:ind w:left="90" w:right="0" w:hanging="0"/>
        <w:jc w:val="center"/>
        <w:rPr/>
      </w:pPr>
      <w:r>
        <w:rPr/>
      </w:r>
      <m:oMath xmlns:m="http://schemas.openxmlformats.org/officeDocument/2006/math">
        <m:r>
          <w:rPr>
            <w:rFonts w:ascii="Cambria Math" w:hAnsi="Cambria Math"/>
          </w:rPr>
          <m:t xml:space="preserve">Heavy</m:t>
        </m:r>
        <m:r>
          <w:rPr>
            <w:rFonts w:ascii="Cambria Math" w:hAnsi="Cambria Math"/>
          </w:rPr>
          <m:t xml:space="preserve">Supply</m:t>
        </m:r>
        <m:r>
          <w:rPr>
            <w:rFonts w:ascii="Cambria Math" w:hAnsi="Cambria Math"/>
          </w:rPr>
          <m:t xml:space="preserve">Debtors</m:t>
        </m:r>
        <m:r>
          <w:rPr>
            <w:rFonts w:ascii="Cambria Math" w:hAnsi="Cambria Math"/>
          </w:rPr>
          <m:t xml:space="preserve">Period</m:t>
        </m:r>
        <m:r>
          <w:rPr>
            <w:rFonts w:ascii="Cambria Math" w:hAnsi="Cambria Math"/>
          </w:rPr>
          <m:t xml:space="preserve">=</m:t>
        </m:r>
        <m:f>
          <m:num>
            <m:d>
              <m:dPr>
                <m:begChr m:val="("/>
                <m:endChr m:val=")"/>
              </m:dPr>
              <m:e>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7</m:t>
                    </m:r>
                  </m:sub>
                </m:sSub>
              </m:e>
            </m:d>
          </m:num>
          <m:den>
            <m:d>
              <m:dPr>
                <m:begChr m:val="("/>
                <m:endChr m:val=")"/>
              </m:dPr>
              <m:e>
                <m:sSub>
                  <m:e>
                    <m:r>
                      <w:rPr>
                        <w:rFonts w:ascii="Cambria Math" w:hAnsi="Cambria Math"/>
                      </w:rPr>
                      <m:t xml:space="preserve">D</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8</m:t>
                    </m:r>
                  </m:sub>
                </m:sSub>
              </m:e>
            </m:d>
          </m:den>
        </m:f>
      </m:oMath>
    </w:p>
    <w:p>
      <w:pPr>
        <w:pStyle w:val="ListParagraph"/>
        <w:ind w:left="90" w:right="0" w:hanging="0"/>
        <w:rPr>
          <w:u w:val="single"/>
        </w:rPr>
      </w:pPr>
      <w:r>
        <w:rPr>
          <w:u w:val="single"/>
        </w:rPr>
      </w:r>
    </w:p>
    <w:p>
      <w:pPr>
        <w:pStyle w:val="ListParagraph"/>
        <w:ind w:left="90" w:right="0" w:hanging="0"/>
        <w:rPr>
          <w:b/>
          <w:bCs/>
          <w:u w:val="single"/>
        </w:rPr>
      </w:pPr>
      <w:r>
        <w:rPr>
          <w:b/>
          <w:bCs/>
          <w:u w:val="single"/>
        </w:rPr>
        <w:t>KPI Owner (Officer responsible to explain the reasons for KPI value)</w:t>
      </w:r>
    </w:p>
    <w:p>
      <w:pPr>
        <w:pStyle w:val="ListParagraph"/>
        <w:ind w:left="90" w:right="0" w:hanging="0"/>
        <w:rPr/>
      </w:pPr>
      <w:r>
        <w:rPr/>
      </w:r>
    </w:p>
    <w:p>
      <w:pPr>
        <w:pStyle w:val="ListParagraph"/>
        <w:ind w:left="90" w:right="0" w:hanging="0"/>
        <w:rPr>
          <w:b/>
          <w:bCs/>
          <w:u w:val="single"/>
        </w:rPr>
      </w:pPr>
      <w:r>
        <w:rPr>
          <w:b/>
          <w:bCs/>
          <w:u w:val="single"/>
        </w:rPr>
        <w:t>Datasheet Owner (Officer responsible to update datasheet content)</w:t>
      </w:r>
    </w:p>
    <w:tbl>
      <w:tblPr>
        <w:jc w:val="left"/>
        <w:tblInd w:w="90" w:type="dxa"/>
        <w:tblBorders>
          <w:top w:val="nil"/>
          <w:left w:val="nil"/>
          <w:bottom w:val="nil"/>
          <w:insideH w:val="nil"/>
          <w:right w:val="nil"/>
          <w:insideV w:val="nil"/>
        </w:tblBorders>
        <w:tblCellMar>
          <w:top w:w="0" w:type="dxa"/>
          <w:left w:w="108" w:type="dxa"/>
          <w:bottom w:w="0" w:type="dxa"/>
          <w:right w:w="108" w:type="dxa"/>
        </w:tblCellMar>
      </w:tblPr>
      <w:tblGrid>
        <w:gridCol w:w="2897"/>
        <w:gridCol w:w="6255"/>
      </w:tblGrid>
      <w:tr>
        <w:trPr>
          <w:cantSplit w:val="false"/>
        </w:trPr>
        <w:tc>
          <w:tcPr>
            <w:tcW w:w="2897" w:type="dxa"/>
            <w:tcBorders>
              <w:top w:val="nil"/>
              <w:left w:val="nil"/>
              <w:bottom w:val="nil"/>
              <w:insideH w:val="nil"/>
              <w:right w:val="nil"/>
              <w:insideV w:val="nil"/>
            </w:tcBorders>
            <w:shd w:fill="auto" w:val="clear"/>
          </w:tcPr>
          <w:p>
            <w:pPr>
              <w:pStyle w:val="ListParagraph"/>
              <w:spacing w:before="0" w:after="0"/>
              <w:contextualSpacing/>
              <w:rPr/>
            </w:pPr>
            <w:r>
              <w:rPr/>
              <w:t>Name:</w:t>
            </w:r>
          </w:p>
        </w:tc>
        <w:tc>
          <w:tcPr>
            <w:tcW w:w="6255" w:type="dxa"/>
            <w:tcBorders>
              <w:top w:val="nil"/>
              <w:left w:val="nil"/>
              <w:bottom w:val="nil"/>
              <w:insideH w:val="nil"/>
              <w:right w:val="nil"/>
              <w:insideV w:val="nil"/>
            </w:tcBorders>
            <w:shd w:fill="auto" w:val="clear"/>
          </w:tcPr>
          <w:p>
            <w:pPr>
              <w:pStyle w:val="ListParagraph"/>
              <w:spacing w:before="0" w:after="0"/>
              <w:ind w:left="0" w:right="0" w:hanging="0"/>
              <w:contextualSpacing/>
              <w:rPr/>
            </w:pPr>
            <w:r>
              <w:rPr/>
            </w:r>
          </w:p>
        </w:tc>
      </w:tr>
      <w:tr>
        <w:trPr>
          <w:cantSplit w:val="false"/>
        </w:trPr>
        <w:tc>
          <w:tcPr>
            <w:tcW w:w="2897" w:type="dxa"/>
            <w:tcBorders>
              <w:top w:val="nil"/>
              <w:left w:val="nil"/>
              <w:bottom w:val="nil"/>
              <w:insideH w:val="nil"/>
              <w:right w:val="nil"/>
              <w:insideV w:val="nil"/>
            </w:tcBorders>
            <w:shd w:fill="auto" w:val="clear"/>
          </w:tcPr>
          <w:p>
            <w:pPr>
              <w:pStyle w:val="ListParagraph"/>
              <w:spacing w:before="0" w:after="0"/>
              <w:contextualSpacing/>
              <w:rPr/>
            </w:pPr>
            <w:r>
              <w:rPr/>
              <w:t>Designation:</w:t>
            </w:r>
          </w:p>
        </w:tc>
        <w:tc>
          <w:tcPr>
            <w:tcW w:w="6255" w:type="dxa"/>
            <w:tcBorders>
              <w:top w:val="nil"/>
              <w:left w:val="nil"/>
              <w:bottom w:val="nil"/>
              <w:insideH w:val="nil"/>
              <w:right w:val="nil"/>
              <w:insideV w:val="nil"/>
            </w:tcBorders>
            <w:shd w:fill="auto" w:val="clear"/>
          </w:tcPr>
          <w:p>
            <w:pPr>
              <w:pStyle w:val="ListParagraph"/>
              <w:spacing w:before="0" w:after="0"/>
              <w:ind w:left="0" w:right="0" w:hanging="0"/>
              <w:contextualSpacing/>
              <w:rPr/>
            </w:pPr>
            <w:r>
              <w:rPr/>
            </w:r>
          </w:p>
        </w:tc>
      </w:tr>
      <w:tr>
        <w:trPr>
          <w:cantSplit w:val="false"/>
        </w:trPr>
        <w:tc>
          <w:tcPr>
            <w:tcW w:w="2897" w:type="dxa"/>
            <w:tcBorders>
              <w:top w:val="nil"/>
              <w:left w:val="nil"/>
              <w:bottom w:val="nil"/>
              <w:insideH w:val="nil"/>
              <w:right w:val="nil"/>
              <w:insideV w:val="nil"/>
            </w:tcBorders>
            <w:shd w:fill="auto" w:val="clear"/>
          </w:tcPr>
          <w:p>
            <w:pPr>
              <w:pStyle w:val="ListParagraph"/>
              <w:spacing w:before="0" w:after="0"/>
              <w:contextualSpacing/>
              <w:rPr/>
            </w:pPr>
            <w:r>
              <w:rPr/>
              <w:t>Mobile:</w:t>
            </w:r>
          </w:p>
        </w:tc>
        <w:tc>
          <w:tcPr>
            <w:tcW w:w="6255" w:type="dxa"/>
            <w:tcBorders>
              <w:top w:val="nil"/>
              <w:left w:val="nil"/>
              <w:bottom w:val="nil"/>
              <w:insideH w:val="nil"/>
              <w:right w:val="nil"/>
              <w:insideV w:val="nil"/>
            </w:tcBorders>
            <w:shd w:fill="auto" w:val="clear"/>
          </w:tcPr>
          <w:p>
            <w:pPr>
              <w:pStyle w:val="ListParagraph"/>
              <w:spacing w:before="0" w:after="0"/>
              <w:ind w:left="0" w:right="0" w:hanging="0"/>
              <w:contextualSpacing/>
              <w:rPr/>
            </w:pPr>
            <w:r>
              <w:rPr/>
            </w:r>
          </w:p>
        </w:tc>
      </w:tr>
      <w:tr>
        <w:trPr>
          <w:cantSplit w:val="false"/>
        </w:trPr>
        <w:tc>
          <w:tcPr>
            <w:tcW w:w="2897" w:type="dxa"/>
            <w:tcBorders>
              <w:top w:val="nil"/>
              <w:left w:val="nil"/>
              <w:bottom w:val="nil"/>
              <w:insideH w:val="nil"/>
              <w:right w:val="nil"/>
              <w:insideV w:val="nil"/>
            </w:tcBorders>
            <w:shd w:fill="auto" w:val="clear"/>
          </w:tcPr>
          <w:p>
            <w:pPr>
              <w:pStyle w:val="ListParagraph"/>
              <w:spacing w:before="0" w:after="0"/>
              <w:contextualSpacing/>
              <w:rPr/>
            </w:pPr>
            <w:r>
              <w:rPr/>
              <w:t>Email:</w:t>
            </w:r>
          </w:p>
        </w:tc>
        <w:tc>
          <w:tcPr>
            <w:tcW w:w="6255" w:type="dxa"/>
            <w:tcBorders>
              <w:top w:val="nil"/>
              <w:left w:val="nil"/>
              <w:bottom w:val="nil"/>
              <w:insideH w:val="nil"/>
              <w:right w:val="nil"/>
              <w:insideV w:val="nil"/>
            </w:tcBorders>
            <w:shd w:fill="auto" w:val="clear"/>
          </w:tcPr>
          <w:p>
            <w:pPr>
              <w:pStyle w:val="ListParagraph"/>
              <w:spacing w:before="0" w:after="0"/>
              <w:ind w:left="0" w:right="0" w:hanging="0"/>
              <w:contextualSpacing/>
              <w:rPr/>
            </w:pPr>
            <w:r>
              <w:rPr/>
            </w:r>
          </w:p>
        </w:tc>
      </w:tr>
    </w:tbl>
    <w:p>
      <w:pPr>
        <w:pStyle w:val="ListParagraph"/>
        <w:ind w:left="90" w:right="0" w:hanging="0"/>
        <w:rPr/>
      </w:pPr>
      <w:r>
        <w:rPr/>
      </w:r>
    </w:p>
    <w:p>
      <w:pPr>
        <w:pStyle w:val="ListParagraph"/>
        <w:spacing w:before="0" w:after="200"/>
        <w:ind w:left="90" w:right="0" w:hanging="0"/>
        <w:contextualSpacing/>
        <w:rPr/>
      </w:pPr>
      <w:r>
        <w:rPr/>
        <w:t xml:space="preserve">Datasheet Approved by - </w:t>
      </w:r>
    </w:p>
    <w:sectPr>
      <w:footerReference w:type="default" r:id="rId2"/>
      <w:footnotePr>
        <w:numFmt w:val="decimal"/>
      </w:footnotePr>
      <w:type w:val="nextPage"/>
      <w:pgSz w:w="11906" w:h="16838"/>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b/>
        <w:bCs/>
        <w:sz w:val="24"/>
        <w:szCs w:val="24"/>
      </w:rPr>
    </w:pPr>
    <w:r>
      <w:rPr/>
      <w:t xml:space="preserve">Page </w:t>
    </w:r>
    <w:r>
      <w:rPr>
        <w:b/>
        <w:bCs/>
        <w:sz w:val="24"/>
        <w:szCs w:val="24"/>
      </w:rPr>
      <w:fldChar w:fldCharType="begin"/>
    </w:r>
    <w:r>
      <w:instrText> PAGE </w:instrText>
    </w:r>
    <w:r>
      <w:fldChar w:fldCharType="separate"/>
    </w:r>
    <w:r>
      <w:t>3</w:t>
    </w:r>
    <w:r>
      <w:fldChar w:fldCharType="end"/>
    </w:r>
    <w:r>
      <w:rPr/>
      <w:t xml:space="preserve"> of </w:t>
    </w:r>
    <w:r>
      <w:rPr>
        <w:b/>
        <w:bCs/>
        <w:sz w:val="24"/>
        <w:szCs w:val="24"/>
      </w:rPr>
      <w:fldChar w:fldCharType="begin"/>
    </w:r>
    <w:r>
      <w:instrText> NUMPAGES </w:instrText>
    </w:r>
    <w:r>
      <w:fldChar w:fldCharType="separate"/>
    </w:r>
    <w:r>
      <w:t>3</w:t>
    </w:r>
    <w:r>
      <w:fldChar w:fldCharType="end"/>
    </w:r>
  </w:p>
  <w:p>
    <w:pPr>
      <w:pStyle w:val="Footer"/>
      <w:rPr/>
    </w:pPr>
    <w:r>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rStyle w:val="Footnotereference"/>
        </w:rPr>
        <w:footnoteRef/>
        <w:tab/>
      </w:r>
      <w:r>
        <w:rPr/>
        <w:t xml:space="preserve"> </w:t>
      </w:r>
      <w:r>
        <w:rPr/>
        <w:t>Certain consumers (such as some on GP1, IP1) who are initially contracted for a supply of less than 42kVA are later categorized as a Heavy Supply consum</w:t>
      </w:r>
      <w:bookmarkStart w:id="0" w:name="_GoBack"/>
      <w:bookmarkEnd w:id="0"/>
      <w:r>
        <w:rPr/>
        <w:t xml:space="preserve">er due to high consumption. But some of them are continued to be named as GP1, IP1 but categorized under Heavy supply for the purpose of calculating Debtors period. Steps must be taken to change their account to IP2, IP3, GP2, GP3(as applicable) instead of continuing as GP1, IP1 under Heavy supply.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ff1f50"/>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Annotationreference">
    <w:name w:val="annotation reference"/>
    <w:uiPriority w:val="99"/>
    <w:semiHidden/>
    <w:unhideWhenUsed/>
    <w:rsid w:val="009e6d2b"/>
    <w:basedOn w:val="DefaultParagraphFont"/>
    <w:rPr>
      <w:sz w:val="16"/>
      <w:szCs w:val="16"/>
    </w:rPr>
  </w:style>
  <w:style w:type="character" w:styleId="CommentTextChar" w:customStyle="1">
    <w:name w:val="Comment Text Char"/>
    <w:uiPriority w:val="99"/>
    <w:semiHidden/>
    <w:link w:val="CommentText"/>
    <w:rsid w:val="009e6d2b"/>
    <w:basedOn w:val="DefaultParagraphFont"/>
    <w:rPr>
      <w:sz w:val="20"/>
      <w:szCs w:val="20"/>
    </w:rPr>
  </w:style>
  <w:style w:type="character" w:styleId="CommentSubjectChar" w:customStyle="1">
    <w:name w:val="Comment Subject Char"/>
    <w:uiPriority w:val="99"/>
    <w:semiHidden/>
    <w:link w:val="CommentSubject"/>
    <w:rsid w:val="009e6d2b"/>
    <w:basedOn w:val="CommentTextChar"/>
    <w:rPr>
      <w:b/>
      <w:bCs/>
      <w:sz w:val="20"/>
      <w:szCs w:val="20"/>
    </w:rPr>
  </w:style>
  <w:style w:type="character" w:styleId="BalloonTextChar" w:customStyle="1">
    <w:name w:val="Balloon Text Char"/>
    <w:uiPriority w:val="99"/>
    <w:semiHidden/>
    <w:link w:val="BalloonText"/>
    <w:rsid w:val="009e6d2b"/>
    <w:basedOn w:val="DefaultParagraphFont"/>
    <w:rPr>
      <w:rFonts w:ascii="Tahoma" w:hAnsi="Tahoma" w:cs="Tahoma"/>
      <w:sz w:val="16"/>
      <w:szCs w:val="16"/>
    </w:rPr>
  </w:style>
  <w:style w:type="character" w:styleId="PlaceholderText">
    <w:name w:val="Placeholder Text"/>
    <w:uiPriority w:val="99"/>
    <w:semiHidden/>
    <w:rsid w:val="00b523f1"/>
    <w:basedOn w:val="DefaultParagraphFont"/>
    <w:rPr>
      <w:color w:val="808080"/>
    </w:rPr>
  </w:style>
  <w:style w:type="character" w:styleId="FootnoteTextChar" w:customStyle="1">
    <w:name w:val="Footnote Text Char"/>
    <w:uiPriority w:val="99"/>
    <w:semiHidden/>
    <w:link w:val="FootnoteText"/>
    <w:rsid w:val="00493351"/>
    <w:basedOn w:val="DefaultParagraphFont"/>
    <w:rPr>
      <w:sz w:val="20"/>
      <w:szCs w:val="20"/>
    </w:rPr>
  </w:style>
  <w:style w:type="character" w:styleId="Footnotereference">
    <w:name w:val="footnote reference"/>
    <w:uiPriority w:val="99"/>
    <w:semiHidden/>
    <w:unhideWhenUsed/>
    <w:rsid w:val="00493351"/>
    <w:basedOn w:val="DefaultParagraphFont"/>
    <w:rPr>
      <w:vertAlign w:val="superscript"/>
    </w:rPr>
  </w:style>
  <w:style w:type="character" w:styleId="HeaderChar" w:customStyle="1">
    <w:name w:val="Header Char"/>
    <w:uiPriority w:val="99"/>
    <w:link w:val="Header"/>
    <w:rsid w:val="00333eb3"/>
    <w:basedOn w:val="DefaultParagraphFont"/>
    <w:rPr/>
  </w:style>
  <w:style w:type="character" w:styleId="FooterChar" w:customStyle="1">
    <w:name w:val="Footer Char"/>
    <w:uiPriority w:val="99"/>
    <w:link w:val="Footer"/>
    <w:rsid w:val="00333eb3"/>
    <w:basedOn w:val="DefaultParagraphFont"/>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04227b"/>
    <w:basedOn w:val="Normal"/>
    <w:pPr>
      <w:spacing w:before="0" w:after="200"/>
      <w:ind w:left="720" w:right="0" w:hanging="0"/>
      <w:contextualSpacing/>
    </w:pPr>
    <w:rPr/>
  </w:style>
  <w:style w:type="paragraph" w:styleId="Annotationtext">
    <w:name w:val="annotation text"/>
    <w:uiPriority w:val="99"/>
    <w:semiHidden/>
    <w:unhideWhenUsed/>
    <w:link w:val="CommentTextChar"/>
    <w:rsid w:val="009e6d2b"/>
    <w:basedOn w:val="Normal"/>
    <w:pPr>
      <w:spacing w:lineRule="auto" w:line="240"/>
    </w:pPr>
    <w:rPr>
      <w:sz w:val="20"/>
      <w:szCs w:val="20"/>
    </w:rPr>
  </w:style>
  <w:style w:type="paragraph" w:styleId="Annotationsubject">
    <w:name w:val="annotation subject"/>
    <w:uiPriority w:val="99"/>
    <w:semiHidden/>
    <w:unhideWhenUsed/>
    <w:link w:val="CommentSubjectChar"/>
    <w:rsid w:val="009e6d2b"/>
    <w:basedOn w:val="Annotationtext"/>
    <w:pPr/>
    <w:rPr>
      <w:b/>
      <w:bCs/>
    </w:rPr>
  </w:style>
  <w:style w:type="paragraph" w:styleId="Revision">
    <w:name w:val="Revision"/>
    <w:uiPriority w:val="99"/>
    <w:semiHidden/>
    <w:rsid w:val="009e6d2b"/>
    <w:pPr>
      <w:widowControl/>
      <w:suppressAutoHyphens w:val="true"/>
      <w:bidi w:val="0"/>
      <w:spacing w:lineRule="auto" w:line="240" w:before="0" w:after="0"/>
      <w:jc w:val="left"/>
    </w:pPr>
    <w:rPr>
      <w:rFonts w:ascii="Calibri" w:hAnsi="Calibri" w:eastAsia="Droid Sans Fallback" w:cs="Calibri"/>
      <w:color w:val="auto"/>
      <w:sz w:val="22"/>
      <w:szCs w:val="22"/>
      <w:lang w:val="en-US" w:eastAsia="en-US" w:bidi="ar-SA"/>
    </w:rPr>
  </w:style>
  <w:style w:type="paragraph" w:styleId="BalloonText">
    <w:name w:val="Balloon Text"/>
    <w:uiPriority w:val="99"/>
    <w:semiHidden/>
    <w:unhideWhenUsed/>
    <w:link w:val="BalloonTextChar"/>
    <w:rsid w:val="009e6d2b"/>
    <w:basedOn w:val="Normal"/>
    <w:pPr>
      <w:spacing w:lineRule="auto" w:line="240" w:before="0" w:after="0"/>
    </w:pPr>
    <w:rPr>
      <w:rFonts w:ascii="Tahoma" w:hAnsi="Tahoma" w:cs="Tahoma"/>
      <w:sz w:val="16"/>
      <w:szCs w:val="16"/>
    </w:rPr>
  </w:style>
  <w:style w:type="paragraph" w:styleId="Footnotetext">
    <w:name w:val="footnote text"/>
    <w:uiPriority w:val="99"/>
    <w:semiHidden/>
    <w:unhideWhenUsed/>
    <w:link w:val="FootnoteTextChar"/>
    <w:rsid w:val="00493351"/>
    <w:basedOn w:val="Normal"/>
    <w:pPr>
      <w:spacing w:lineRule="auto" w:line="240" w:before="0" w:after="0"/>
    </w:pPr>
    <w:rPr>
      <w:sz w:val="20"/>
      <w:szCs w:val="20"/>
    </w:rPr>
  </w:style>
  <w:style w:type="paragraph" w:styleId="Header">
    <w:name w:val="Header"/>
    <w:uiPriority w:val="99"/>
    <w:unhideWhenUsed/>
    <w:link w:val="HeaderChar"/>
    <w:rsid w:val="00333eb3"/>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333eb3"/>
    <w:basedOn w:val="Normal"/>
    <w:pPr>
      <w:tabs>
        <w:tab w:val="center" w:pos="4680" w:leader="none"/>
        <w:tab w:val="right" w:pos="9360" w:leader="none"/>
      </w:tabs>
      <w:spacing w:lineRule="auto" w:line="240" w:before="0" w:after="0"/>
    </w:pPr>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04227b"/>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E999C-BF14-46D9-ACE5-CAA004FFB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2015-06-30T08:50:00Z</dcterms:created>
  <dc:creator>HP</dc:creator>
  <dc:language>en-US</dc:language>
  <cp:lastModifiedBy>Lakshitha </cp:lastModifiedBy>
  <cp:lastPrinted>2015-05-20T07:59:00Z</cp:lastPrinted>
  <dcterms:modified xsi:type="dcterms:W3CDTF">2015-06-30T08:52:00Z</dcterms:modified>
  <cp:revision>3</cp:revision>
</cp:coreProperties>
</file>