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ey.png"/>
                    <pic:cNvPicPr/>
                  </pic:nvPicPr>
                  <pic:blipFill>
                    <a:blip r:embed="rId9"/>
                    <a:stretch>
                      <a:fillRect/>
                    </a:stretch>
                  </pic:blipFill>
                  <pic:spPr>
                    <a:xfrm>
                      <a:off x="0" y="0"/>
                      <a:ext cx="1152000" cy="1152000"/>
                    </a:xfrm>
                    <a:prstGeom prst="rect"/>
                  </pic:spPr>
                </pic:pic>
              </a:graphicData>
            </a:graphic>
          </wp:inline>
        </w:drawing>
      </w:r>
    </w:p>
    <w:p>
      <w:pPr>
        <w:spacing w:after="160"/>
      </w:pPr>
      <w:r>
        <w:rPr>
          <w:b w:val="0"/>
          <w:i w:val="0"/>
          <w:sz w:val="12"/>
        </w:rPr>
      </w:r>
    </w:p>
    <w:p>
      <w:pPr>
        <w:spacing w:after="160"/>
      </w:pPr>
      <w:r>
        <w:rPr>
          <w:b w:val="0"/>
          <w:i w:val="0"/>
          <w:sz w:val="12"/>
        </w:rPr>
      </w:r>
    </w:p>
    <w:p>
      <w:pPr>
        <w:jc w:val="center"/>
      </w:pPr>
      <w:r>
        <w:rPr>
          <w:b/>
          <w:color w:val="2E2E38"/>
          <w:sz w:val="68"/>
        </w:rPr>
        <w:t>INTELLIGENT OCR</w:t>
      </w:r>
    </w:p>
    <w:p>
      <w:pPr>
        <w:jc w:val="center"/>
      </w:pPr>
      <w:r>
        <w:rPr>
          <w:i/>
          <w:color w:val="595966"/>
          <w:sz w:val="30"/>
        </w:rPr>
        <w:t>Multilingual Document Intelligence powered by Generative AI</w:t>
      </w:r>
    </w:p>
    <w:p>
      <w:pPr>
        <w:spacing w:after="160"/>
      </w:pPr>
      <w:r>
        <w:rPr>
          <w:b w:val="0"/>
          <w:i w:val="0"/>
          <w:sz w:val="20"/>
        </w:rPr>
      </w:r>
    </w:p>
    <w:p>
      <w:pPr>
        <w:jc w:val="center"/>
      </w:pPr>
      <w:r>
        <w:rPr>
          <w:b/>
          <w:color w:val="E8B600"/>
          <w:sz w:val="30"/>
        </w:rPr>
        <w:t>FUNCTIONAL AND TECHNICAL SPECIFICATION DOCUMENT</w:t>
      </w:r>
    </w:p>
    <w:p>
      <w:pPr>
        <w:spacing w:after="160"/>
      </w:pPr>
      <w:r>
        <w:rPr>
          <w:b w:val="0"/>
          <w:i w:val="0"/>
          <w:sz w:val="32"/>
        </w:rPr>
      </w:r>
    </w:p>
    <w:p>
      <w:pPr>
        <w:spacing w:after="160"/>
      </w:pPr>
      <w:r>
        <w:rPr>
          <w:b w:val="0"/>
          <w:i w:val="0"/>
          <w:sz w:val="32"/>
        </w:rPr>
      </w:r>
    </w:p>
    <w:tbl>
      <w:tblPr>
        <w:tblW w:type="auto" w:w="0"/>
        <w:jc w:val="center"/>
        <w:tblLook w:firstColumn="1" w:firstRow="1" w:lastColumn="0" w:lastRow="0" w:noHBand="0" w:noVBand="1" w:val="04A0"/>
      </w:tblPr>
      <w:tblGrid>
        <w:gridCol w:w="4703"/>
        <w:gridCol w:w="4703"/>
      </w:tblGrid>
      <w:tr>
        <w:tc>
          <w:tcPr>
            <w:tcW w:type="dxa" w:w="2268"/>
          </w:tcPr>
          <w:p>
            <w:r>
              <w:rPr>
                <w:b/>
                <w:color w:val="2E2E38"/>
                <w:sz w:val="22"/>
              </w:rPr>
              <w:t>Project</w:t>
            </w:r>
          </w:p>
        </w:tc>
        <w:tc>
          <w:tcPr>
            <w:tcW w:type="dxa" w:w="5102"/>
          </w:tcPr>
          <w:p>
            <w:r>
              <w:rPr>
                <w:sz w:val="22"/>
              </w:rPr>
              <w:t>Intelligent OCR — Generative AI Document Recognition Platform</w:t>
            </w:r>
          </w:p>
        </w:tc>
      </w:tr>
      <w:tr>
        <w:tc>
          <w:tcPr>
            <w:tcW w:type="dxa" w:w="2268"/>
          </w:tcPr>
          <w:p>
            <w:r>
              <w:rPr>
                <w:b/>
                <w:color w:val="2E2E38"/>
                <w:sz w:val="22"/>
              </w:rPr>
              <w:t>Prepared by</w:t>
            </w:r>
          </w:p>
        </w:tc>
        <w:tc>
          <w:tcPr>
            <w:tcW w:type="dxa" w:w="5102"/>
          </w:tcPr>
          <w:p>
            <w:r>
              <w:rPr>
                <w:sz w:val="22"/>
              </w:rPr>
              <w:t>Mohamed Raed Bouhali — Intern</w:t>
            </w:r>
          </w:p>
        </w:tc>
      </w:tr>
      <w:tr>
        <w:tc>
          <w:tcPr>
            <w:tcW w:type="dxa" w:w="2268"/>
          </w:tcPr>
          <w:p>
            <w:r>
              <w:rPr>
                <w:b/>
                <w:color w:val="2E2E38"/>
                <w:sz w:val="22"/>
              </w:rPr>
              <w:t>Organization</w:t>
            </w:r>
          </w:p>
        </w:tc>
        <w:tc>
          <w:tcPr>
            <w:tcW w:type="dxa" w:w="5102"/>
          </w:tcPr>
          <w:p>
            <w:r>
              <w:rPr>
                <w:sz w:val="22"/>
              </w:rPr>
              <w:t>EY (Ernst &amp; Young)</w:t>
            </w:r>
          </w:p>
        </w:tc>
      </w:tr>
      <w:tr>
        <w:tc>
          <w:tcPr>
            <w:tcW w:type="dxa" w:w="2268"/>
          </w:tcPr>
          <w:p>
            <w:r>
              <w:rPr>
                <w:b/>
                <w:color w:val="2E2E38"/>
                <w:sz w:val="22"/>
              </w:rPr>
              <w:t>Document type</w:t>
            </w:r>
          </w:p>
        </w:tc>
        <w:tc>
          <w:tcPr>
            <w:tcW w:type="dxa" w:w="5102"/>
          </w:tcPr>
          <w:p>
            <w:r>
              <w:rPr>
                <w:sz w:val="22"/>
              </w:rPr>
              <w:t>Cahier des Charges / Specification Document</w:t>
            </w:r>
          </w:p>
        </w:tc>
      </w:tr>
      <w:tr>
        <w:tc>
          <w:tcPr>
            <w:tcW w:type="dxa" w:w="2268"/>
          </w:tcPr>
          <w:p>
            <w:r>
              <w:rPr>
                <w:b/>
                <w:color w:val="2E2E38"/>
                <w:sz w:val="22"/>
              </w:rPr>
              <w:t>Version</w:t>
            </w:r>
          </w:p>
        </w:tc>
        <w:tc>
          <w:tcPr>
            <w:tcW w:type="dxa" w:w="5102"/>
          </w:tcPr>
          <w:p>
            <w:r>
              <w:rPr>
                <w:sz w:val="22"/>
              </w:rPr>
              <w:t>1.0</w:t>
            </w:r>
          </w:p>
        </w:tc>
      </w:tr>
      <w:tr>
        <w:tc>
          <w:tcPr>
            <w:tcW w:type="dxa" w:w="2268"/>
          </w:tcPr>
          <w:p>
            <w:r>
              <w:rPr>
                <w:b/>
                <w:color w:val="2E2E38"/>
                <w:sz w:val="22"/>
              </w:rPr>
              <w:t>Status</w:t>
            </w:r>
          </w:p>
        </w:tc>
        <w:tc>
          <w:tcPr>
            <w:tcW w:type="dxa" w:w="5102"/>
          </w:tcPr>
          <w:p>
            <w:r>
              <w:rPr>
                <w:sz w:val="22"/>
              </w:rPr>
              <w:t>Draft for internal review</w:t>
            </w:r>
          </w:p>
        </w:tc>
      </w:tr>
      <w:tr>
        <w:tc>
          <w:tcPr>
            <w:tcW w:type="dxa" w:w="2268"/>
          </w:tcPr>
          <w:p>
            <w:r>
              <w:rPr>
                <w:b/>
                <w:color w:val="2E2E38"/>
                <w:sz w:val="22"/>
              </w:rPr>
              <w:t>Date</w:t>
            </w:r>
          </w:p>
        </w:tc>
        <w:tc>
          <w:tcPr>
            <w:tcW w:type="dxa" w:w="5102"/>
          </w:tcPr>
          <w:p>
            <w:r>
              <w:rPr>
                <w:sz w:val="22"/>
              </w:rPr>
              <w:t>July 2026</w:t>
            </w:r>
          </w:p>
        </w:tc>
      </w:tr>
      <w:tr>
        <w:tc>
          <w:tcPr>
            <w:tcW w:type="dxa" w:w="2268"/>
          </w:tcPr>
          <w:p>
            <w:r>
              <w:rPr>
                <w:b/>
                <w:color w:val="2E2E38"/>
                <w:sz w:val="22"/>
              </w:rPr>
              <w:t>Classification</w:t>
            </w:r>
          </w:p>
        </w:tc>
        <w:tc>
          <w:tcPr>
            <w:tcW w:type="dxa" w:w="5102"/>
          </w:tcPr>
          <w:p>
            <w:r>
              <w:rPr>
                <w:sz w:val="22"/>
              </w:rPr>
              <w:t>EY Internal — Confidential</w:t>
            </w:r>
          </w:p>
        </w:tc>
      </w:tr>
    </w:tbl>
    <w:p>
      <w:r>
        <w:br w:type="page"/>
      </w:r>
    </w:p>
    <w:p>
      <w:pPr>
        <w:pStyle w:val="Heading1"/>
      </w:pPr>
      <w:r>
        <w:t>Document Control</w:t>
      </w:r>
    </w:p>
    <w:p>
      <w:pPr>
        <w:spacing w:after="160"/>
      </w:pPr>
      <w:r>
        <w:rPr>
          <w:b/>
          <w:i w:val="0"/>
          <w:sz w:val="24"/>
        </w:rPr>
        <w:t>Revision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val="clear" w:color="auto" w:fill="2E2E38"/>
          </w:tcPr>
          <w:p>
            <w:r/>
            <w:r>
              <w:rPr>
                <w:b/>
                <w:color w:val="FFFFFF"/>
                <w:sz w:val="20"/>
              </w:rPr>
              <w:t>Version</w:t>
            </w:r>
          </w:p>
        </w:tc>
        <w:tc>
          <w:tcPr>
            <w:tcW w:type="dxa" w:w="1417"/>
            <w:shd w:val="clear" w:color="auto" w:fill="2E2E38"/>
          </w:tcPr>
          <w:p>
            <w:r/>
            <w:r>
              <w:rPr>
                <w:b/>
                <w:color w:val="FFFFFF"/>
                <w:sz w:val="20"/>
              </w:rPr>
              <w:t>Date</w:t>
            </w:r>
          </w:p>
        </w:tc>
        <w:tc>
          <w:tcPr>
            <w:tcW w:type="dxa" w:w="1984"/>
            <w:shd w:val="clear" w:color="auto" w:fill="2E2E38"/>
          </w:tcPr>
          <w:p>
            <w:r/>
            <w:r>
              <w:rPr>
                <w:b/>
                <w:color w:val="FFFFFF"/>
                <w:sz w:val="20"/>
              </w:rPr>
              <w:t>Author</w:t>
            </w:r>
          </w:p>
        </w:tc>
        <w:tc>
          <w:tcPr>
            <w:tcW w:type="dxa" w:w="3969"/>
            <w:shd w:val="clear" w:color="auto" w:fill="2E2E38"/>
          </w:tcPr>
          <w:p>
            <w:r/>
            <w:r>
              <w:rPr>
                <w:b/>
                <w:color w:val="FFFFFF"/>
                <w:sz w:val="20"/>
              </w:rPr>
              <w:t>Description</w:t>
            </w:r>
          </w:p>
        </w:tc>
      </w:tr>
      <w:tr>
        <w:tc>
          <w:tcPr>
            <w:tcW w:type="dxa" w:w="1134"/>
          </w:tcPr>
          <w:p>
            <w:r/>
            <w:r>
              <w:rPr>
                <w:sz w:val="19"/>
              </w:rPr>
              <w:t>0.1</w:t>
            </w:r>
          </w:p>
        </w:tc>
        <w:tc>
          <w:tcPr>
            <w:tcW w:type="dxa" w:w="1417"/>
          </w:tcPr>
          <w:p>
            <w:r/>
            <w:r>
              <w:rPr>
                <w:sz w:val="19"/>
              </w:rPr>
              <w:t>July 2026</w:t>
            </w:r>
          </w:p>
        </w:tc>
        <w:tc>
          <w:tcPr>
            <w:tcW w:type="dxa" w:w="1984"/>
          </w:tcPr>
          <w:p>
            <w:r/>
            <w:r>
              <w:rPr>
                <w:sz w:val="19"/>
              </w:rPr>
              <w:t>M. Raed Bouhali</w:t>
            </w:r>
          </w:p>
        </w:tc>
        <w:tc>
          <w:tcPr>
            <w:tcW w:type="dxa" w:w="3969"/>
          </w:tcPr>
          <w:p>
            <w:r/>
            <w:r>
              <w:rPr>
                <w:sz w:val="19"/>
              </w:rPr>
              <w:t>Initial draft — scaffolding and OCR core</w:t>
            </w:r>
          </w:p>
        </w:tc>
      </w:tr>
      <w:tr>
        <w:tc>
          <w:tcPr>
            <w:tcW w:type="dxa" w:w="1134"/>
          </w:tcPr>
          <w:p>
            <w:r/>
            <w:r>
              <w:rPr>
                <w:sz w:val="19"/>
              </w:rPr>
              <w:t>0.5</w:t>
            </w:r>
          </w:p>
        </w:tc>
        <w:tc>
          <w:tcPr>
            <w:tcW w:type="dxa" w:w="1417"/>
          </w:tcPr>
          <w:p>
            <w:r/>
            <w:r>
              <w:rPr>
                <w:sz w:val="19"/>
              </w:rPr>
              <w:t>July 2026</w:t>
            </w:r>
          </w:p>
        </w:tc>
        <w:tc>
          <w:tcPr>
            <w:tcW w:type="dxa" w:w="1984"/>
          </w:tcPr>
          <w:p>
            <w:r/>
            <w:r>
              <w:rPr>
                <w:sz w:val="19"/>
              </w:rPr>
              <w:t>M. Raed Bouhali</w:t>
            </w:r>
          </w:p>
        </w:tc>
        <w:tc>
          <w:tcPr>
            <w:tcW w:type="dxa" w:w="3969"/>
          </w:tcPr>
          <w:p>
            <w:r/>
            <w:r>
              <w:rPr>
                <w:sz w:val="19"/>
              </w:rPr>
              <w:t>Web platform added (backend, frontend, MongoDB)</w:t>
            </w:r>
          </w:p>
        </w:tc>
      </w:tr>
      <w:tr>
        <w:tc>
          <w:tcPr>
            <w:tcW w:type="dxa" w:w="1134"/>
          </w:tcPr>
          <w:p>
            <w:r/>
            <w:r>
              <w:rPr>
                <w:sz w:val="19"/>
              </w:rPr>
              <w:t>0.8</w:t>
            </w:r>
          </w:p>
        </w:tc>
        <w:tc>
          <w:tcPr>
            <w:tcW w:type="dxa" w:w="1417"/>
          </w:tcPr>
          <w:p>
            <w:r/>
            <w:r>
              <w:rPr>
                <w:sz w:val="19"/>
              </w:rPr>
              <w:t>July 2026</w:t>
            </w:r>
          </w:p>
        </w:tc>
        <w:tc>
          <w:tcPr>
            <w:tcW w:type="dxa" w:w="1984"/>
          </w:tcPr>
          <w:p>
            <w:r/>
            <w:r>
              <w:rPr>
                <w:sz w:val="19"/>
              </w:rPr>
              <w:t>M. Raed Bouhali</w:t>
            </w:r>
          </w:p>
        </w:tc>
        <w:tc>
          <w:tcPr>
            <w:tcW w:type="dxa" w:w="3969"/>
          </w:tcPr>
          <w:p>
            <w:r/>
            <w:r>
              <w:rPr>
                <w:sz w:val="19"/>
              </w:rPr>
              <w:t>GenAI engine migrated to Groq / Llama 4 vision</w:t>
            </w:r>
          </w:p>
        </w:tc>
      </w:tr>
      <w:tr>
        <w:tc>
          <w:tcPr>
            <w:tcW w:type="dxa" w:w="1134"/>
          </w:tcPr>
          <w:p>
            <w:r/>
            <w:r>
              <w:rPr>
                <w:sz w:val="19"/>
              </w:rPr>
              <w:t>1.0</w:t>
            </w:r>
          </w:p>
        </w:tc>
        <w:tc>
          <w:tcPr>
            <w:tcW w:type="dxa" w:w="1417"/>
          </w:tcPr>
          <w:p>
            <w:r/>
            <w:r>
              <w:rPr>
                <w:sz w:val="19"/>
              </w:rPr>
              <w:t>July 2026</w:t>
            </w:r>
          </w:p>
        </w:tc>
        <w:tc>
          <w:tcPr>
            <w:tcW w:type="dxa" w:w="1984"/>
          </w:tcPr>
          <w:p>
            <w:r/>
            <w:r>
              <w:rPr>
                <w:sz w:val="19"/>
              </w:rPr>
              <w:t>M. Raed Bouhali</w:t>
            </w:r>
          </w:p>
        </w:tc>
        <w:tc>
          <w:tcPr>
            <w:tcW w:type="dxa" w:w="3969"/>
          </w:tcPr>
          <w:p>
            <w:r/>
            <w:r>
              <w:rPr>
                <w:sz w:val="19"/>
              </w:rPr>
              <w:t>Consolidated functional &amp; technical specification</w:t>
            </w:r>
          </w:p>
        </w:tc>
      </w:tr>
    </w:tbl>
    <w:p>
      <w:pPr>
        <w:spacing w:after="80"/>
      </w:pPr>
    </w:p>
    <w:p>
      <w:pPr>
        <w:spacing w:after="160"/>
      </w:pPr>
      <w:r>
        <w:rPr>
          <w:b/>
          <w:i w:val="0"/>
          <w:sz w:val="24"/>
        </w:rPr>
        <w:t>Distribution list</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val="clear" w:color="auto" w:fill="2E2E38"/>
          </w:tcPr>
          <w:p>
            <w:r/>
            <w:r>
              <w:rPr>
                <w:b/>
                <w:color w:val="FFFFFF"/>
                <w:sz w:val="20"/>
              </w:rPr>
              <w:t>Name</w:t>
            </w:r>
          </w:p>
        </w:tc>
        <w:tc>
          <w:tcPr>
            <w:tcW w:type="dxa" w:w="3402"/>
            <w:shd w:val="clear" w:color="auto" w:fill="2E2E38"/>
          </w:tcPr>
          <w:p>
            <w:r/>
            <w:r>
              <w:rPr>
                <w:b/>
                <w:color w:val="FFFFFF"/>
                <w:sz w:val="20"/>
              </w:rPr>
              <w:t>Role</w:t>
            </w:r>
          </w:p>
        </w:tc>
        <w:tc>
          <w:tcPr>
            <w:tcW w:type="dxa" w:w="2268"/>
            <w:shd w:val="clear" w:color="auto" w:fill="2E2E38"/>
          </w:tcPr>
          <w:p>
            <w:r/>
            <w:r>
              <w:rPr>
                <w:b/>
                <w:color w:val="FFFFFF"/>
                <w:sz w:val="20"/>
              </w:rPr>
              <w:t>Purpose</w:t>
            </w:r>
          </w:p>
        </w:tc>
      </w:tr>
      <w:tr>
        <w:tc>
          <w:tcPr>
            <w:tcW w:type="dxa" w:w="2835"/>
          </w:tcPr>
          <w:p>
            <w:r/>
            <w:r>
              <w:rPr>
                <w:sz w:val="19"/>
              </w:rPr>
              <w:t>Project Supervisor</w:t>
            </w:r>
          </w:p>
        </w:tc>
        <w:tc>
          <w:tcPr>
            <w:tcW w:type="dxa" w:w="3402"/>
          </w:tcPr>
          <w:p>
            <w:r/>
            <w:r>
              <w:rPr>
                <w:sz w:val="19"/>
              </w:rPr>
              <w:t>EY Internship Supervisor</w:t>
            </w:r>
          </w:p>
        </w:tc>
        <w:tc>
          <w:tcPr>
            <w:tcW w:type="dxa" w:w="2268"/>
          </w:tcPr>
          <w:p>
            <w:r/>
            <w:r>
              <w:rPr>
                <w:sz w:val="19"/>
              </w:rPr>
              <w:t>Review and validation</w:t>
            </w:r>
          </w:p>
        </w:tc>
      </w:tr>
      <w:tr>
        <w:tc>
          <w:tcPr>
            <w:tcW w:type="dxa" w:w="2835"/>
          </w:tcPr>
          <w:p>
            <w:r/>
            <w:r>
              <w:rPr>
                <w:sz w:val="19"/>
              </w:rPr>
              <w:t>M. Raed Bouhali</w:t>
            </w:r>
          </w:p>
        </w:tc>
        <w:tc>
          <w:tcPr>
            <w:tcW w:type="dxa" w:w="3402"/>
          </w:tcPr>
          <w:p>
            <w:r/>
            <w:r>
              <w:rPr>
                <w:sz w:val="19"/>
              </w:rPr>
              <w:t>Intern / Developer</w:t>
            </w:r>
          </w:p>
        </w:tc>
        <w:tc>
          <w:tcPr>
            <w:tcW w:type="dxa" w:w="2268"/>
          </w:tcPr>
          <w:p>
            <w:r/>
            <w:r>
              <w:rPr>
                <w:sz w:val="19"/>
              </w:rPr>
              <w:t>Author</w:t>
            </w:r>
          </w:p>
        </w:tc>
      </w:tr>
    </w:tbl>
    <w:p>
      <w:pPr>
        <w:spacing w:after="80"/>
      </w:pPr>
    </w:p>
    <w:p>
      <w:pPr>
        <w:spacing w:after="160"/>
      </w:pPr>
      <w:r>
        <w:rPr>
          <w:b w:val="0"/>
          <w:i/>
          <w:sz w:val="22"/>
        </w:rPr>
        <w:t>This document is a living artefact and is expected to evolve as the project progresses through its remaining implementation and evaluation phases. All technical descriptions in this document are aligned with the state of the codebase at the time of writing and are cross-referenced against the actual source files where relevant.</w:t>
      </w:r>
    </w:p>
    <w:p>
      <w:r>
        <w:br w:type="page"/>
      </w:r>
    </w:p>
    <w:p>
      <w:pPr>
        <w:pStyle w:val="Heading1"/>
      </w:pPr>
      <w:r>
        <w:t>Table of Contents</w:t>
      </w:r>
    </w:p>
    <w:p>
      <w:r>
        <w:fldChar w:fldCharType="begin"/>
        <w:instrText xml:space="preserve">TOC \o "1-3" \h \z \u</w:instrText>
        <w:fldChar w:fldCharType="separate">
          <w:t>Right-click here and choose "Update Field" (or press F9) to generate the Table of Contents.</w:t>
        </w:fldChar>
        <w:fldChar w:fldCharType="end"/>
      </w:r>
    </w:p>
    <w:p>
      <w:r>
        <w:br w:type="page"/>
      </w:r>
    </w:p>
    <w:p>
      <w:pPr>
        <w:pStyle w:val="Heading1"/>
      </w:pPr>
      <w:r>
        <w:t>Executive Summary</w:t>
      </w:r>
    </w:p>
    <w:p>
      <w:pPr>
        <w:spacing w:after="160"/>
      </w:pPr>
      <w:r>
        <w:rPr>
          <w:b w:val="0"/>
          <w:i w:val="0"/>
          <w:sz w:val="22"/>
        </w:rPr>
        <w:t>This document specifies the functional and technical requirements of the Intelligent OCR project, an internship initiative carried out within EY. The project addresses a well-known limitation of traditional Optical Character Recognition (OCR) systems: their fragility when applied to low-quality, noisy, skewed, or structurally complex scanned documents, particularly in multilingual contexts involving French, English, and Arabic.</w:t>
      </w:r>
    </w:p>
    <w:p>
      <w:pPr>
        <w:spacing w:after="160"/>
      </w:pPr>
      <w:r>
        <w:rPr>
          <w:b w:val="0"/>
          <w:i w:val="0"/>
          <w:sz w:val="22"/>
        </w:rPr>
        <w:t>Rather than relying solely on classical, statistically-driven character recognition, the solution leverages a vision-capable generative AI model to read documents in a manner closer to human comprehension — using contextual understanding of language, layout, and structure to resolve ambiguities that defeat traditional engines. The system is delivered as a complete, production-shaped web platform rather than a standalone script: a React single-page application, a FastAPI backend, and a MongoDB persistence layer, wrapped in EY's visual identity.</w:t>
      </w:r>
    </w:p>
    <w:p>
      <w:pPr>
        <w:spacing w:after="160"/>
      </w:pPr>
      <w:r>
        <w:rPr>
          <w:b w:val="0"/>
          <w:i w:val="0"/>
          <w:sz w:val="22"/>
        </w:rPr>
        <w:t>Three recognition strategies are implemented and selectable at runtime: a pure generative-AI vision pipeline (the recommended default), a hybrid pipeline combining classical OCR (Tesseract) with generative post-correction, and a classical-only baseline retained for objective benchmarking. A dedicated evaluation module computes Character Error Rate (CER) and Word Error Rate (WER) against user-supplied ground truth, allowing the quality improvement to be measured rather than asserted.</w:t>
      </w:r>
    </w:p>
    <w:p>
      <w:pPr>
        <w:spacing w:after="160"/>
      </w:pPr>
      <w:r>
        <w:rPr>
          <w:b w:val="0"/>
          <w:i w:val="0"/>
          <w:sz w:val="22"/>
        </w:rPr>
        <w:t>The remainder of this document details the context and objectives, the functional and non-functional requirements, the system architecture, the technology choices and their justification, the data model, the API contract, the user interface specification, the security model, and the risks, limitations, and roadmap for future iterations.</w:t>
      </w:r>
    </w:p>
    <w:p>
      <w:r>
        <w:br w:type="page"/>
      </w:r>
    </w:p>
    <w:p>
      <w:pPr>
        <w:pStyle w:val="Heading1"/>
      </w:pPr>
      <w:r>
        <w:rPr>
          <w:b/>
          <w:color w:val="E8B600"/>
        </w:rPr>
        <w:t xml:space="preserve">1  </w:t>
      </w:r>
      <w:r>
        <w:t>Introduction</w:t>
      </w:r>
    </w:p>
    <w:p>
      <w:pPr>
        <w:pStyle w:val="Heading2"/>
      </w:pPr>
      <w:r>
        <w:t>1.1 Context and Motivation</w:t>
      </w:r>
    </w:p>
    <w:p>
      <w:pPr>
        <w:spacing w:after="160"/>
      </w:pPr>
      <w:r>
        <w:rPr>
          <w:b w:val="0"/>
          <w:i w:val="0"/>
          <w:sz w:val="22"/>
        </w:rPr>
        <w:t>Document digitization remains a central operation across professional services, finance, legal, and administrative workflows. EY, like most large organizations, routinely processes scanned contracts, invoices, identity documents, and administrative forms — many of them of inconsistent scan quality, and a significant proportion involving French, English, or Arabic content, sometimes within the same document.</w:t>
      </w:r>
    </w:p>
    <w:p>
      <w:pPr>
        <w:spacing w:after="160"/>
      </w:pPr>
      <w:r>
        <w:rPr>
          <w:b w:val="0"/>
          <w:i w:val="0"/>
          <w:sz w:val="22"/>
        </w:rPr>
        <w:t>Classical OCR engines, including widely used open-source solutions such as Tesseract, perform character-level pattern matching. This approach is fast and requires no network dependency, but its accuracy degrades sharply in the presence of noise, skew, low contrast, unconventional layouts, or connected/cursive scripts such as Arabic. Diacritic marks, ligatures, and right-to-left reading order compound these difficulties further.</w:t>
      </w:r>
    </w:p>
    <w:p>
      <w:pPr>
        <w:spacing w:after="160"/>
      </w:pPr>
      <w:r>
        <w:rPr>
          <w:b w:val="0"/>
          <w:i w:val="0"/>
          <w:sz w:val="22"/>
        </w:rPr>
        <w:t>Recent generative AI models with native vision capabilities offer a qualitatively different approach: instead of matching isolated glyph shapes, they interpret the page holistically, using linguistic and contextual cues to disambiguate characters, reconstruct degraded regions, and preserve structural elements such as tables and headings. This project was scoped to evaluate and implement this approach as a working platform, not merely a proof of concept.</w:t>
      </w:r>
    </w:p>
    <w:p>
      <w:pPr>
        <w:pStyle w:val="Heading2"/>
      </w:pPr>
      <w:r>
        <w:t>1.2 Problem Statement</w:t>
      </w:r>
    </w:p>
    <w:p>
      <w:pPr>
        <w:spacing w:after="160"/>
      </w:pPr>
      <w:r>
        <w:rPr>
          <w:b w:val="0"/>
          <w:i w:val="0"/>
          <w:sz w:val="22"/>
        </w:rPr>
        <w:t>The project addresses the following problem: design and build an OCR system capable of reliably extracting text from scanned documents in French, English, and Arabic, including documents of degraded quality, while providing a measurable accuracy improvement over classical OCR, and packaging the result as a usable, secure, multi-user web application rather than a research script.</w:t>
      </w:r>
    </w:p>
    <w:p>
      <w:pPr>
        <w:pStyle w:val="Heading2"/>
      </w:pPr>
      <w:r>
        <w:t>1.3 Project Objectives</w:t>
      </w:r>
    </w:p>
    <w:p>
      <w:pPr>
        <w:pStyle w:val="ListBullet"/>
        <w:spacing w:after="80"/>
      </w:pPr>
      <w:r>
        <w:t>Design a document processing pipeline combining classical image preprocessing with a generative AI vision model for text extraction.</w:t>
      </w:r>
    </w:p>
    <w:p>
      <w:pPr>
        <w:pStyle w:val="ListBullet"/>
        <w:spacing w:after="80"/>
      </w:pPr>
      <w:r>
        <w:t>Support French, English, and Arabic, including mixed-language and right-to-left content, with correct rendering in the user interface.</w:t>
      </w:r>
    </w:p>
    <w:p>
      <w:pPr>
        <w:pStyle w:val="ListBullet"/>
        <w:spacing w:after="80"/>
      </w:pPr>
      <w:r>
        <w:t>Provide three interchangeable recognition strategies to allow objective, side-by-side benchmarking against a classical baseline.</w:t>
      </w:r>
    </w:p>
    <w:p>
      <w:pPr>
        <w:pStyle w:val="ListBullet"/>
        <w:spacing w:after="80"/>
      </w:pPr>
      <w:r>
        <w:t>Implement a quantitative evaluation mechanism (CER / WER) so that accuracy claims are measurable and reproducible.</w:t>
      </w:r>
    </w:p>
    <w:p>
      <w:pPr>
        <w:pStyle w:val="ListBullet"/>
        <w:spacing w:after="80"/>
      </w:pPr>
      <w:r>
        <w:t>Deliver the capability as a secure, authenticated, multi-user web platform with permanent per-user document history.</w:t>
      </w:r>
    </w:p>
    <w:p>
      <w:pPr>
        <w:pStyle w:val="ListBullet"/>
        <w:spacing w:after="80"/>
      </w:pPr>
      <w:r>
        <w:t>Apply EY's visual identity throughout the user experience so the tool is presentation-ready for internal stakeholders.</w:t>
      </w:r>
    </w:p>
    <w:p>
      <w:pPr>
        <w:pStyle w:val="Heading2"/>
      </w:pPr>
      <w:r>
        <w:t>1.4 Stakeholders</w:t>
      </w:r>
    </w:p>
    <w:tbl>
      <w:tblPr>
        <w:tblStyle w:val="TableGrid"/>
        <w:tblW w:type="auto" w:w="0"/>
        <w:jc w:val="center"/>
        <w:tblLook w:firstColumn="1" w:firstRow="1" w:lastColumn="0" w:lastRow="0" w:noHBand="0" w:noVBand="1" w:val="04A0"/>
      </w:tblPr>
      <w:tblGrid>
        <w:gridCol w:w="4703"/>
        <w:gridCol w:w="4703"/>
      </w:tblGrid>
      <w:tr>
        <w:tc>
          <w:tcPr>
            <w:tcW w:type="dxa" w:w="2835"/>
            <w:shd w:val="clear" w:color="auto" w:fill="2E2E38"/>
          </w:tcPr>
          <w:p>
            <w:r/>
            <w:r>
              <w:rPr>
                <w:b/>
                <w:color w:val="FFFFFF"/>
                <w:sz w:val="20"/>
              </w:rPr>
              <w:t>Stakeholder</w:t>
            </w:r>
          </w:p>
        </w:tc>
        <w:tc>
          <w:tcPr>
            <w:tcW w:type="dxa" w:w="5102"/>
            <w:shd w:val="clear" w:color="auto" w:fill="2E2E38"/>
          </w:tcPr>
          <w:p>
            <w:r/>
            <w:r>
              <w:rPr>
                <w:b/>
                <w:color w:val="FFFFFF"/>
                <w:sz w:val="20"/>
              </w:rPr>
              <w:t>Interest</w:t>
            </w:r>
          </w:p>
        </w:tc>
      </w:tr>
      <w:tr>
        <w:tc>
          <w:tcPr>
            <w:tcW w:type="dxa" w:w="2835"/>
          </w:tcPr>
          <w:p>
            <w:r/>
            <w:r>
              <w:rPr>
                <w:sz w:val="19"/>
              </w:rPr>
              <w:t>Internship supervisor</w:t>
            </w:r>
          </w:p>
        </w:tc>
        <w:tc>
          <w:tcPr>
            <w:tcW w:type="dxa" w:w="5102"/>
          </w:tcPr>
          <w:p>
            <w:r/>
            <w:r>
              <w:rPr>
                <w:sz w:val="19"/>
              </w:rPr>
              <w:t>Validates functional and technical scope; assesses deliverable quality against internship objectives.</w:t>
            </w:r>
          </w:p>
        </w:tc>
      </w:tr>
      <w:tr>
        <w:tc>
          <w:tcPr>
            <w:tcW w:type="dxa" w:w="2835"/>
          </w:tcPr>
          <w:p>
            <w:r/>
            <w:r>
              <w:rPr>
                <w:sz w:val="19"/>
              </w:rPr>
              <w:t>End users (internal EY staff, illustrative)</w:t>
            </w:r>
          </w:p>
        </w:tc>
        <w:tc>
          <w:tcPr>
            <w:tcW w:type="dxa" w:w="5102"/>
          </w:tcPr>
          <w:p>
            <w:r/>
            <w:r>
              <w:rPr>
                <w:sz w:val="19"/>
              </w:rPr>
              <w:t>Would use the platform to digitize scanned documents and retrieve past extractions.</w:t>
            </w:r>
          </w:p>
        </w:tc>
      </w:tr>
      <w:tr>
        <w:tc>
          <w:tcPr>
            <w:tcW w:type="dxa" w:w="2835"/>
          </w:tcPr>
          <w:p>
            <w:r/>
            <w:r>
              <w:rPr>
                <w:sz w:val="19"/>
              </w:rPr>
              <w:t>Intern / Developer</w:t>
            </w:r>
          </w:p>
        </w:tc>
        <w:tc>
          <w:tcPr>
            <w:tcW w:type="dxa" w:w="5102"/>
          </w:tcPr>
          <w:p>
            <w:r/>
            <w:r>
              <w:rPr>
                <w:sz w:val="19"/>
              </w:rPr>
              <w:t>Designs, implements, documents, and evaluates the solution.</w:t>
            </w:r>
          </w:p>
        </w:tc>
      </w:tr>
    </w:tbl>
    <w:p>
      <w:pPr>
        <w:spacing w:after="80"/>
      </w:pPr>
    </w:p>
    <w:p>
      <w:r>
        <w:br w:type="page"/>
      </w:r>
    </w:p>
    <w:p>
      <w:pPr>
        <w:pStyle w:val="Heading1"/>
      </w:pPr>
      <w:r>
        <w:rPr>
          <w:b/>
          <w:color w:val="E8B600"/>
        </w:rPr>
        <w:t xml:space="preserve">2  </w:t>
      </w:r>
      <w:r>
        <w:t>Project Scope</w:t>
      </w:r>
    </w:p>
    <w:p>
      <w:pPr>
        <w:pStyle w:val="Heading2"/>
      </w:pPr>
      <w:r>
        <w:t>2.1 In Scope</w:t>
      </w:r>
    </w:p>
    <w:p>
      <w:pPr>
        <w:pStyle w:val="ListBullet"/>
        <w:spacing w:after="80"/>
      </w:pPr>
      <w:r>
        <w:t>Image preprocessing pipeline (resize, grayscale, denoising, deskewing, contrast enhancement, optional binarization).</w:t>
      </w:r>
    </w:p>
    <w:p>
      <w:pPr>
        <w:pStyle w:val="ListBullet"/>
        <w:spacing w:after="80"/>
      </w:pPr>
      <w:r>
        <w:t>Generative AI vision-based text extraction using a hosted large language model with vision capabilities (Groq / Llama 4).</w:t>
      </w:r>
    </w:p>
    <w:p>
      <w:pPr>
        <w:pStyle w:val="ListBullet"/>
        <w:spacing w:after="80"/>
      </w:pPr>
      <w:r>
        <w:t>Classical OCR baseline via Tesseract, optional and auto-detected.</w:t>
      </w:r>
    </w:p>
    <w:p>
      <w:pPr>
        <w:pStyle w:val="ListBullet"/>
        <w:spacing w:after="80"/>
      </w:pPr>
      <w:r>
        <w:t>Hybrid mode combining classical extraction with generative post-correction.</w:t>
      </w:r>
    </w:p>
    <w:p>
      <w:pPr>
        <w:pStyle w:val="ListBullet"/>
        <w:spacing w:after="80"/>
      </w:pPr>
      <w:r>
        <w:t>Multi-page scanned PDF support via local rasterization.</w:t>
      </w:r>
    </w:p>
    <w:p>
      <w:pPr>
        <w:pStyle w:val="ListBullet"/>
        <w:spacing w:after="80"/>
      </w:pPr>
      <w:r>
        <w:t>Automatic language detection and right-to-left rendering for Arabic content.</w:t>
      </w:r>
    </w:p>
    <w:p>
      <w:pPr>
        <w:pStyle w:val="ListBullet"/>
        <w:spacing w:after="80"/>
      </w:pPr>
      <w:r>
        <w:t>CER / WER evaluation against user-supplied ground truth.</w:t>
      </w:r>
    </w:p>
    <w:p>
      <w:pPr>
        <w:pStyle w:val="ListBullet"/>
        <w:spacing w:after="80"/>
      </w:pPr>
      <w:r>
        <w:t>A FastAPI backend exposing a REST API secured by JWT authentication.</w:t>
      </w:r>
    </w:p>
    <w:p>
      <w:pPr>
        <w:pStyle w:val="ListBullet"/>
        <w:spacing w:after="80"/>
      </w:pPr>
      <w:r>
        <w:t>A MongoDB persistence layer for user accounts and document history.</w:t>
      </w:r>
    </w:p>
    <w:p>
      <w:pPr>
        <w:pStyle w:val="ListBullet"/>
        <w:spacing w:after="80"/>
      </w:pPr>
      <w:r>
        <w:t>A React single-page application implementing login, upload/extraction, result review, account management, and a searchable document history.</w:t>
      </w:r>
    </w:p>
    <w:p>
      <w:pPr>
        <w:pStyle w:val="ListBullet"/>
        <w:spacing w:after="80"/>
      </w:pPr>
      <w:r>
        <w:t>A command-line interface and a Streamlit prototype for quick, script-friendly usage.</w:t>
      </w:r>
    </w:p>
    <w:p>
      <w:pPr>
        <w:pStyle w:val="Heading2"/>
      </w:pPr>
      <w:r>
        <w:t>2.2 Out of Scope</w:t>
      </w:r>
    </w:p>
    <w:p>
      <w:pPr>
        <w:pStyle w:val="ListBullet"/>
        <w:spacing w:after="80"/>
      </w:pPr>
      <w:r>
        <w:t>Public self-service account registration (accounts are provisioned administratively or seeded at deployment).</w:t>
      </w:r>
    </w:p>
    <w:p>
      <w:pPr>
        <w:pStyle w:val="ListBullet"/>
        <w:spacing w:after="80"/>
      </w:pPr>
      <w:r>
        <w:t>Production-grade horizontal scaling, load balancing, or containerized orchestration (the current deployment target is a single development or demonstration environment).</w:t>
      </w:r>
    </w:p>
    <w:p>
      <w:pPr>
        <w:pStyle w:val="ListBullet"/>
        <w:spacing w:after="80"/>
      </w:pPr>
      <w:r>
        <w:t>Integration with EY's internal identity provider or single sign-on systems.</w:t>
      </w:r>
    </w:p>
    <w:p>
      <w:pPr>
        <w:pStyle w:val="ListBullet"/>
        <w:spacing w:after="80"/>
      </w:pPr>
      <w:r>
        <w:t>Automated structured-data extraction (e.g. invoice field parsing) beyond free-text transcription with Markdown structure preservation.</w:t>
      </w:r>
    </w:p>
    <w:p>
      <w:pPr>
        <w:pStyle w:val="ListBullet"/>
        <w:spacing w:after="80"/>
      </w:pPr>
      <w:r>
        <w:t>Handwriting recognition; the system targets printed and typewritten scanned text.</w:t>
      </w:r>
    </w:p>
    <w:p>
      <w:pPr>
        <w:pStyle w:val="ListBullet"/>
        <w:spacing w:after="80"/>
      </w:pPr>
      <w:r>
        <w:t>Support for languages beyond French, English, and Arabic.</w:t>
      </w:r>
    </w:p>
    <w:p>
      <w:pPr>
        <w:pStyle w:val="Heading2"/>
      </w:pPr>
      <w:r>
        <w:t>2.3 Assumptions and Constraints</w:t>
      </w:r>
    </w:p>
    <w:p>
      <w:pPr>
        <w:pStyle w:val="ListBullet"/>
        <w:spacing w:after="80"/>
      </w:pPr>
      <w:r>
        <w:t>The generative AI vision model is accessed as a hosted third-party API (Groq) and therefore requires network connectivity and a valid API key with sufficient usage credit.</w:t>
      </w:r>
    </w:p>
    <w:p>
      <w:pPr>
        <w:pStyle w:val="ListBullet"/>
        <w:spacing w:after="80"/>
      </w:pPr>
      <w:r>
        <w:t>MongoDB is assumed to be available and reachable, either as a local service or a managed instance, via a configurable connection string.</w:t>
      </w:r>
    </w:p>
    <w:p>
      <w:pPr>
        <w:pStyle w:val="ListBullet"/>
        <w:spacing w:after="80"/>
      </w:pPr>
      <w:r>
        <w:t>Tesseract is an optional local binary dependency; when absent, the platform degrades gracefully to GenAI-only operation without error.</w:t>
      </w:r>
    </w:p>
    <w:p>
      <w:pPr>
        <w:pStyle w:val="ListBullet"/>
        <w:spacing w:after="80"/>
      </w:pPr>
      <w:r>
        <w:t>The reference development and testing environment is Windows, and the current configuration (e.g. local proxy target resolution) reflects that environment; adaptations may be required for other operating systems.</w:t>
      </w:r>
    </w:p>
    <w:p>
      <w:pPr>
        <w:pStyle w:val="ListBullet"/>
        <w:spacing w:after="80"/>
      </w:pPr>
      <w:r>
        <w:t>The uploaded document size is bounded (30 MB) to remain compatible with the vision model's request limits.</w:t>
      </w:r>
    </w:p>
    <w:p>
      <w:r>
        <w:br w:type="page"/>
      </w:r>
    </w:p>
    <w:p>
      <w:pPr>
        <w:pStyle w:val="Heading1"/>
      </w:pPr>
      <w:r>
        <w:rPr>
          <w:b/>
          <w:color w:val="E8B600"/>
        </w:rPr>
        <w:t xml:space="preserve">3  </w:t>
      </w:r>
      <w:r>
        <w:t>Functional Requirements</w:t>
      </w:r>
    </w:p>
    <w:p>
      <w:pPr>
        <w:spacing w:after="160"/>
      </w:pPr>
      <w:r>
        <w:rPr>
          <w:b w:val="0"/>
          <w:i w:val="0"/>
          <w:sz w:val="22"/>
        </w:rPr>
        <w:t>Functional requirements are grouped by capability area and identified with a unique reference (FR-xx) for traceability. Priority follows the MoSCoW convention: Must have, Should have, Could have.</w:t>
      </w:r>
    </w:p>
    <w:p>
      <w:pPr>
        <w:pStyle w:val="Heading2"/>
      </w:pPr>
      <w:r>
        <w:t>3.1 Authentication and Account Management</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2E2E38"/>
          </w:tcPr>
          <w:p>
            <w:r/>
            <w:r>
              <w:rPr>
                <w:b/>
                <w:color w:val="FFFFFF"/>
                <w:sz w:val="20"/>
              </w:rPr>
              <w:t>ID</w:t>
            </w:r>
          </w:p>
        </w:tc>
        <w:tc>
          <w:tcPr>
            <w:tcW w:type="dxa" w:w="5669"/>
            <w:shd w:val="clear" w:color="auto" w:fill="2E2E38"/>
          </w:tcPr>
          <w:p>
            <w:r/>
            <w:r>
              <w:rPr>
                <w:b/>
                <w:color w:val="FFFFFF"/>
                <w:sz w:val="20"/>
              </w:rPr>
              <w:t>Requirement</w:t>
            </w:r>
          </w:p>
        </w:tc>
        <w:tc>
          <w:tcPr>
            <w:tcW w:type="dxa" w:w="1417"/>
            <w:shd w:val="clear" w:color="auto" w:fill="2E2E38"/>
          </w:tcPr>
          <w:p>
            <w:r/>
            <w:r>
              <w:rPr>
                <w:b/>
                <w:color w:val="FFFFFF"/>
                <w:sz w:val="20"/>
              </w:rPr>
              <w:t>Priority</w:t>
            </w:r>
          </w:p>
        </w:tc>
      </w:tr>
      <w:tr>
        <w:tc>
          <w:tcPr>
            <w:tcW w:type="dxa" w:w="850"/>
          </w:tcPr>
          <w:p>
            <w:r/>
            <w:r>
              <w:rPr>
                <w:sz w:val="19"/>
              </w:rPr>
              <w:t>FR-01</w:t>
            </w:r>
          </w:p>
        </w:tc>
        <w:tc>
          <w:tcPr>
            <w:tcW w:type="dxa" w:w="5669"/>
          </w:tcPr>
          <w:p>
            <w:r/>
            <w:r>
              <w:rPr>
                <w:sz w:val="19"/>
              </w:rPr>
              <w:t>The system shall allow a registered user to authenticate with an email address and password.</w:t>
            </w:r>
          </w:p>
        </w:tc>
        <w:tc>
          <w:tcPr>
            <w:tcW w:type="dxa" w:w="1417"/>
          </w:tcPr>
          <w:p>
            <w:r/>
            <w:r>
              <w:rPr>
                <w:sz w:val="19"/>
              </w:rPr>
              <w:t>Must</w:t>
            </w:r>
          </w:p>
        </w:tc>
      </w:tr>
      <w:tr>
        <w:tc>
          <w:tcPr>
            <w:tcW w:type="dxa" w:w="850"/>
          </w:tcPr>
          <w:p>
            <w:r/>
            <w:r>
              <w:rPr>
                <w:sz w:val="19"/>
              </w:rPr>
              <w:t>FR-02</w:t>
            </w:r>
          </w:p>
        </w:tc>
        <w:tc>
          <w:tcPr>
            <w:tcW w:type="dxa" w:w="5669"/>
          </w:tcPr>
          <w:p>
            <w:r/>
            <w:r>
              <w:rPr>
                <w:sz w:val="19"/>
              </w:rPr>
              <w:t>The system shall issue a signed, time-limited access token (JWT) upon successful authentication.</w:t>
            </w:r>
          </w:p>
        </w:tc>
        <w:tc>
          <w:tcPr>
            <w:tcW w:type="dxa" w:w="1417"/>
          </w:tcPr>
          <w:p>
            <w:r/>
            <w:r>
              <w:rPr>
                <w:sz w:val="19"/>
              </w:rPr>
              <w:t>Must</w:t>
            </w:r>
          </w:p>
        </w:tc>
      </w:tr>
      <w:tr>
        <w:tc>
          <w:tcPr>
            <w:tcW w:type="dxa" w:w="850"/>
          </w:tcPr>
          <w:p>
            <w:r/>
            <w:r>
              <w:rPr>
                <w:sz w:val="19"/>
              </w:rPr>
              <w:t>FR-03</w:t>
            </w:r>
          </w:p>
        </w:tc>
        <w:tc>
          <w:tcPr>
            <w:tcW w:type="dxa" w:w="5669"/>
          </w:tcPr>
          <w:p>
            <w:r/>
            <w:r>
              <w:rPr>
                <w:sz w:val="19"/>
              </w:rPr>
              <w:t>The system shall reject authentication attempts with an incorrect password or unknown email with a generic error message.</w:t>
            </w:r>
          </w:p>
        </w:tc>
        <w:tc>
          <w:tcPr>
            <w:tcW w:type="dxa" w:w="1417"/>
          </w:tcPr>
          <w:p>
            <w:r/>
            <w:r>
              <w:rPr>
                <w:sz w:val="19"/>
              </w:rPr>
              <w:t>Must</w:t>
            </w:r>
          </w:p>
        </w:tc>
      </w:tr>
      <w:tr>
        <w:tc>
          <w:tcPr>
            <w:tcW w:type="dxa" w:w="850"/>
          </w:tcPr>
          <w:p>
            <w:r/>
            <w:r>
              <w:rPr>
                <w:sz w:val="19"/>
              </w:rPr>
              <w:t>FR-04</w:t>
            </w:r>
          </w:p>
        </w:tc>
        <w:tc>
          <w:tcPr>
            <w:tcW w:type="dxa" w:w="5669"/>
          </w:tcPr>
          <w:p>
            <w:r/>
            <w:r>
              <w:rPr>
                <w:sz w:val="19"/>
              </w:rPr>
              <w:t>The system shall allow an authenticated user to update their display name.</w:t>
            </w:r>
          </w:p>
        </w:tc>
        <w:tc>
          <w:tcPr>
            <w:tcW w:type="dxa" w:w="1417"/>
          </w:tcPr>
          <w:p>
            <w:r/>
            <w:r>
              <w:rPr>
                <w:sz w:val="19"/>
              </w:rPr>
              <w:t>Should</w:t>
            </w:r>
          </w:p>
        </w:tc>
      </w:tr>
      <w:tr>
        <w:tc>
          <w:tcPr>
            <w:tcW w:type="dxa" w:w="850"/>
          </w:tcPr>
          <w:p>
            <w:r/>
            <w:r>
              <w:rPr>
                <w:sz w:val="19"/>
              </w:rPr>
              <w:t>FR-05</w:t>
            </w:r>
          </w:p>
        </w:tc>
        <w:tc>
          <w:tcPr>
            <w:tcW w:type="dxa" w:w="5669"/>
          </w:tcPr>
          <w:p>
            <w:r/>
            <w:r>
              <w:rPr>
                <w:sz w:val="19"/>
              </w:rPr>
              <w:t>The system shall allow an authenticated user to upload, replace, or remove a profile photo.</w:t>
            </w:r>
          </w:p>
        </w:tc>
        <w:tc>
          <w:tcPr>
            <w:tcW w:type="dxa" w:w="1417"/>
          </w:tcPr>
          <w:p>
            <w:r/>
            <w:r>
              <w:rPr>
                <w:sz w:val="19"/>
              </w:rPr>
              <w:t>Should</w:t>
            </w:r>
          </w:p>
        </w:tc>
      </w:tr>
      <w:tr>
        <w:tc>
          <w:tcPr>
            <w:tcW w:type="dxa" w:w="850"/>
          </w:tcPr>
          <w:p>
            <w:r/>
            <w:r>
              <w:rPr>
                <w:sz w:val="19"/>
              </w:rPr>
              <w:t>FR-06</w:t>
            </w:r>
          </w:p>
        </w:tc>
        <w:tc>
          <w:tcPr>
            <w:tcW w:type="dxa" w:w="5669"/>
          </w:tcPr>
          <w:p>
            <w:r/>
            <w:r>
              <w:rPr>
                <w:sz w:val="19"/>
              </w:rPr>
              <w:t>The system shall allow an authenticated user to change their password, subject to re-verification of the current password.</w:t>
            </w:r>
          </w:p>
        </w:tc>
        <w:tc>
          <w:tcPr>
            <w:tcW w:type="dxa" w:w="1417"/>
          </w:tcPr>
          <w:p>
            <w:r/>
            <w:r>
              <w:rPr>
                <w:sz w:val="19"/>
              </w:rPr>
              <w:t>Must</w:t>
            </w:r>
          </w:p>
        </w:tc>
      </w:tr>
      <w:tr>
        <w:tc>
          <w:tcPr>
            <w:tcW w:type="dxa" w:w="850"/>
          </w:tcPr>
          <w:p>
            <w:r/>
            <w:r>
              <w:rPr>
                <w:sz w:val="19"/>
              </w:rPr>
              <w:t>FR-07</w:t>
            </w:r>
          </w:p>
        </w:tc>
        <w:tc>
          <w:tcPr>
            <w:tcW w:type="dxa" w:w="5669"/>
          </w:tcPr>
          <w:p>
            <w:r/>
            <w:r>
              <w:rPr>
                <w:sz w:val="19"/>
              </w:rPr>
              <w:t>The system shall automatically terminate the session client-side when the access token expires or is rejected by the server.</w:t>
            </w:r>
          </w:p>
        </w:tc>
        <w:tc>
          <w:tcPr>
            <w:tcW w:type="dxa" w:w="1417"/>
          </w:tcPr>
          <w:p>
            <w:r/>
            <w:r>
              <w:rPr>
                <w:sz w:val="19"/>
              </w:rPr>
              <w:t>Must</w:t>
            </w:r>
          </w:p>
        </w:tc>
      </w:tr>
    </w:tbl>
    <w:p>
      <w:pPr>
        <w:spacing w:after="80"/>
      </w:pPr>
    </w:p>
    <w:p>
      <w:pPr>
        <w:pStyle w:val="Heading2"/>
      </w:pPr>
      <w:r>
        <w:t>3.2 Document Upload and OCR Processing</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2E2E38"/>
          </w:tcPr>
          <w:p>
            <w:r/>
            <w:r>
              <w:rPr>
                <w:b/>
                <w:color w:val="FFFFFF"/>
                <w:sz w:val="20"/>
              </w:rPr>
              <w:t>ID</w:t>
            </w:r>
          </w:p>
        </w:tc>
        <w:tc>
          <w:tcPr>
            <w:tcW w:type="dxa" w:w="5669"/>
            <w:shd w:val="clear" w:color="auto" w:fill="2E2E38"/>
          </w:tcPr>
          <w:p>
            <w:r/>
            <w:r>
              <w:rPr>
                <w:b/>
                <w:color w:val="FFFFFF"/>
                <w:sz w:val="20"/>
              </w:rPr>
              <w:t>Requirement</w:t>
            </w:r>
          </w:p>
        </w:tc>
        <w:tc>
          <w:tcPr>
            <w:tcW w:type="dxa" w:w="1417"/>
            <w:shd w:val="clear" w:color="auto" w:fill="2E2E38"/>
          </w:tcPr>
          <w:p>
            <w:r/>
            <w:r>
              <w:rPr>
                <w:b/>
                <w:color w:val="FFFFFF"/>
                <w:sz w:val="20"/>
              </w:rPr>
              <w:t>Priority</w:t>
            </w:r>
          </w:p>
        </w:tc>
      </w:tr>
      <w:tr>
        <w:tc>
          <w:tcPr>
            <w:tcW w:type="dxa" w:w="850"/>
          </w:tcPr>
          <w:p>
            <w:r/>
            <w:r>
              <w:rPr>
                <w:sz w:val="19"/>
              </w:rPr>
              <w:t>FR-10</w:t>
            </w:r>
          </w:p>
        </w:tc>
        <w:tc>
          <w:tcPr>
            <w:tcW w:type="dxa" w:w="5669"/>
          </w:tcPr>
          <w:p>
            <w:r/>
            <w:r>
              <w:rPr>
                <w:sz w:val="19"/>
              </w:rPr>
              <w:t>The system shall accept image uploads in PNG, JPG, WEBP, and GIF formats, and PDF documents.</w:t>
            </w:r>
          </w:p>
        </w:tc>
        <w:tc>
          <w:tcPr>
            <w:tcW w:type="dxa" w:w="1417"/>
          </w:tcPr>
          <w:p>
            <w:r/>
            <w:r>
              <w:rPr>
                <w:sz w:val="19"/>
              </w:rPr>
              <w:t>Must</w:t>
            </w:r>
          </w:p>
        </w:tc>
      </w:tr>
      <w:tr>
        <w:tc>
          <w:tcPr>
            <w:tcW w:type="dxa" w:w="850"/>
          </w:tcPr>
          <w:p>
            <w:r/>
            <w:r>
              <w:rPr>
                <w:sz w:val="19"/>
              </w:rPr>
              <w:t>FR-11</w:t>
            </w:r>
          </w:p>
        </w:tc>
        <w:tc>
          <w:tcPr>
            <w:tcW w:type="dxa" w:w="5669"/>
          </w:tcPr>
          <w:p>
            <w:r/>
            <w:r>
              <w:rPr>
                <w:sz w:val="19"/>
              </w:rPr>
              <w:t>The system shall accept file uploads via file browser selection, drag-and-drop onto a designated zone, or drag-and-drop anywhere on the page.</w:t>
            </w:r>
          </w:p>
        </w:tc>
        <w:tc>
          <w:tcPr>
            <w:tcW w:type="dxa" w:w="1417"/>
          </w:tcPr>
          <w:p>
            <w:r/>
            <w:r>
              <w:rPr>
                <w:sz w:val="19"/>
              </w:rPr>
              <w:t>Should</w:t>
            </w:r>
          </w:p>
        </w:tc>
      </w:tr>
      <w:tr>
        <w:tc>
          <w:tcPr>
            <w:tcW w:type="dxa" w:w="850"/>
          </w:tcPr>
          <w:p>
            <w:r/>
            <w:r>
              <w:rPr>
                <w:sz w:val="19"/>
              </w:rPr>
              <w:t>FR-12</w:t>
            </w:r>
          </w:p>
        </w:tc>
        <w:tc>
          <w:tcPr>
            <w:tcW w:type="dxa" w:w="5669"/>
          </w:tcPr>
          <w:p>
            <w:r/>
            <w:r>
              <w:rPr>
                <w:sz w:val="19"/>
              </w:rPr>
              <w:t>The system shall reject uploads exceeding the configured maximum size with a clear error message.</w:t>
            </w:r>
          </w:p>
        </w:tc>
        <w:tc>
          <w:tcPr>
            <w:tcW w:type="dxa" w:w="1417"/>
          </w:tcPr>
          <w:p>
            <w:r/>
            <w:r>
              <w:rPr>
                <w:sz w:val="19"/>
              </w:rPr>
              <w:t>Must</w:t>
            </w:r>
          </w:p>
        </w:tc>
      </w:tr>
      <w:tr>
        <w:tc>
          <w:tcPr>
            <w:tcW w:type="dxa" w:w="850"/>
          </w:tcPr>
          <w:p>
            <w:r/>
            <w:r>
              <w:rPr>
                <w:sz w:val="19"/>
              </w:rPr>
              <w:t>FR-13</w:t>
            </w:r>
          </w:p>
        </w:tc>
        <w:tc>
          <w:tcPr>
            <w:tcW w:type="dxa" w:w="5669"/>
          </w:tcPr>
          <w:p>
            <w:r/>
            <w:r>
              <w:rPr>
                <w:sz w:val="19"/>
              </w:rPr>
              <w:t>The system shall allow the user to select a recognition mode (GenAI vision, Hybrid, or Tesseract-only) prior to processing.</w:t>
            </w:r>
          </w:p>
        </w:tc>
        <w:tc>
          <w:tcPr>
            <w:tcW w:type="dxa" w:w="1417"/>
          </w:tcPr>
          <w:p>
            <w:r/>
            <w:r>
              <w:rPr>
                <w:sz w:val="19"/>
              </w:rPr>
              <w:t>Must</w:t>
            </w:r>
          </w:p>
        </w:tc>
      </w:tr>
      <w:tr>
        <w:tc>
          <w:tcPr>
            <w:tcW w:type="dxa" w:w="850"/>
          </w:tcPr>
          <w:p>
            <w:r/>
            <w:r>
              <w:rPr>
                <w:sz w:val="19"/>
              </w:rPr>
              <w:t>FR-14</w:t>
            </w:r>
          </w:p>
        </w:tc>
        <w:tc>
          <w:tcPr>
            <w:tcW w:type="dxa" w:w="5669"/>
          </w:tcPr>
          <w:p>
            <w:r/>
            <w:r>
              <w:rPr>
                <w:sz w:val="19"/>
              </w:rPr>
              <w:t>The system shall allow the user to optionally specify one or more expected languages as a hint to the recognition engine.</w:t>
            </w:r>
          </w:p>
        </w:tc>
        <w:tc>
          <w:tcPr>
            <w:tcW w:type="dxa" w:w="1417"/>
          </w:tcPr>
          <w:p>
            <w:r/>
            <w:r>
              <w:rPr>
                <w:sz w:val="19"/>
              </w:rPr>
              <w:t>Could</w:t>
            </w:r>
          </w:p>
        </w:tc>
      </w:tr>
      <w:tr>
        <w:tc>
          <w:tcPr>
            <w:tcW w:type="dxa" w:w="850"/>
          </w:tcPr>
          <w:p>
            <w:r/>
            <w:r>
              <w:rPr>
                <w:sz w:val="19"/>
              </w:rPr>
              <w:t>FR-15</w:t>
            </w:r>
          </w:p>
        </w:tc>
        <w:tc>
          <w:tcPr>
            <w:tcW w:type="dxa" w:w="5669"/>
          </w:tcPr>
          <w:p>
            <w:r/>
            <w:r>
              <w:rPr>
                <w:sz w:val="19"/>
              </w:rPr>
              <w:t>The system shall display processing progress with an indication of the current pipeline stage.</w:t>
            </w:r>
          </w:p>
        </w:tc>
        <w:tc>
          <w:tcPr>
            <w:tcW w:type="dxa" w:w="1417"/>
          </w:tcPr>
          <w:p>
            <w:r/>
            <w:r>
              <w:rPr>
                <w:sz w:val="19"/>
              </w:rPr>
              <w:t>Should</w:t>
            </w:r>
          </w:p>
        </w:tc>
      </w:tr>
      <w:tr>
        <w:tc>
          <w:tcPr>
            <w:tcW w:type="dxa" w:w="850"/>
          </w:tcPr>
          <w:p>
            <w:r/>
            <w:r>
              <w:rPr>
                <w:sz w:val="19"/>
              </w:rPr>
              <w:t>FR-16</w:t>
            </w:r>
          </w:p>
        </w:tc>
        <w:tc>
          <w:tcPr>
            <w:tcW w:type="dxa" w:w="5669"/>
          </w:tcPr>
          <w:p>
            <w:r/>
            <w:r>
              <w:rPr>
                <w:sz w:val="19"/>
              </w:rPr>
              <w:t>The system shall persist every successfully processed document, associated with the requesting user, without requiring an explicit save action.</w:t>
            </w:r>
          </w:p>
        </w:tc>
        <w:tc>
          <w:tcPr>
            <w:tcW w:type="dxa" w:w="1417"/>
          </w:tcPr>
          <w:p>
            <w:r/>
            <w:r>
              <w:rPr>
                <w:sz w:val="19"/>
              </w:rPr>
              <w:t>Must</w:t>
            </w:r>
          </w:p>
        </w:tc>
      </w:tr>
      <w:tr>
        <w:tc>
          <w:tcPr>
            <w:tcW w:type="dxa" w:w="850"/>
          </w:tcPr>
          <w:p>
            <w:r/>
            <w:r>
              <w:rPr>
                <w:sz w:val="19"/>
              </w:rPr>
              <w:t>FR-17</w:t>
            </w:r>
          </w:p>
        </w:tc>
        <w:tc>
          <w:tcPr>
            <w:tcW w:type="dxa" w:w="5669"/>
          </w:tcPr>
          <w:p>
            <w:r/>
            <w:r>
              <w:rPr>
                <w:sz w:val="19"/>
              </w:rPr>
              <w:t>The system shall surface a clear, actionable error message when OCR processing fails (e.g. missing API key, upstream provider error, unsupported combination of file type and mode).</w:t>
            </w:r>
          </w:p>
        </w:tc>
        <w:tc>
          <w:tcPr>
            <w:tcW w:type="dxa" w:w="1417"/>
          </w:tcPr>
          <w:p>
            <w:r/>
            <w:r>
              <w:rPr>
                <w:sz w:val="19"/>
              </w:rPr>
              <w:t>Must</w:t>
            </w:r>
          </w:p>
        </w:tc>
      </w:tr>
    </w:tbl>
    <w:p>
      <w:pPr>
        <w:spacing w:after="80"/>
      </w:pPr>
    </w:p>
    <w:p>
      <w:pPr>
        <w:pStyle w:val="Heading2"/>
      </w:pPr>
      <w:r>
        <w:t>3.3 Recognition Modes</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2E2E38"/>
          </w:tcPr>
          <w:p>
            <w:r/>
            <w:r>
              <w:rPr>
                <w:b/>
                <w:color w:val="FFFFFF"/>
                <w:sz w:val="20"/>
              </w:rPr>
              <w:t>ID</w:t>
            </w:r>
          </w:p>
        </w:tc>
        <w:tc>
          <w:tcPr>
            <w:tcW w:type="dxa" w:w="5669"/>
            <w:shd w:val="clear" w:color="auto" w:fill="2E2E38"/>
          </w:tcPr>
          <w:p>
            <w:r/>
            <w:r>
              <w:rPr>
                <w:b/>
                <w:color w:val="FFFFFF"/>
                <w:sz w:val="20"/>
              </w:rPr>
              <w:t>Requirement</w:t>
            </w:r>
          </w:p>
        </w:tc>
        <w:tc>
          <w:tcPr>
            <w:tcW w:type="dxa" w:w="1417"/>
            <w:shd w:val="clear" w:color="auto" w:fill="2E2E38"/>
          </w:tcPr>
          <w:p>
            <w:r/>
            <w:r>
              <w:rPr>
                <w:b/>
                <w:color w:val="FFFFFF"/>
                <w:sz w:val="20"/>
              </w:rPr>
              <w:t>Priority</w:t>
            </w:r>
          </w:p>
        </w:tc>
      </w:tr>
      <w:tr>
        <w:tc>
          <w:tcPr>
            <w:tcW w:type="dxa" w:w="850"/>
          </w:tcPr>
          <w:p>
            <w:r/>
            <w:r>
              <w:rPr>
                <w:sz w:val="19"/>
              </w:rPr>
              <w:t>FR-20</w:t>
            </w:r>
          </w:p>
        </w:tc>
        <w:tc>
          <w:tcPr>
            <w:tcW w:type="dxa" w:w="5669"/>
          </w:tcPr>
          <w:p>
            <w:r/>
            <w:r>
              <w:rPr>
                <w:sz w:val="19"/>
              </w:rPr>
              <w:t>The system shall provide a GenAI vision mode that transcribes the document directly from its image representation.</w:t>
            </w:r>
          </w:p>
        </w:tc>
        <w:tc>
          <w:tcPr>
            <w:tcW w:type="dxa" w:w="1417"/>
          </w:tcPr>
          <w:p>
            <w:r/>
            <w:r>
              <w:rPr>
                <w:sz w:val="19"/>
              </w:rPr>
              <w:t>Must</w:t>
            </w:r>
          </w:p>
        </w:tc>
      </w:tr>
      <w:tr>
        <w:tc>
          <w:tcPr>
            <w:tcW w:type="dxa" w:w="850"/>
          </w:tcPr>
          <w:p>
            <w:r/>
            <w:r>
              <w:rPr>
                <w:sz w:val="19"/>
              </w:rPr>
              <w:t>FR-21</w:t>
            </w:r>
          </w:p>
        </w:tc>
        <w:tc>
          <w:tcPr>
            <w:tcW w:type="dxa" w:w="5669"/>
          </w:tcPr>
          <w:p>
            <w:r/>
            <w:r>
              <w:rPr>
                <w:sz w:val="19"/>
              </w:rPr>
              <w:t>The system shall provide a Hybrid mode that produces a raw transcription via classical OCR and refines it using the generative model, without paraphrasing or content alteration.</w:t>
            </w:r>
          </w:p>
        </w:tc>
        <w:tc>
          <w:tcPr>
            <w:tcW w:type="dxa" w:w="1417"/>
          </w:tcPr>
          <w:p>
            <w:r/>
            <w:r>
              <w:rPr>
                <w:sz w:val="19"/>
              </w:rPr>
              <w:t>Should</w:t>
            </w:r>
          </w:p>
        </w:tc>
      </w:tr>
      <w:tr>
        <w:tc>
          <w:tcPr>
            <w:tcW w:type="dxa" w:w="850"/>
          </w:tcPr>
          <w:p>
            <w:r/>
            <w:r>
              <w:rPr>
                <w:sz w:val="19"/>
              </w:rPr>
              <w:t>FR-22</w:t>
            </w:r>
          </w:p>
        </w:tc>
        <w:tc>
          <w:tcPr>
            <w:tcW w:type="dxa" w:w="5669"/>
          </w:tcPr>
          <w:p>
            <w:r/>
            <w:r>
              <w:rPr>
                <w:sz w:val="19"/>
              </w:rPr>
              <w:t>The system shall provide a Tesseract-only mode as a classical baseline, independent of the generative AI provider.</w:t>
            </w:r>
          </w:p>
        </w:tc>
        <w:tc>
          <w:tcPr>
            <w:tcW w:type="dxa" w:w="1417"/>
          </w:tcPr>
          <w:p>
            <w:r/>
            <w:r>
              <w:rPr>
                <w:sz w:val="19"/>
              </w:rPr>
              <w:t>Should</w:t>
            </w:r>
          </w:p>
        </w:tc>
      </w:tr>
      <w:tr>
        <w:tc>
          <w:tcPr>
            <w:tcW w:type="dxa" w:w="850"/>
          </w:tcPr>
          <w:p>
            <w:r/>
            <w:r>
              <w:rPr>
                <w:sz w:val="19"/>
              </w:rPr>
              <w:t>FR-23</w:t>
            </w:r>
          </w:p>
        </w:tc>
        <w:tc>
          <w:tcPr>
            <w:tcW w:type="dxa" w:w="5669"/>
          </w:tcPr>
          <w:p>
            <w:r/>
            <w:r>
              <w:rPr>
                <w:sz w:val="19"/>
              </w:rPr>
              <w:t>The system shall automatically restrict the set of offered modes to those actually available in the runtime environment (e.g. hide Tesseract-dependent modes when the binary is not installed).</w:t>
            </w:r>
          </w:p>
        </w:tc>
        <w:tc>
          <w:tcPr>
            <w:tcW w:type="dxa" w:w="1417"/>
          </w:tcPr>
          <w:p>
            <w:r/>
            <w:r>
              <w:rPr>
                <w:sz w:val="19"/>
              </w:rPr>
              <w:t>Must</w:t>
            </w:r>
          </w:p>
        </w:tc>
      </w:tr>
      <w:tr>
        <w:tc>
          <w:tcPr>
            <w:tcW w:type="dxa" w:w="850"/>
          </w:tcPr>
          <w:p>
            <w:r/>
            <w:r>
              <w:rPr>
                <w:sz w:val="19"/>
              </w:rPr>
              <w:t>FR-24</w:t>
            </w:r>
          </w:p>
        </w:tc>
        <w:tc>
          <w:tcPr>
            <w:tcW w:type="dxa" w:w="5669"/>
          </w:tcPr>
          <w:p>
            <w:r/>
            <w:r>
              <w:rPr>
                <w:sz w:val="19"/>
              </w:rPr>
              <w:t>For multi-page PDF input, the system shall process each page and return a single consolidated transcription with page boundaries clearly delimited.</w:t>
            </w:r>
          </w:p>
        </w:tc>
        <w:tc>
          <w:tcPr>
            <w:tcW w:type="dxa" w:w="1417"/>
          </w:tcPr>
          <w:p>
            <w:r/>
            <w:r>
              <w:rPr>
                <w:sz w:val="19"/>
              </w:rPr>
              <w:t>Must</w:t>
            </w:r>
          </w:p>
        </w:tc>
      </w:tr>
    </w:tbl>
    <w:p>
      <w:pPr>
        <w:spacing w:after="80"/>
      </w:pPr>
    </w:p>
    <w:p>
      <w:pPr>
        <w:pStyle w:val="Heading2"/>
      </w:pPr>
      <w:r>
        <w:t>3.4 Multilingual Support</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2E2E38"/>
          </w:tcPr>
          <w:p>
            <w:r/>
            <w:r>
              <w:rPr>
                <w:b/>
                <w:color w:val="FFFFFF"/>
                <w:sz w:val="20"/>
              </w:rPr>
              <w:t>ID</w:t>
            </w:r>
          </w:p>
        </w:tc>
        <w:tc>
          <w:tcPr>
            <w:tcW w:type="dxa" w:w="5669"/>
            <w:shd w:val="clear" w:color="auto" w:fill="2E2E38"/>
          </w:tcPr>
          <w:p>
            <w:r/>
            <w:r>
              <w:rPr>
                <w:b/>
                <w:color w:val="FFFFFF"/>
                <w:sz w:val="20"/>
              </w:rPr>
              <w:t>Requirement</w:t>
            </w:r>
          </w:p>
        </w:tc>
        <w:tc>
          <w:tcPr>
            <w:tcW w:type="dxa" w:w="1417"/>
            <w:shd w:val="clear" w:color="auto" w:fill="2E2E38"/>
          </w:tcPr>
          <w:p>
            <w:r/>
            <w:r>
              <w:rPr>
                <w:b/>
                <w:color w:val="FFFFFF"/>
                <w:sz w:val="20"/>
              </w:rPr>
              <w:t>Priority</w:t>
            </w:r>
          </w:p>
        </w:tc>
      </w:tr>
      <w:tr>
        <w:tc>
          <w:tcPr>
            <w:tcW w:type="dxa" w:w="850"/>
          </w:tcPr>
          <w:p>
            <w:r/>
            <w:r>
              <w:rPr>
                <w:sz w:val="19"/>
              </w:rPr>
              <w:t>FR-30</w:t>
            </w:r>
          </w:p>
        </w:tc>
        <w:tc>
          <w:tcPr>
            <w:tcW w:type="dxa" w:w="5669"/>
          </w:tcPr>
          <w:p>
            <w:r/>
            <w:r>
              <w:rPr>
                <w:sz w:val="19"/>
              </w:rPr>
              <w:t>The system shall support recognition of French, English, and Arabic text, including documents mixing these languages.</w:t>
            </w:r>
          </w:p>
        </w:tc>
        <w:tc>
          <w:tcPr>
            <w:tcW w:type="dxa" w:w="1417"/>
          </w:tcPr>
          <w:p>
            <w:r/>
            <w:r>
              <w:rPr>
                <w:sz w:val="19"/>
              </w:rPr>
              <w:t>Must</w:t>
            </w:r>
          </w:p>
        </w:tc>
      </w:tr>
      <w:tr>
        <w:tc>
          <w:tcPr>
            <w:tcW w:type="dxa" w:w="850"/>
          </w:tcPr>
          <w:p>
            <w:r/>
            <w:r>
              <w:rPr>
                <w:sz w:val="19"/>
              </w:rPr>
              <w:t>FR-31</w:t>
            </w:r>
          </w:p>
        </w:tc>
        <w:tc>
          <w:tcPr>
            <w:tcW w:type="dxa" w:w="5669"/>
          </w:tcPr>
          <w:p>
            <w:r/>
            <w:r>
              <w:rPr>
                <w:sz w:val="19"/>
              </w:rPr>
              <w:t>The system shall automatically detect the language(s) present in the extracted text when no explicit hint is provided.</w:t>
            </w:r>
          </w:p>
        </w:tc>
        <w:tc>
          <w:tcPr>
            <w:tcW w:type="dxa" w:w="1417"/>
          </w:tcPr>
          <w:p>
            <w:r/>
            <w:r>
              <w:rPr>
                <w:sz w:val="19"/>
              </w:rPr>
              <w:t>Should</w:t>
            </w:r>
          </w:p>
        </w:tc>
      </w:tr>
      <w:tr>
        <w:tc>
          <w:tcPr>
            <w:tcW w:type="dxa" w:w="850"/>
          </w:tcPr>
          <w:p>
            <w:r/>
            <w:r>
              <w:rPr>
                <w:sz w:val="19"/>
              </w:rPr>
              <w:t>FR-32</w:t>
            </w:r>
          </w:p>
        </w:tc>
        <w:tc>
          <w:tcPr>
            <w:tcW w:type="dxa" w:w="5669"/>
          </w:tcPr>
          <w:p>
            <w:r/>
            <w:r>
              <w:rPr>
                <w:sz w:val="19"/>
              </w:rPr>
              <w:t>The system shall render right-to-left (Arabic-majority) extracted text with correct text direction and alignment in the user interface.</w:t>
            </w:r>
          </w:p>
        </w:tc>
        <w:tc>
          <w:tcPr>
            <w:tcW w:type="dxa" w:w="1417"/>
          </w:tcPr>
          <w:p>
            <w:r/>
            <w:r>
              <w:rPr>
                <w:sz w:val="19"/>
              </w:rPr>
              <w:t>Must</w:t>
            </w:r>
          </w:p>
        </w:tc>
      </w:tr>
      <w:tr>
        <w:tc>
          <w:tcPr>
            <w:tcW w:type="dxa" w:w="850"/>
          </w:tcPr>
          <w:p>
            <w:r/>
            <w:r>
              <w:rPr>
                <w:sz w:val="19"/>
              </w:rPr>
              <w:t>FR-33</w:t>
            </w:r>
          </w:p>
        </w:tc>
        <w:tc>
          <w:tcPr>
            <w:tcW w:type="dxa" w:w="5669"/>
          </w:tcPr>
          <w:p>
            <w:r/>
            <w:r>
              <w:rPr>
                <w:sz w:val="19"/>
              </w:rPr>
              <w:t>The system shall preserve document structure (headings, lists, tables) using Markdown formatting in the transcription output.</w:t>
            </w:r>
          </w:p>
        </w:tc>
        <w:tc>
          <w:tcPr>
            <w:tcW w:type="dxa" w:w="1417"/>
          </w:tcPr>
          <w:p>
            <w:r/>
            <w:r>
              <w:rPr>
                <w:sz w:val="19"/>
              </w:rPr>
              <w:t>Should</w:t>
            </w:r>
          </w:p>
        </w:tc>
      </w:tr>
    </w:tbl>
    <w:p>
      <w:pPr>
        <w:spacing w:after="80"/>
      </w:pPr>
    </w:p>
    <w:p>
      <w:pPr>
        <w:pStyle w:val="Heading2"/>
      </w:pPr>
      <w:r>
        <w:t>3.5 Document History (Historique)</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2E2E38"/>
          </w:tcPr>
          <w:p>
            <w:r/>
            <w:r>
              <w:rPr>
                <w:b/>
                <w:color w:val="FFFFFF"/>
                <w:sz w:val="20"/>
              </w:rPr>
              <w:t>ID</w:t>
            </w:r>
          </w:p>
        </w:tc>
        <w:tc>
          <w:tcPr>
            <w:tcW w:type="dxa" w:w="5669"/>
            <w:shd w:val="clear" w:color="auto" w:fill="2E2E38"/>
          </w:tcPr>
          <w:p>
            <w:r/>
            <w:r>
              <w:rPr>
                <w:b/>
                <w:color w:val="FFFFFF"/>
                <w:sz w:val="20"/>
              </w:rPr>
              <w:t>Requirement</w:t>
            </w:r>
          </w:p>
        </w:tc>
        <w:tc>
          <w:tcPr>
            <w:tcW w:type="dxa" w:w="1417"/>
            <w:shd w:val="clear" w:color="auto" w:fill="2E2E38"/>
          </w:tcPr>
          <w:p>
            <w:r/>
            <w:r>
              <w:rPr>
                <w:b/>
                <w:color w:val="FFFFFF"/>
                <w:sz w:val="20"/>
              </w:rPr>
              <w:t>Priority</w:t>
            </w:r>
          </w:p>
        </w:tc>
      </w:tr>
      <w:tr>
        <w:tc>
          <w:tcPr>
            <w:tcW w:type="dxa" w:w="850"/>
          </w:tcPr>
          <w:p>
            <w:r/>
            <w:r>
              <w:rPr>
                <w:sz w:val="19"/>
              </w:rPr>
              <w:t>FR-40</w:t>
            </w:r>
          </w:p>
        </w:tc>
        <w:tc>
          <w:tcPr>
            <w:tcW w:type="dxa" w:w="5669"/>
          </w:tcPr>
          <w:p>
            <w:r/>
            <w:r>
              <w:rPr>
                <w:sz w:val="19"/>
              </w:rPr>
              <w:t>The system shall maintain a permanent, per-user history of all processed documents.</w:t>
            </w:r>
          </w:p>
        </w:tc>
        <w:tc>
          <w:tcPr>
            <w:tcW w:type="dxa" w:w="1417"/>
          </w:tcPr>
          <w:p>
            <w:r/>
            <w:r>
              <w:rPr>
                <w:sz w:val="19"/>
              </w:rPr>
              <w:t>Must</w:t>
            </w:r>
          </w:p>
        </w:tc>
      </w:tr>
      <w:tr>
        <w:tc>
          <w:tcPr>
            <w:tcW w:type="dxa" w:w="850"/>
          </w:tcPr>
          <w:p>
            <w:r/>
            <w:r>
              <w:rPr>
                <w:sz w:val="19"/>
              </w:rPr>
              <w:t>FR-41</w:t>
            </w:r>
          </w:p>
        </w:tc>
        <w:tc>
          <w:tcPr>
            <w:tcW w:type="dxa" w:w="5669"/>
          </w:tcPr>
          <w:p>
            <w:r/>
            <w:r>
              <w:rPr>
                <w:sz w:val="19"/>
              </w:rPr>
              <w:t>The system shall allow the user to browse, search, open, and delete individual history entries.</w:t>
            </w:r>
          </w:p>
        </w:tc>
        <w:tc>
          <w:tcPr>
            <w:tcW w:type="dxa" w:w="1417"/>
          </w:tcPr>
          <w:p>
            <w:r/>
            <w:r>
              <w:rPr>
                <w:sz w:val="19"/>
              </w:rPr>
              <w:t>Must</w:t>
            </w:r>
          </w:p>
        </w:tc>
      </w:tr>
      <w:tr>
        <w:tc>
          <w:tcPr>
            <w:tcW w:type="dxa" w:w="850"/>
          </w:tcPr>
          <w:p>
            <w:r/>
            <w:r>
              <w:rPr>
                <w:sz w:val="19"/>
              </w:rPr>
              <w:t>FR-42</w:t>
            </w:r>
          </w:p>
        </w:tc>
        <w:tc>
          <w:tcPr>
            <w:tcW w:type="dxa" w:w="5669"/>
          </w:tcPr>
          <w:p>
            <w:r/>
            <w:r>
              <w:rPr>
                <w:sz w:val="19"/>
              </w:rPr>
              <w:t>The system shall present a summary of recent activity (document count, average processing duration, languages encountered) to the user.</w:t>
            </w:r>
          </w:p>
        </w:tc>
        <w:tc>
          <w:tcPr>
            <w:tcW w:type="dxa" w:w="1417"/>
          </w:tcPr>
          <w:p>
            <w:r/>
            <w:r>
              <w:rPr>
                <w:sz w:val="19"/>
              </w:rPr>
              <w:t>Could</w:t>
            </w:r>
          </w:p>
        </w:tc>
      </w:tr>
      <w:tr>
        <w:tc>
          <w:tcPr>
            <w:tcW w:type="dxa" w:w="850"/>
          </w:tcPr>
          <w:p>
            <w:r/>
            <w:r>
              <w:rPr>
                <w:sz w:val="19"/>
              </w:rPr>
              <w:t>FR-43</w:t>
            </w:r>
          </w:p>
        </w:tc>
        <w:tc>
          <w:tcPr>
            <w:tcW w:type="dxa" w:w="5669"/>
          </w:tcPr>
          <w:p>
            <w:r/>
            <w:r>
              <w:rPr>
                <w:sz w:val="19"/>
              </w:rPr>
              <w:t>The system shall expose each history entry via a distinct, shareable, navigable URL supporting browser back/forward and page refresh.</w:t>
            </w:r>
          </w:p>
        </w:tc>
        <w:tc>
          <w:tcPr>
            <w:tcW w:type="dxa" w:w="1417"/>
          </w:tcPr>
          <w:p>
            <w:r/>
            <w:r>
              <w:rPr>
                <w:sz w:val="19"/>
              </w:rPr>
              <w:t>Should</w:t>
            </w:r>
          </w:p>
        </w:tc>
      </w:tr>
      <w:tr>
        <w:tc>
          <w:tcPr>
            <w:tcW w:type="dxa" w:w="850"/>
          </w:tcPr>
          <w:p>
            <w:r/>
            <w:r>
              <w:rPr>
                <w:sz w:val="19"/>
              </w:rPr>
              <w:t>FR-44</w:t>
            </w:r>
          </w:p>
        </w:tc>
        <w:tc>
          <w:tcPr>
            <w:tcW w:type="dxa" w:w="5669"/>
          </w:tcPr>
          <w:p>
            <w:r/>
            <w:r>
              <w:rPr>
                <w:sz w:val="19"/>
              </w:rPr>
              <w:t>The system shall allow the user to copy the extracted text to the clipboard or download it as a plain-text file.</w:t>
            </w:r>
          </w:p>
        </w:tc>
        <w:tc>
          <w:tcPr>
            <w:tcW w:type="dxa" w:w="1417"/>
          </w:tcPr>
          <w:p>
            <w:r/>
            <w:r>
              <w:rPr>
                <w:sz w:val="19"/>
              </w:rPr>
              <w:t>Should</w:t>
            </w:r>
          </w:p>
        </w:tc>
      </w:tr>
    </w:tbl>
    <w:p>
      <w:pPr>
        <w:spacing w:after="80"/>
      </w:pPr>
    </w:p>
    <w:p>
      <w:pPr>
        <w:pStyle w:val="Heading2"/>
      </w:pPr>
      <w:r>
        <w:t>3.6 Evaluation and Benchmarking</w:t>
      </w:r>
    </w:p>
    <w:tbl>
      <w:tblPr>
        <w:tblStyle w:val="TableGrid"/>
        <w:tblW w:type="auto" w:w="0"/>
        <w:jc w:val="center"/>
        <w:tblLook w:firstColumn="1" w:firstRow="1" w:lastColumn="0" w:lastRow="0" w:noHBand="0" w:noVBand="1" w:val="04A0"/>
      </w:tblPr>
      <w:tblGrid>
        <w:gridCol w:w="3135"/>
        <w:gridCol w:w="3135"/>
        <w:gridCol w:w="3135"/>
      </w:tblGrid>
      <w:tr>
        <w:tc>
          <w:tcPr>
            <w:tcW w:type="dxa" w:w="850"/>
            <w:shd w:val="clear" w:color="auto" w:fill="2E2E38"/>
          </w:tcPr>
          <w:p>
            <w:r/>
            <w:r>
              <w:rPr>
                <w:b/>
                <w:color w:val="FFFFFF"/>
                <w:sz w:val="20"/>
              </w:rPr>
              <w:t>ID</w:t>
            </w:r>
          </w:p>
        </w:tc>
        <w:tc>
          <w:tcPr>
            <w:tcW w:type="dxa" w:w="5669"/>
            <w:shd w:val="clear" w:color="auto" w:fill="2E2E38"/>
          </w:tcPr>
          <w:p>
            <w:r/>
            <w:r>
              <w:rPr>
                <w:b/>
                <w:color w:val="FFFFFF"/>
                <w:sz w:val="20"/>
              </w:rPr>
              <w:t>Requirement</w:t>
            </w:r>
          </w:p>
        </w:tc>
        <w:tc>
          <w:tcPr>
            <w:tcW w:type="dxa" w:w="1417"/>
            <w:shd w:val="clear" w:color="auto" w:fill="2E2E38"/>
          </w:tcPr>
          <w:p>
            <w:r/>
            <w:r>
              <w:rPr>
                <w:b/>
                <w:color w:val="FFFFFF"/>
                <w:sz w:val="20"/>
              </w:rPr>
              <w:t>Priority</w:t>
            </w:r>
          </w:p>
        </w:tc>
      </w:tr>
      <w:tr>
        <w:tc>
          <w:tcPr>
            <w:tcW w:type="dxa" w:w="850"/>
          </w:tcPr>
          <w:p>
            <w:r/>
            <w:r>
              <w:rPr>
                <w:sz w:val="19"/>
              </w:rPr>
              <w:t>FR-50</w:t>
            </w:r>
          </w:p>
        </w:tc>
        <w:tc>
          <w:tcPr>
            <w:tcW w:type="dxa" w:w="5669"/>
          </w:tcPr>
          <w:p>
            <w:r/>
            <w:r>
              <w:rPr>
                <w:sz w:val="19"/>
              </w:rPr>
              <w:t>The system shall compute Character Error Rate (CER) and Word Error Rate (WER) between an extraction result and a user-supplied ground-truth transcription.</w:t>
            </w:r>
          </w:p>
        </w:tc>
        <w:tc>
          <w:tcPr>
            <w:tcW w:type="dxa" w:w="1417"/>
          </w:tcPr>
          <w:p>
            <w:r/>
            <w:r>
              <w:rPr>
                <w:sz w:val="19"/>
              </w:rPr>
              <w:t>Should</w:t>
            </w:r>
          </w:p>
        </w:tc>
      </w:tr>
      <w:tr>
        <w:tc>
          <w:tcPr>
            <w:tcW w:type="dxa" w:w="850"/>
          </w:tcPr>
          <w:p>
            <w:r/>
            <w:r>
              <w:rPr>
                <w:sz w:val="19"/>
              </w:rPr>
              <w:t>FR-51</w:t>
            </w:r>
          </w:p>
        </w:tc>
        <w:tc>
          <w:tcPr>
            <w:tcW w:type="dxa" w:w="5669"/>
          </w:tcPr>
          <w:p>
            <w:r/>
            <w:r>
              <w:rPr>
                <w:sz w:val="19"/>
              </w:rPr>
              <w:t>The evaluation shall apply Unicode normalization (NFC) prior to comparison to ensure consistent results for Arabic text.</w:t>
            </w:r>
          </w:p>
        </w:tc>
        <w:tc>
          <w:tcPr>
            <w:tcW w:type="dxa" w:w="1417"/>
          </w:tcPr>
          <w:p>
            <w:r/>
            <w:r>
              <w:rPr>
                <w:sz w:val="19"/>
              </w:rPr>
              <w:t>Should</w:t>
            </w:r>
          </w:p>
        </w:tc>
      </w:tr>
      <w:tr>
        <w:tc>
          <w:tcPr>
            <w:tcW w:type="dxa" w:w="850"/>
          </w:tcPr>
          <w:p>
            <w:r/>
            <w:r>
              <w:rPr>
                <w:sz w:val="19"/>
              </w:rPr>
              <w:t>FR-52</w:t>
            </w:r>
          </w:p>
        </w:tc>
        <w:tc>
          <w:tcPr>
            <w:tcW w:type="dxa" w:w="5669"/>
          </w:tcPr>
          <w:p>
            <w:r/>
            <w:r>
              <w:rPr>
                <w:sz w:val="19"/>
              </w:rPr>
              <w:t>The system shall expose per-run metadata (engine used, duration, token consumption, Tesseract confidence where applicable) to support comparative analysis across modes.</w:t>
            </w:r>
          </w:p>
        </w:tc>
        <w:tc>
          <w:tcPr>
            <w:tcW w:type="dxa" w:w="1417"/>
          </w:tcPr>
          <w:p>
            <w:r/>
            <w:r>
              <w:rPr>
                <w:sz w:val="19"/>
              </w:rPr>
              <w:t>Could</w:t>
            </w:r>
          </w:p>
        </w:tc>
      </w:tr>
    </w:tbl>
    <w:p>
      <w:pPr>
        <w:spacing w:after="80"/>
      </w:pPr>
    </w:p>
    <w:p>
      <w:r>
        <w:br w:type="page"/>
      </w:r>
    </w:p>
    <w:p>
      <w:pPr>
        <w:pStyle w:val="Heading1"/>
      </w:pPr>
      <w:r>
        <w:rPr>
          <w:b/>
          <w:color w:val="E8B600"/>
        </w:rPr>
        <w:t xml:space="preserve">4  </w:t>
      </w:r>
      <w:r>
        <w:t>Non-Functional Requirements</w:t>
      </w:r>
    </w:p>
    <w:p>
      <w:pPr>
        <w:spacing w:after="160"/>
      </w:pPr>
      <w:r>
        <w:rPr>
          <w:b w:val="0"/>
          <w:i w:val="0"/>
          <w:sz w:val="22"/>
        </w:rPr>
        <w:t>Non-functional requirements describe the quality attributes the system must exhibit, independent of specific features.</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2E2E38"/>
          </w:tcPr>
          <w:p>
            <w:r/>
            <w:r>
              <w:rPr>
                <w:b/>
                <w:color w:val="FFFFFF"/>
                <w:sz w:val="20"/>
              </w:rPr>
              <w:t>Category</w:t>
            </w:r>
          </w:p>
        </w:tc>
        <w:tc>
          <w:tcPr>
            <w:tcW w:type="dxa" w:w="6236"/>
            <w:shd w:val="clear" w:color="auto" w:fill="2E2E38"/>
          </w:tcPr>
          <w:p>
            <w:r/>
            <w:r>
              <w:rPr>
                <w:b/>
                <w:color w:val="FFFFFF"/>
                <w:sz w:val="20"/>
              </w:rPr>
              <w:t>Requirement</w:t>
            </w:r>
          </w:p>
        </w:tc>
      </w:tr>
      <w:tr>
        <w:tc>
          <w:tcPr>
            <w:tcW w:type="dxa" w:w="1701"/>
          </w:tcPr>
          <w:p>
            <w:r/>
            <w:r>
              <w:rPr>
                <w:sz w:val="19"/>
              </w:rPr>
              <w:t>Performance</w:t>
            </w:r>
          </w:p>
        </w:tc>
        <w:tc>
          <w:tcPr>
            <w:tcW w:type="dxa" w:w="6236"/>
          </w:tcPr>
          <w:p>
            <w:r/>
            <w:r>
              <w:rPr>
                <w:sz w:val="19"/>
              </w:rPr>
              <w:t>A single-page image shall be processed by the GenAI vision engine in a small number of seconds under normal network conditions, reflecting the low-latency design of the chosen inference provider.</w:t>
            </w:r>
          </w:p>
        </w:tc>
      </w:tr>
      <w:tr>
        <w:tc>
          <w:tcPr>
            <w:tcW w:type="dxa" w:w="1701"/>
          </w:tcPr>
          <w:p>
            <w:r/>
            <w:r>
              <w:rPr>
                <w:sz w:val="19"/>
              </w:rPr>
              <w:t>Security</w:t>
            </w:r>
          </w:p>
        </w:tc>
        <w:tc>
          <w:tcPr>
            <w:tcW w:type="dxa" w:w="6236"/>
          </w:tcPr>
          <w:p>
            <w:r/>
            <w:r>
              <w:rPr>
                <w:sz w:val="19"/>
              </w:rPr>
              <w:t>User passwords shall never be stored or logged in plaintext. All authenticated API routes shall require a valid, non-expired bearer token. Cross-origin requests shall be restricted to the known frontend origin.</w:t>
            </w:r>
          </w:p>
        </w:tc>
      </w:tr>
      <w:tr>
        <w:tc>
          <w:tcPr>
            <w:tcW w:type="dxa" w:w="1701"/>
          </w:tcPr>
          <w:p>
            <w:r/>
            <w:r>
              <w:rPr>
                <w:sz w:val="19"/>
              </w:rPr>
              <w:t>Usability</w:t>
            </w:r>
          </w:p>
        </w:tc>
        <w:tc>
          <w:tcPr>
            <w:tcW w:type="dxa" w:w="6236"/>
          </w:tcPr>
          <w:p>
            <w:r/>
            <w:r>
              <w:rPr>
                <w:sz w:val="19"/>
              </w:rPr>
              <w:t>The interface shall provide clear visual feedback for loading, success, and error states, and shall remain usable without reference to external documentation.</w:t>
            </w:r>
          </w:p>
        </w:tc>
      </w:tr>
      <w:tr>
        <w:tc>
          <w:tcPr>
            <w:tcW w:type="dxa" w:w="1701"/>
          </w:tcPr>
          <w:p>
            <w:r/>
            <w:r>
              <w:rPr>
                <w:sz w:val="19"/>
              </w:rPr>
              <w:t>Accessibility</w:t>
            </w:r>
          </w:p>
        </w:tc>
        <w:tc>
          <w:tcPr>
            <w:tcW w:type="dxa" w:w="6236"/>
          </w:tcPr>
          <w:p>
            <w:r/>
            <w:r>
              <w:rPr>
                <w:sz w:val="19"/>
              </w:rPr>
              <w:t>Interactive elements shall be reachable via keyboard navigation and expose visible focus states; motion effects shall respect the user's reduced-motion preference.</w:t>
            </w:r>
          </w:p>
        </w:tc>
      </w:tr>
      <w:tr>
        <w:tc>
          <w:tcPr>
            <w:tcW w:type="dxa" w:w="1701"/>
          </w:tcPr>
          <w:p>
            <w:r/>
            <w:r>
              <w:rPr>
                <w:sz w:val="19"/>
              </w:rPr>
              <w:t>Reliability</w:t>
            </w:r>
          </w:p>
        </w:tc>
        <w:tc>
          <w:tcPr>
            <w:tcW w:type="dxa" w:w="6236"/>
          </w:tcPr>
          <w:p>
            <w:r/>
            <w:r>
              <w:rPr>
                <w:sz w:val="19"/>
              </w:rPr>
              <w:t>The system shall degrade gracefully when optional dependencies (Tesseract) are unavailable, rather than failing entirely.</w:t>
            </w:r>
          </w:p>
        </w:tc>
      </w:tr>
      <w:tr>
        <w:tc>
          <w:tcPr>
            <w:tcW w:type="dxa" w:w="1701"/>
          </w:tcPr>
          <w:p>
            <w:r/>
            <w:r>
              <w:rPr>
                <w:sz w:val="19"/>
              </w:rPr>
              <w:t>Maintainability</w:t>
            </w:r>
          </w:p>
        </w:tc>
        <w:tc>
          <w:tcPr>
            <w:tcW w:type="dxa" w:w="6236"/>
          </w:tcPr>
          <w:p>
            <w:r/>
            <w:r>
              <w:rPr>
                <w:sz w:val="19"/>
              </w:rPr>
              <w:t>The OCR core shall be decoupled from any specific interface, such that the web backend, the CLI, and the Streamlit prototype share a single implementation of the processing pipeline.</w:t>
            </w:r>
          </w:p>
        </w:tc>
      </w:tr>
      <w:tr>
        <w:tc>
          <w:tcPr>
            <w:tcW w:type="dxa" w:w="1701"/>
          </w:tcPr>
          <w:p>
            <w:r/>
            <w:r>
              <w:rPr>
                <w:sz w:val="19"/>
              </w:rPr>
              <w:t>Portability</w:t>
            </w:r>
          </w:p>
        </w:tc>
        <w:tc>
          <w:tcPr>
            <w:tcW w:type="dxa" w:w="6236"/>
          </w:tcPr>
          <w:p>
            <w:r/>
            <w:r>
              <w:rPr>
                <w:sz w:val="19"/>
              </w:rPr>
              <w:t>Configuration (API keys, database connection, model selection) shall be externalized via environment variables rather than hard-coded.</w:t>
            </w:r>
          </w:p>
        </w:tc>
      </w:tr>
      <w:tr>
        <w:tc>
          <w:tcPr>
            <w:tcW w:type="dxa" w:w="1701"/>
          </w:tcPr>
          <w:p>
            <w:r/>
            <w:r>
              <w:rPr>
                <w:sz w:val="19"/>
              </w:rPr>
              <w:t>Data retention</w:t>
            </w:r>
          </w:p>
        </w:tc>
        <w:tc>
          <w:tcPr>
            <w:tcW w:type="dxa" w:w="6236"/>
          </w:tcPr>
          <w:p>
            <w:r/>
            <w:r>
              <w:rPr>
                <w:sz w:val="19"/>
              </w:rPr>
              <w:t>Processed documents and their extracted text shall be retained indefinitely in the database unless explicitly deleted by the owning user.</w:t>
            </w:r>
          </w:p>
        </w:tc>
      </w:tr>
      <w:tr>
        <w:tc>
          <w:tcPr>
            <w:tcW w:type="dxa" w:w="1701"/>
          </w:tcPr>
          <w:p>
            <w:r/>
            <w:r>
              <w:rPr>
                <w:sz w:val="19"/>
              </w:rPr>
              <w:t>Branding consistency</w:t>
            </w:r>
          </w:p>
        </w:tc>
        <w:tc>
          <w:tcPr>
            <w:tcW w:type="dxa" w:w="6236"/>
          </w:tcPr>
          <w:p>
            <w:r/>
            <w:r>
              <w:rPr>
                <w:sz w:val="19"/>
              </w:rPr>
              <w:t>The user interface shall consistently apply EY's visual identity (colour palette, logotype, typography) across all screens.</w:t>
            </w:r>
          </w:p>
        </w:tc>
      </w:tr>
    </w:tbl>
    <w:p>
      <w:pPr>
        <w:spacing w:after="80"/>
      </w:pPr>
    </w:p>
    <w:p>
      <w:r>
        <w:br w:type="page"/>
      </w:r>
    </w:p>
    <w:p>
      <w:pPr>
        <w:pStyle w:val="Heading1"/>
      </w:pPr>
      <w:r>
        <w:rPr>
          <w:b/>
          <w:color w:val="E8B600"/>
        </w:rPr>
        <w:t xml:space="preserve">5  </w:t>
      </w:r>
      <w:r>
        <w:t>System Architecture</w:t>
      </w:r>
    </w:p>
    <w:p>
      <w:pPr>
        <w:pStyle w:val="Heading2"/>
      </w:pPr>
      <w:r>
        <w:t>5.1 High-Level Overview</w:t>
      </w:r>
    </w:p>
    <w:p>
      <w:pPr>
        <w:spacing w:after="160"/>
      </w:pPr>
      <w:r>
        <w:rPr>
          <w:b w:val="0"/>
          <w:i w:val="0"/>
          <w:sz w:val="22"/>
        </w:rPr>
        <w:t>The platform follows a conventional three-tier architecture: a browser-based single-page application, a stateless REST API backend, and a document-oriented database, augmented by a call-out to a third-party generative AI inference provider for the recognition step itself.</w:t>
      </w:r>
    </w:p>
    <w:tbl>
      <w:tblPr>
        <w:tblStyle w:val="TableGrid"/>
        <w:tblW w:type="auto" w:w="0"/>
        <w:tblLook w:firstColumn="1" w:firstRow="1" w:lastColumn="0" w:lastRow="0" w:noHBand="0" w:noVBand="1" w:val="04A0"/>
      </w:tblPr>
      <w:tblGrid>
        <w:gridCol w:w="9406"/>
      </w:tblGrid>
      <w:tr>
        <w:tc>
          <w:tcPr>
            <w:tcW w:type="dxa" w:w="9406"/>
            <w:shd w:val="clear" w:color="auto" w:fill="1A1A24"/>
          </w:tcPr>
          <w:p>
            <w:pPr>
              <w:spacing w:after="0"/>
            </w:pPr>
            <w:r/>
            <w:r>
              <w:rPr>
                <w:rFonts w:ascii="Consolas" w:hAnsi="Consolas"/>
                <w:color w:val="E8E8F0"/>
                <w:sz w:val="17"/>
              </w:rPr>
              <w:t xml:space="preserve">  Browser (React SPA, port 5173)</w:t>
            </w:r>
          </w:p>
          <w:p>
            <w:pPr>
              <w:spacing w:after="0"/>
            </w:pPr>
            <w:r>
              <w:rPr>
                <w:rFonts w:ascii="Consolas" w:hAnsi="Consolas"/>
                <w:color w:val="E8E8F0"/>
                <w:sz w:val="17"/>
              </w:rPr>
              <w:t xml:space="preserve">        |  fetch /api/*   (Vite dev-server proxy -&gt; :8000)</w:t>
            </w:r>
          </w:p>
          <w:p>
            <w:pPr>
              <w:spacing w:after="0"/>
            </w:pPr>
            <w:r>
              <w:rPr>
                <w:rFonts w:ascii="Consolas" w:hAnsi="Consolas"/>
                <w:color w:val="E8E8F0"/>
                <w:sz w:val="17"/>
              </w:rPr>
              <w:t xml:space="preserve">        v</w:t>
            </w:r>
          </w:p>
          <w:p>
            <w:pPr>
              <w:spacing w:after="0"/>
            </w:pPr>
            <w:r>
              <w:rPr>
                <w:rFonts w:ascii="Consolas" w:hAnsi="Consolas"/>
                <w:color w:val="E8E8F0"/>
                <w:sz w:val="17"/>
              </w:rPr>
              <w:t xml:space="preserve">  FastAPI backend (port 8000)</w:t>
            </w:r>
          </w:p>
          <w:p>
            <w:pPr>
              <w:spacing w:after="0"/>
            </w:pPr>
            <w:r>
              <w:rPr>
                <w:rFonts w:ascii="Consolas" w:hAnsi="Consolas"/>
                <w:color w:val="E8E8F0"/>
                <w:sz w:val="17"/>
              </w:rPr>
              <w:t xml:space="preserve">        |   JWT authentication, PBKDF2 password hashing</w:t>
            </w:r>
          </w:p>
          <w:p>
            <w:pPr>
              <w:spacing w:after="0"/>
            </w:pPr>
            <w:r>
              <w:rPr>
                <w:rFonts w:ascii="Consolas" w:hAnsi="Consolas"/>
                <w:color w:val="E8E8F0"/>
                <w:sz w:val="17"/>
              </w:rPr>
              <w:t xml:space="preserve">        |</w:t>
            </w:r>
          </w:p>
          <w:p>
            <w:pPr>
              <w:spacing w:after="0"/>
            </w:pPr>
            <w:r>
              <w:rPr>
                <w:rFonts w:ascii="Consolas" w:hAnsi="Consolas"/>
                <w:color w:val="E8E8F0"/>
                <w:sz w:val="17"/>
              </w:rPr>
              <w:t xml:space="preserve">        +--&gt; MongoDB          (ey_ocr.users / ey_ocr.documents)</w:t>
            </w:r>
          </w:p>
          <w:p>
            <w:pPr>
              <w:spacing w:after="0"/>
            </w:pPr>
            <w:r>
              <w:rPr>
                <w:rFonts w:ascii="Consolas" w:hAnsi="Consolas"/>
                <w:color w:val="E8E8F0"/>
                <w:sz w:val="17"/>
              </w:rPr>
              <w:t xml:space="preserve">        |</w:t>
            </w:r>
          </w:p>
          <w:p>
            <w:pPr>
              <w:spacing w:after="0"/>
            </w:pPr>
            <w:r>
              <w:rPr>
                <w:rFonts w:ascii="Consolas" w:hAnsi="Consolas"/>
                <w:color w:val="E8E8F0"/>
                <w:sz w:val="17"/>
              </w:rPr>
              <w:t xml:space="preserve">        +--&gt; OCRPipeline (src/)</w:t>
            </w:r>
          </w:p>
          <w:p>
            <w:pPr>
              <w:spacing w:after="0"/>
            </w:pPr>
            <w:r>
              <w:rPr>
                <w:rFonts w:ascii="Consolas" w:hAnsi="Consolas"/>
                <w:color w:val="E8E8F0"/>
                <w:sz w:val="17"/>
              </w:rPr>
              <w:t xml:space="preserve">                |</w:t>
            </w:r>
          </w:p>
          <w:p>
            <w:pPr>
              <w:spacing w:after="0"/>
            </w:pPr>
            <w:r>
              <w:rPr>
                <w:rFonts w:ascii="Consolas" w:hAnsi="Consolas"/>
                <w:color w:val="E8E8F0"/>
                <w:sz w:val="17"/>
              </w:rPr>
              <w:t xml:space="preserve">                +--&gt; preprocessing.py     (OpenCV / Pillow)</w:t>
            </w:r>
          </w:p>
          <w:p>
            <w:pPr>
              <w:spacing w:after="0"/>
            </w:pPr>
            <w:r>
              <w:rPr>
                <w:rFonts w:ascii="Consolas" w:hAnsi="Consolas"/>
                <w:color w:val="E8E8F0"/>
                <w:sz w:val="17"/>
              </w:rPr>
              <w:t xml:space="preserve">                +--&gt; ocr_engine.py        (Tesseract, optional)</w:t>
            </w:r>
          </w:p>
          <w:p>
            <w:pPr>
              <w:spacing w:after="0"/>
            </w:pPr>
            <w:r>
              <w:rPr>
                <w:rFonts w:ascii="Consolas" w:hAnsi="Consolas"/>
                <w:color w:val="E8E8F0"/>
                <w:sz w:val="17"/>
              </w:rPr>
              <w:t xml:space="preserve">                +--&gt; genai_ocr.GroqOCR    --&gt; Groq API (Llama 4 vision)</w:t>
            </w:r>
          </w:p>
        </w:tc>
      </w:tr>
    </w:tbl>
    <w:p>
      <w:pPr>
        <w:spacing w:after="80"/>
      </w:pPr>
    </w:p>
    <w:p>
      <w:pPr>
        <w:pStyle w:val="Heading2"/>
      </w:pPr>
      <w:r>
        <w:t>5.2 Component Overview</w:t>
      </w:r>
    </w:p>
    <w:tbl>
      <w:tblPr>
        <w:tblStyle w:val="TableGrid"/>
        <w:tblW w:type="auto" w:w="0"/>
        <w:jc w:val="center"/>
        <w:tblLook w:firstColumn="1" w:firstRow="1" w:lastColumn="0" w:lastRow="0" w:noHBand="0" w:noVBand="1" w:val="04A0"/>
      </w:tblPr>
      <w:tblGrid>
        <w:gridCol w:w="4703"/>
        <w:gridCol w:w="4703"/>
      </w:tblGrid>
      <w:tr>
        <w:tc>
          <w:tcPr>
            <w:tcW w:type="dxa" w:w="2268"/>
            <w:shd w:val="clear" w:color="auto" w:fill="2E2E38"/>
          </w:tcPr>
          <w:p>
            <w:r/>
            <w:r>
              <w:rPr>
                <w:b/>
                <w:color w:val="FFFFFF"/>
                <w:sz w:val="20"/>
              </w:rPr>
              <w:t>Component</w:t>
            </w:r>
          </w:p>
        </w:tc>
        <w:tc>
          <w:tcPr>
            <w:tcW w:type="dxa" w:w="5669"/>
            <w:shd w:val="clear" w:color="auto" w:fill="2E2E38"/>
          </w:tcPr>
          <w:p>
            <w:r/>
            <w:r>
              <w:rPr>
                <w:b/>
                <w:color w:val="FFFFFF"/>
                <w:sz w:val="20"/>
              </w:rPr>
              <w:t>Responsibility</w:t>
            </w:r>
          </w:p>
        </w:tc>
      </w:tr>
      <w:tr>
        <w:tc>
          <w:tcPr>
            <w:tcW w:type="dxa" w:w="2268"/>
          </w:tcPr>
          <w:p>
            <w:r/>
            <w:r>
              <w:rPr>
                <w:sz w:val="19"/>
              </w:rPr>
              <w:t>React SPA (frontend/)</w:t>
            </w:r>
          </w:p>
        </w:tc>
        <w:tc>
          <w:tcPr>
            <w:tcW w:type="dxa" w:w="5669"/>
          </w:tcPr>
          <w:p>
            <w:r/>
            <w:r>
              <w:rPr>
                <w:sz w:val="19"/>
              </w:rPr>
              <w:t>Presents the login, dashboard, and history screens; manages client-side session and navigation state; calls the backend REST API.</w:t>
            </w:r>
          </w:p>
        </w:tc>
      </w:tr>
      <w:tr>
        <w:tc>
          <w:tcPr>
            <w:tcW w:type="dxa" w:w="2268"/>
          </w:tcPr>
          <w:p>
            <w:r/>
            <w:r>
              <w:rPr>
                <w:sz w:val="19"/>
              </w:rPr>
              <w:t>FastAPI backend (backend/)</w:t>
            </w:r>
          </w:p>
        </w:tc>
        <w:tc>
          <w:tcPr>
            <w:tcW w:type="dxa" w:w="5669"/>
          </w:tcPr>
          <w:p>
            <w:r/>
            <w:r>
              <w:rPr>
                <w:sz w:val="19"/>
              </w:rPr>
              <w:t>Exposes the REST API; enforces authentication and authorization; orchestrates calls into the OCR core; persists and retrieves data from MongoDB.</w:t>
            </w:r>
          </w:p>
        </w:tc>
      </w:tr>
      <w:tr>
        <w:tc>
          <w:tcPr>
            <w:tcW w:type="dxa" w:w="2268"/>
          </w:tcPr>
          <w:p>
            <w:r/>
            <w:r>
              <w:rPr>
                <w:sz w:val="19"/>
              </w:rPr>
              <w:t>OCR core (src/)</w:t>
            </w:r>
          </w:p>
        </w:tc>
        <w:tc>
          <w:tcPr>
            <w:tcW w:type="dxa" w:w="5669"/>
          </w:tcPr>
          <w:p>
            <w:r/>
            <w:r>
              <w:rPr>
                <w:sz w:val="19"/>
              </w:rPr>
              <w:t>Interface-agnostic processing pipeline: image preprocessing, recognition (three modes), language detection, and evaluation metrics. Shared identically by the backend, the CLI, and the Streamlit prototype.</w:t>
            </w:r>
          </w:p>
        </w:tc>
      </w:tr>
      <w:tr>
        <w:tc>
          <w:tcPr>
            <w:tcW w:type="dxa" w:w="2268"/>
          </w:tcPr>
          <w:p>
            <w:r/>
            <w:r>
              <w:rPr>
                <w:sz w:val="19"/>
              </w:rPr>
              <w:t>MongoDB</w:t>
            </w:r>
          </w:p>
        </w:tc>
        <w:tc>
          <w:tcPr>
            <w:tcW w:type="dxa" w:w="5669"/>
          </w:tcPr>
          <w:p>
            <w:r/>
            <w:r>
              <w:rPr>
                <w:sz w:val="19"/>
              </w:rPr>
              <w:t>Persists user accounts (credentials, profile) and processed documents (extracted text and metadata) as two collections within a single database.</w:t>
            </w:r>
          </w:p>
        </w:tc>
      </w:tr>
      <w:tr>
        <w:tc>
          <w:tcPr>
            <w:tcW w:type="dxa" w:w="2268"/>
          </w:tcPr>
          <w:p>
            <w:r/>
            <w:r>
              <w:rPr>
                <w:sz w:val="19"/>
              </w:rPr>
              <w:t>Groq API (external)</w:t>
            </w:r>
          </w:p>
        </w:tc>
        <w:tc>
          <w:tcPr>
            <w:tcW w:type="dxa" w:w="5669"/>
          </w:tcPr>
          <w:p>
            <w:r/>
            <w:r>
              <w:rPr>
                <w:sz w:val="19"/>
              </w:rPr>
              <w:t>Hosted inference endpoint providing the vision-capable large language model used for text extraction and OCR correction.</w:t>
            </w:r>
          </w:p>
        </w:tc>
      </w:tr>
      <w:tr>
        <w:tc>
          <w:tcPr>
            <w:tcW w:type="dxa" w:w="2268"/>
          </w:tcPr>
          <w:p>
            <w:r/>
            <w:r>
              <w:rPr>
                <w:sz w:val="19"/>
              </w:rPr>
              <w:t>Tesseract (optional, local)</w:t>
            </w:r>
          </w:p>
        </w:tc>
        <w:tc>
          <w:tcPr>
            <w:tcW w:type="dxa" w:w="5669"/>
          </w:tcPr>
          <w:p>
            <w:r/>
            <w:r>
              <w:rPr>
                <w:sz w:val="19"/>
              </w:rPr>
              <w:t>Local classical OCR binary used by the Hybrid and Tesseract-only recognition modes when installed.</w:t>
            </w:r>
          </w:p>
        </w:tc>
      </w:tr>
    </w:tbl>
    <w:p>
      <w:pPr>
        <w:spacing w:after="80"/>
      </w:pPr>
    </w:p>
    <w:p>
      <w:pPr>
        <w:pStyle w:val="Heading2"/>
      </w:pPr>
      <w:r>
        <w:t>5.3 Request Flow — Document Extraction</w:t>
      </w:r>
    </w:p>
    <w:p>
      <w:pPr>
        <w:spacing w:after="160"/>
      </w:pPr>
      <w:r>
        <w:rPr>
          <w:b w:val="0"/>
          <w:i w:val="0"/>
          <w:sz w:val="22"/>
        </w:rPr>
        <w:t>The following sequence illustrates the end-to-end flow for a typical document extraction request, from user action to persisted result.</w:t>
      </w:r>
    </w:p>
    <w:p>
      <w:pPr>
        <w:pStyle w:val="ListNumber"/>
        <w:spacing w:after="80"/>
      </w:pPr>
      <w:r>
        <w:t>The user selects or drops a file in the dashboard and chooses a recognition mode and optional language hint.</w:t>
      </w:r>
    </w:p>
    <w:p>
      <w:pPr>
        <w:pStyle w:val="ListNumber"/>
        <w:spacing w:after="80"/>
      </w:pPr>
      <w:r>
        <w:t>The frontend submits a multipart request to POST /api/ocr, including the bearer token obtained at login.</w:t>
      </w:r>
    </w:p>
    <w:p>
      <w:pPr>
        <w:pStyle w:val="ListNumber"/>
        <w:spacing w:after="80"/>
      </w:pPr>
      <w:r>
        <w:t>The backend validates the token, the file type, and the requested mode against what is actually available server-side.</w:t>
      </w:r>
    </w:p>
    <w:p>
      <w:pPr>
        <w:pStyle w:val="ListNumber"/>
        <w:spacing w:after="80"/>
      </w:pPr>
      <w:r>
        <w:t>For PDF input, the file is rasterized locally into one image per page.</w:t>
      </w:r>
    </w:p>
    <w:p>
      <w:pPr>
        <w:pStyle w:val="ListNumber"/>
        <w:spacing w:after="80"/>
      </w:pPr>
      <w:r>
        <w:t>Each image is preprocessed (resize, denoise, deskew, contrast enhancement) before being handed to the selected recognition engine.</w:t>
      </w:r>
    </w:p>
    <w:p>
      <w:pPr>
        <w:pStyle w:val="ListNumber"/>
        <w:spacing w:after="80"/>
      </w:pPr>
      <w:r>
        <w:t>The recognition engine (GenAI vision, Hybrid, or Tesseract-only) produces the transcribed text.</w:t>
      </w:r>
    </w:p>
    <w:p>
      <w:pPr>
        <w:pStyle w:val="ListNumber"/>
        <w:spacing w:after="80"/>
      </w:pPr>
      <w:r>
        <w:t>The result, together with processing metadata, is persisted to the documents collection, associated with the authenticated user.</w:t>
      </w:r>
    </w:p>
    <w:p>
      <w:pPr>
        <w:pStyle w:val="ListNumber"/>
        <w:spacing w:after="80"/>
      </w:pPr>
      <w:r>
        <w:t>The backend returns the result to the frontend, which renders it (with right-to-left layout when applicable) and refreshes the history summary.</w:t>
      </w:r>
    </w:p>
    <w:p>
      <w:pPr>
        <w:pStyle w:val="Heading2"/>
      </w:pPr>
      <w:r>
        <w:t>5.4 Deployment Topology (Current Environment)</w:t>
      </w:r>
    </w:p>
    <w:p>
      <w:pPr>
        <w:spacing w:after="160"/>
      </w:pPr>
      <w:r>
        <w:rPr>
          <w:b w:val="0"/>
          <w:i w:val="0"/>
          <w:sz w:val="22"/>
        </w:rPr>
        <w:t>The reference environment runs all components on a single development machine: the FastAPI backend on port 8000, the Vite development server for the React frontend on port 5173 (proxying API calls to the backend), and MongoDB as a local service on its default port 27017. This topology is appropriate for development and internal demonstration; a production deployment would introduce a build step for the frontend (static asset hosting), a process manager or container orchestration for the backend, and a managed or replicated MongoDB instance.</w:t>
      </w:r>
    </w:p>
    <w:p>
      <w:r>
        <w:br w:type="page"/>
      </w:r>
    </w:p>
    <w:p>
      <w:pPr>
        <w:pStyle w:val="Heading1"/>
      </w:pPr>
      <w:r>
        <w:rPr>
          <w:b/>
          <w:color w:val="E8B600"/>
        </w:rPr>
        <w:t xml:space="preserve">6  </w:t>
      </w:r>
      <w:r>
        <w:t>Technology Stack</w:t>
      </w:r>
    </w:p>
    <w:p>
      <w:pPr>
        <w:pStyle w:val="Heading2"/>
      </w:pPr>
      <w:r>
        <w:t>6.1 Overview</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2E2E38"/>
          </w:tcPr>
          <w:p>
            <w:r/>
            <w:r>
              <w:rPr>
                <w:b/>
                <w:color w:val="FFFFFF"/>
                <w:sz w:val="20"/>
              </w:rPr>
              <w:t>Layer</w:t>
            </w:r>
          </w:p>
        </w:tc>
        <w:tc>
          <w:tcPr>
            <w:tcW w:type="dxa" w:w="2835"/>
            <w:shd w:val="clear" w:color="auto" w:fill="2E2E38"/>
          </w:tcPr>
          <w:p>
            <w:r/>
            <w:r>
              <w:rPr>
                <w:b/>
                <w:color w:val="FFFFFF"/>
                <w:sz w:val="20"/>
              </w:rPr>
              <w:t>Technology</w:t>
            </w:r>
          </w:p>
        </w:tc>
        <w:tc>
          <w:tcPr>
            <w:tcW w:type="dxa" w:w="3118"/>
            <w:shd w:val="clear" w:color="auto" w:fill="2E2E38"/>
          </w:tcPr>
          <w:p>
            <w:r/>
            <w:r>
              <w:rPr>
                <w:b/>
                <w:color w:val="FFFFFF"/>
                <w:sz w:val="20"/>
              </w:rPr>
              <w:t>Role</w:t>
            </w:r>
          </w:p>
        </w:tc>
      </w:tr>
      <w:tr>
        <w:tc>
          <w:tcPr>
            <w:tcW w:type="dxa" w:w="1984"/>
          </w:tcPr>
          <w:p>
            <w:r/>
            <w:r>
              <w:rPr>
                <w:sz w:val="19"/>
              </w:rPr>
              <w:t>Generative AI / OCR engine</w:t>
            </w:r>
          </w:p>
        </w:tc>
        <w:tc>
          <w:tcPr>
            <w:tcW w:type="dxa" w:w="2835"/>
          </w:tcPr>
          <w:p>
            <w:r/>
            <w:r>
              <w:rPr>
                <w:sz w:val="19"/>
              </w:rPr>
              <w:t>Groq API — Llama 4 Scout (vision)</w:t>
            </w:r>
          </w:p>
        </w:tc>
        <w:tc>
          <w:tcPr>
            <w:tcW w:type="dxa" w:w="3118"/>
          </w:tcPr>
          <w:p>
            <w:r/>
            <w:r>
              <w:rPr>
                <w:sz w:val="19"/>
              </w:rPr>
              <w:t>Vision-based text extraction and OCR error correction</w:t>
            </w:r>
          </w:p>
        </w:tc>
      </w:tr>
      <w:tr>
        <w:tc>
          <w:tcPr>
            <w:tcW w:type="dxa" w:w="1984"/>
          </w:tcPr>
          <w:p>
            <w:r/>
            <w:r>
              <w:rPr>
                <w:sz w:val="19"/>
              </w:rPr>
              <w:t>Classical OCR (optional)</w:t>
            </w:r>
          </w:p>
        </w:tc>
        <w:tc>
          <w:tcPr>
            <w:tcW w:type="dxa" w:w="2835"/>
          </w:tcPr>
          <w:p>
            <w:r/>
            <w:r>
              <w:rPr>
                <w:sz w:val="19"/>
              </w:rPr>
              <w:t>Tesseract OCR</w:t>
            </w:r>
          </w:p>
        </w:tc>
        <w:tc>
          <w:tcPr>
            <w:tcW w:type="dxa" w:w="3118"/>
          </w:tcPr>
          <w:p>
            <w:r/>
            <w:r>
              <w:rPr>
                <w:sz w:val="19"/>
              </w:rPr>
              <w:t>Baseline recognition for benchmarking and the Hybrid mode</w:t>
            </w:r>
          </w:p>
        </w:tc>
      </w:tr>
      <w:tr>
        <w:tc>
          <w:tcPr>
            <w:tcW w:type="dxa" w:w="1984"/>
          </w:tcPr>
          <w:p>
            <w:r/>
            <w:r>
              <w:rPr>
                <w:sz w:val="19"/>
              </w:rPr>
              <w:t>Image processing</w:t>
            </w:r>
          </w:p>
        </w:tc>
        <w:tc>
          <w:tcPr>
            <w:tcW w:type="dxa" w:w="2835"/>
          </w:tcPr>
          <w:p>
            <w:r/>
            <w:r>
              <w:rPr>
                <w:sz w:val="19"/>
              </w:rPr>
              <w:t>OpenCV, Pillow, NumPy</w:t>
            </w:r>
          </w:p>
        </w:tc>
        <w:tc>
          <w:tcPr>
            <w:tcW w:type="dxa" w:w="3118"/>
          </w:tcPr>
          <w:p>
            <w:r/>
            <w:r>
              <w:rPr>
                <w:sz w:val="19"/>
              </w:rPr>
              <w:t>Preprocessing pipeline (denoise, deskew, contrast, resize)</w:t>
            </w:r>
          </w:p>
        </w:tc>
      </w:tr>
      <w:tr>
        <w:tc>
          <w:tcPr>
            <w:tcW w:type="dxa" w:w="1984"/>
          </w:tcPr>
          <w:p>
            <w:r/>
            <w:r>
              <w:rPr>
                <w:sz w:val="19"/>
              </w:rPr>
              <w:t>PDF handling</w:t>
            </w:r>
          </w:p>
        </w:tc>
        <w:tc>
          <w:tcPr>
            <w:tcW w:type="dxa" w:w="2835"/>
          </w:tcPr>
          <w:p>
            <w:r/>
            <w:r>
              <w:rPr>
                <w:sz w:val="19"/>
              </w:rPr>
              <w:t>PyMuPDF</w:t>
            </w:r>
          </w:p>
        </w:tc>
        <w:tc>
          <w:tcPr>
            <w:tcW w:type="dxa" w:w="3118"/>
          </w:tcPr>
          <w:p>
            <w:r/>
            <w:r>
              <w:rPr>
                <w:sz w:val="19"/>
              </w:rPr>
              <w:t>Local rasterization of scanned PDF pages into images</w:t>
            </w:r>
          </w:p>
        </w:tc>
      </w:tr>
      <w:tr>
        <w:tc>
          <w:tcPr>
            <w:tcW w:type="dxa" w:w="1984"/>
          </w:tcPr>
          <w:p>
            <w:r/>
            <w:r>
              <w:rPr>
                <w:sz w:val="19"/>
              </w:rPr>
              <w:t>Backend framework</w:t>
            </w:r>
          </w:p>
        </w:tc>
        <w:tc>
          <w:tcPr>
            <w:tcW w:type="dxa" w:w="2835"/>
          </w:tcPr>
          <w:p>
            <w:r/>
            <w:r>
              <w:rPr>
                <w:sz w:val="19"/>
              </w:rPr>
              <w:t>FastAPI (Python)</w:t>
            </w:r>
          </w:p>
        </w:tc>
        <w:tc>
          <w:tcPr>
            <w:tcW w:type="dxa" w:w="3118"/>
          </w:tcPr>
          <w:p>
            <w:r/>
            <w:r>
              <w:rPr>
                <w:sz w:val="19"/>
              </w:rPr>
              <w:t>REST API, request validation, routing</w:t>
            </w:r>
          </w:p>
        </w:tc>
      </w:tr>
      <w:tr>
        <w:tc>
          <w:tcPr>
            <w:tcW w:type="dxa" w:w="1984"/>
          </w:tcPr>
          <w:p>
            <w:r/>
            <w:r>
              <w:rPr>
                <w:sz w:val="19"/>
              </w:rPr>
              <w:t>ASGI server</w:t>
            </w:r>
          </w:p>
        </w:tc>
        <w:tc>
          <w:tcPr>
            <w:tcW w:type="dxa" w:w="2835"/>
          </w:tcPr>
          <w:p>
            <w:r/>
            <w:r>
              <w:rPr>
                <w:sz w:val="19"/>
              </w:rPr>
              <w:t>Uvicorn</w:t>
            </w:r>
          </w:p>
        </w:tc>
        <w:tc>
          <w:tcPr>
            <w:tcW w:type="dxa" w:w="3118"/>
          </w:tcPr>
          <w:p>
            <w:r/>
            <w:r>
              <w:rPr>
                <w:sz w:val="19"/>
              </w:rPr>
              <w:t>Serves the FastAPI application</w:t>
            </w:r>
          </w:p>
        </w:tc>
      </w:tr>
      <w:tr>
        <w:tc>
          <w:tcPr>
            <w:tcW w:type="dxa" w:w="1984"/>
          </w:tcPr>
          <w:p>
            <w:r/>
            <w:r>
              <w:rPr>
                <w:sz w:val="19"/>
              </w:rPr>
              <w:t>Data validation</w:t>
            </w:r>
          </w:p>
        </w:tc>
        <w:tc>
          <w:tcPr>
            <w:tcW w:type="dxa" w:w="2835"/>
          </w:tcPr>
          <w:p>
            <w:r/>
            <w:r>
              <w:rPr>
                <w:sz w:val="19"/>
              </w:rPr>
              <w:t>Pydantic</w:t>
            </w:r>
          </w:p>
        </w:tc>
        <w:tc>
          <w:tcPr>
            <w:tcW w:type="dxa" w:w="3118"/>
          </w:tcPr>
          <w:p>
            <w:r/>
            <w:r>
              <w:rPr>
                <w:sz w:val="19"/>
              </w:rPr>
              <w:t>Request and response schema definition and validation</w:t>
            </w:r>
          </w:p>
        </w:tc>
      </w:tr>
      <w:tr>
        <w:tc>
          <w:tcPr>
            <w:tcW w:type="dxa" w:w="1984"/>
          </w:tcPr>
          <w:p>
            <w:r/>
            <w:r>
              <w:rPr>
                <w:sz w:val="19"/>
              </w:rPr>
              <w:t>Database</w:t>
            </w:r>
          </w:p>
        </w:tc>
        <w:tc>
          <w:tcPr>
            <w:tcW w:type="dxa" w:w="2835"/>
          </w:tcPr>
          <w:p>
            <w:r/>
            <w:r>
              <w:rPr>
                <w:sz w:val="19"/>
              </w:rPr>
              <w:t>MongoDB (via PyMongo)</w:t>
            </w:r>
          </w:p>
        </w:tc>
        <w:tc>
          <w:tcPr>
            <w:tcW w:type="dxa" w:w="3118"/>
          </w:tcPr>
          <w:p>
            <w:r/>
            <w:r>
              <w:rPr>
                <w:sz w:val="19"/>
              </w:rPr>
              <w:t>Persistence of user accounts and document history</w:t>
            </w:r>
          </w:p>
        </w:tc>
      </w:tr>
      <w:tr>
        <w:tc>
          <w:tcPr>
            <w:tcW w:type="dxa" w:w="1984"/>
          </w:tcPr>
          <w:p>
            <w:r/>
            <w:r>
              <w:rPr>
                <w:sz w:val="19"/>
              </w:rPr>
              <w:t>Authentication</w:t>
            </w:r>
          </w:p>
        </w:tc>
        <w:tc>
          <w:tcPr>
            <w:tcW w:type="dxa" w:w="2835"/>
          </w:tcPr>
          <w:p>
            <w:r/>
            <w:r>
              <w:rPr>
                <w:sz w:val="19"/>
              </w:rPr>
              <w:t>PyJWT, PBKDF2-SHA256 (hashlib)</w:t>
            </w:r>
          </w:p>
        </w:tc>
        <w:tc>
          <w:tcPr>
            <w:tcW w:type="dxa" w:w="3118"/>
          </w:tcPr>
          <w:p>
            <w:r/>
            <w:r>
              <w:rPr>
                <w:sz w:val="19"/>
              </w:rPr>
              <w:t>Token issuance and verification; password hashing</w:t>
            </w:r>
          </w:p>
        </w:tc>
      </w:tr>
      <w:tr>
        <w:tc>
          <w:tcPr>
            <w:tcW w:type="dxa" w:w="1984"/>
          </w:tcPr>
          <w:p>
            <w:r/>
            <w:r>
              <w:rPr>
                <w:sz w:val="19"/>
              </w:rPr>
              <w:t>Frontend framework</w:t>
            </w:r>
          </w:p>
        </w:tc>
        <w:tc>
          <w:tcPr>
            <w:tcW w:type="dxa" w:w="2835"/>
          </w:tcPr>
          <w:p>
            <w:r/>
            <w:r>
              <w:rPr>
                <w:sz w:val="19"/>
              </w:rPr>
              <w:t>React 18</w:t>
            </w:r>
          </w:p>
        </w:tc>
        <w:tc>
          <w:tcPr>
            <w:tcW w:type="dxa" w:w="3118"/>
          </w:tcPr>
          <w:p>
            <w:r/>
            <w:r>
              <w:rPr>
                <w:sz w:val="19"/>
              </w:rPr>
              <w:t>Component-based single-page application</w:t>
            </w:r>
          </w:p>
        </w:tc>
      </w:tr>
      <w:tr>
        <w:tc>
          <w:tcPr>
            <w:tcW w:type="dxa" w:w="1984"/>
          </w:tcPr>
          <w:p>
            <w:r/>
            <w:r>
              <w:rPr>
                <w:sz w:val="19"/>
              </w:rPr>
              <w:t>Build tool</w:t>
            </w:r>
          </w:p>
        </w:tc>
        <w:tc>
          <w:tcPr>
            <w:tcW w:type="dxa" w:w="2835"/>
          </w:tcPr>
          <w:p>
            <w:r/>
            <w:r>
              <w:rPr>
                <w:sz w:val="19"/>
              </w:rPr>
              <w:t>Vite 6</w:t>
            </w:r>
          </w:p>
        </w:tc>
        <w:tc>
          <w:tcPr>
            <w:tcW w:type="dxa" w:w="3118"/>
          </w:tcPr>
          <w:p>
            <w:r/>
            <w:r>
              <w:rPr>
                <w:sz w:val="19"/>
              </w:rPr>
              <w:t>Development server, hot module reload, production bundling</w:t>
            </w:r>
          </w:p>
        </w:tc>
      </w:tr>
      <w:tr>
        <w:tc>
          <w:tcPr>
            <w:tcW w:type="dxa" w:w="1984"/>
          </w:tcPr>
          <w:p>
            <w:r/>
            <w:r>
              <w:rPr>
                <w:sz w:val="19"/>
              </w:rPr>
              <w:t>Styling</w:t>
            </w:r>
          </w:p>
        </w:tc>
        <w:tc>
          <w:tcPr>
            <w:tcW w:type="dxa" w:w="2835"/>
          </w:tcPr>
          <w:p>
            <w:r/>
            <w:r>
              <w:rPr>
                <w:sz w:val="19"/>
              </w:rPr>
              <w:t>Hand-written CSS (custom EY design system)</w:t>
            </w:r>
          </w:p>
        </w:tc>
        <w:tc>
          <w:tcPr>
            <w:tcW w:type="dxa" w:w="3118"/>
          </w:tcPr>
          <w:p>
            <w:r/>
            <w:r>
              <w:rPr>
                <w:sz w:val="19"/>
              </w:rPr>
              <w:t>Visual identity and responsive layout</w:t>
            </w:r>
          </w:p>
        </w:tc>
      </w:tr>
      <w:tr>
        <w:tc>
          <w:tcPr>
            <w:tcW w:type="dxa" w:w="1984"/>
          </w:tcPr>
          <w:p>
            <w:r/>
            <w:r>
              <w:rPr>
                <w:sz w:val="19"/>
              </w:rPr>
              <w:t>Prototype UI</w:t>
            </w:r>
          </w:p>
        </w:tc>
        <w:tc>
          <w:tcPr>
            <w:tcW w:type="dxa" w:w="2835"/>
          </w:tcPr>
          <w:p>
            <w:r/>
            <w:r>
              <w:rPr>
                <w:sz w:val="19"/>
              </w:rPr>
              <w:t>Streamlit</w:t>
            </w:r>
          </w:p>
        </w:tc>
        <w:tc>
          <w:tcPr>
            <w:tcW w:type="dxa" w:w="3118"/>
          </w:tcPr>
          <w:p>
            <w:r/>
            <w:r>
              <w:rPr>
                <w:sz w:val="19"/>
              </w:rPr>
              <w:t>Rapid, script-friendly interface for manual testing and evaluation</w:t>
            </w:r>
          </w:p>
        </w:tc>
      </w:tr>
      <w:tr>
        <w:tc>
          <w:tcPr>
            <w:tcW w:type="dxa" w:w="1984"/>
          </w:tcPr>
          <w:p>
            <w:r/>
            <w:r>
              <w:rPr>
                <w:sz w:val="19"/>
              </w:rPr>
              <w:t>CLI</w:t>
            </w:r>
          </w:p>
        </w:tc>
        <w:tc>
          <w:tcPr>
            <w:tcW w:type="dxa" w:w="2835"/>
          </w:tcPr>
          <w:p>
            <w:r/>
            <w:r>
              <w:rPr>
                <w:sz w:val="19"/>
              </w:rPr>
              <w:t>argparse (Python standard library)</w:t>
            </w:r>
          </w:p>
        </w:tc>
        <w:tc>
          <w:tcPr>
            <w:tcW w:type="dxa" w:w="3118"/>
          </w:tcPr>
          <w:p>
            <w:r/>
            <w:r>
              <w:rPr>
                <w:sz w:val="19"/>
              </w:rPr>
              <w:t>Scriptable command-line access to the OCR core</w:t>
            </w:r>
          </w:p>
        </w:tc>
      </w:tr>
    </w:tbl>
    <w:p>
      <w:pPr>
        <w:spacing w:after="80"/>
      </w:pPr>
    </w:p>
    <w:p>
      <w:pPr>
        <w:pStyle w:val="Heading2"/>
      </w:pPr>
      <w:r>
        <w:t>6.2 Justification of Key Choices</w:t>
      </w:r>
    </w:p>
    <w:p>
      <w:pPr>
        <w:pStyle w:val="Heading3"/>
      </w:pPr>
      <w:r>
        <w:t>6.2.1 Groq as the generative AI provider</w:t>
      </w:r>
    </w:p>
    <w:p>
      <w:pPr>
        <w:spacing w:after="160"/>
      </w:pPr>
      <w:r>
        <w:rPr>
          <w:b w:val="0"/>
          <w:i w:val="0"/>
          <w:sz w:val="22"/>
        </w:rPr>
        <w:t>The project initially targeted a first-tier hosted vision model. The provider was subsequently changed to Groq, whose infrastructure is optimized for low-latency inference and whose free usage tier removed the billing friction encountered during development. Groq exposes an OpenAI-compatible chat completions API, which simplified integration. The trade-off accepted with this choice is that Groq's vision models accept image input only, not native PDF documents, which is addressed by local PDF rasterization (Section 7.2).</w:t>
      </w:r>
    </w:p>
    <w:p>
      <w:pPr>
        <w:pStyle w:val="Heading3"/>
      </w:pPr>
      <w:r>
        <w:t>6.2.2 MongoDB over a relational database</w:t>
      </w:r>
    </w:p>
    <w:p>
      <w:pPr>
        <w:spacing w:after="160"/>
      </w:pPr>
      <w:r>
        <w:rPr>
          <w:b w:val="0"/>
          <w:i w:val="0"/>
          <w:sz w:val="22"/>
        </w:rPr>
        <w:t>Processed documents carry a variable and evolving set of metadata (engine used, languages, preprocessing steps, token counts, optional Tesseract confidence) that maps naturally onto a flexible document schema. MongoDB also imposes minimal operational overhead for a single-instance development deployment, and its official Python driver (PyMongo) integrates cleanly with FastAPI's synchronous request handling model as used in this project.</w:t>
      </w:r>
    </w:p>
    <w:p>
      <w:pPr>
        <w:pStyle w:val="Heading3"/>
      </w:pPr>
      <w:r>
        <w:t>6.2.3 FastAPI over alternative Python web frameworks</w:t>
      </w:r>
    </w:p>
    <w:p>
      <w:pPr>
        <w:spacing w:after="160"/>
      </w:pPr>
      <w:r>
        <w:rPr>
          <w:b w:val="0"/>
          <w:i w:val="0"/>
          <w:sz w:val="22"/>
        </w:rPr>
        <w:t>FastAPI was selected for its native integration with Pydantic (schema validation with minimal boilerplate), automatic interactive API documentation, and first-class support for the asynchronous and typed-Python patterns that keep the codebase consistent with the typed, dataclass-oriented style already used in the OCR core.</w:t>
      </w:r>
    </w:p>
    <w:p>
      <w:pPr>
        <w:pStyle w:val="Heading3"/>
      </w:pPr>
      <w:r>
        <w:t>6.2.4 React and Vite over a server-rendered UI</w:t>
      </w:r>
    </w:p>
    <w:p>
      <w:pPr>
        <w:spacing w:after="160"/>
      </w:pPr>
      <w:r>
        <w:rPr>
          <w:b w:val="0"/>
          <w:i w:val="0"/>
          <w:sz w:val="22"/>
        </w:rPr>
        <w:t>A single-page application was chosen to support the highly interactive requirements of the dashboard (drag-and-drop, live progress feedback, client-side routing between the dashboard and the history page, settings persisted in local storage). Vite provides near-instant development feedback and a small, optimized production bundle without the configuration overhead of older bundler toolchains.</w:t>
      </w:r>
    </w:p>
    <w:p>
      <w:r>
        <w:br w:type="page"/>
      </w:r>
    </w:p>
    <w:p>
      <w:pPr>
        <w:pStyle w:val="Heading1"/>
      </w:pPr>
      <w:r>
        <w:rPr>
          <w:b/>
          <w:color w:val="E8B600"/>
        </w:rPr>
        <w:t xml:space="preserve">7  </w:t>
      </w:r>
      <w:r>
        <w:t>OCR Processing Pipeline</w:t>
      </w:r>
    </w:p>
    <w:p>
      <w:pPr>
        <w:spacing w:after="160"/>
      </w:pPr>
      <w:r>
        <w:rPr>
          <w:b w:val="0"/>
          <w:i w:val="0"/>
          <w:sz w:val="22"/>
        </w:rPr>
        <w:t>The OCR core, implemented under src/, is shared without modification by the web backend, the CLI, and the Streamlit prototype. It is organized into four conceptual stages.</w:t>
      </w:r>
    </w:p>
    <w:p>
      <w:pPr>
        <w:pStyle w:val="Heading2"/>
      </w:pPr>
      <w:r>
        <w:t>7.1 Stage 1 — Preprocessing</w:t>
      </w:r>
    </w:p>
    <w:p>
      <w:pPr>
        <w:spacing w:after="160"/>
      </w:pPr>
      <w:r>
        <w:rPr>
          <w:b w:val="0"/>
          <w:i w:val="0"/>
          <w:sz w:val="22"/>
        </w:rPr>
        <w:t>Implemented in preprocessing.py, using OpenCV where available and degrading gracefully to a Pillow-only implementation otherwise. Steps applied:</w:t>
      </w:r>
    </w:p>
    <w:p>
      <w:pPr>
        <w:pStyle w:val="ListBullet"/>
        <w:spacing w:after="80"/>
      </w:pPr>
      <w:r>
        <w:t>Resizing to the model's optimal long-edge resolution; small scans are upscaled to improve legibility.</w:t>
      </w:r>
    </w:p>
    <w:p>
      <w:pPr>
        <w:pStyle w:val="ListBullet"/>
        <w:spacing w:after="80"/>
      </w:pPr>
      <w:r>
        <w:t>Conversion to grayscale.</w:t>
      </w:r>
    </w:p>
    <w:p>
      <w:pPr>
        <w:pStyle w:val="ListBullet"/>
        <w:spacing w:after="80"/>
      </w:pPr>
      <w:r>
        <w:t>Denoising using the Non-Local Means algorithm.</w:t>
      </w:r>
    </w:p>
    <w:p>
      <w:pPr>
        <w:pStyle w:val="ListBullet"/>
        <w:spacing w:after="80"/>
      </w:pPr>
      <w:r>
        <w:t>Deskewing: the dominant text angle is estimated from the image's thresholded contours and the page is rotated upright when the skew is significant.</w:t>
      </w:r>
    </w:p>
    <w:p>
      <w:pPr>
        <w:pStyle w:val="ListBullet"/>
        <w:spacing w:after="80"/>
      </w:pPr>
      <w:r>
        <w:t>Contrast enhancement via CLAHE (Contrast Limited Adaptive Histogram Equalization), which adjusts contrast locally rather than globally, improving legibility on unevenly lit scans.</w:t>
      </w:r>
    </w:p>
    <w:p>
      <w:pPr>
        <w:pStyle w:val="ListBullet"/>
        <w:spacing w:after="80"/>
      </w:pPr>
      <w:r>
        <w:t>Optional adaptive binarization, applied only for the classical (Tesseract) recognition path, which benefits from a strictly black-and-white input; the generative vision model performs better on contrast-enhanced grayscale input.</w:t>
      </w:r>
    </w:p>
    <w:p>
      <w:pPr>
        <w:pStyle w:val="Heading2"/>
      </w:pPr>
      <w:r>
        <w:t>7.2 Stage 2 — Recognition</w:t>
      </w:r>
    </w:p>
    <w:p>
      <w:pPr>
        <w:spacing w:after="160"/>
      </w:pPr>
      <w:r>
        <w:rPr>
          <w:b w:val="0"/>
          <w:i w:val="0"/>
          <w:sz w:val="22"/>
        </w:rPr>
        <w:t>Three interchangeable recognition strategies are implemented in pipeline.py, selectable per request:</w:t>
      </w:r>
    </w:p>
    <w:p>
      <w:pPr>
        <w:pStyle w:val="Heading3"/>
      </w:pPr>
      <w:r>
        <w:t>7.2.1 GenAI Vision (default, recommended)</w:t>
      </w:r>
    </w:p>
    <w:p>
      <w:pPr>
        <w:spacing w:after="160"/>
      </w:pPr>
      <w:r>
        <w:rPr>
          <w:b w:val="0"/>
          <w:i w:val="0"/>
          <w:sz w:val="22"/>
        </w:rPr>
        <w:t>The preprocessed page image is submitted directly to the vision-capable model (Groq / Llama 4) with a system prompt instructing exact, structure-preserving transcription in Markdown, explicitly prohibiting paraphrasing, translation, or omission, and instructing that illegible regions be marked rather than guessed. For PDF input, each page is rasterized locally to a JPEG image (approximately 200 DPI, via PyMuPDF) and processed individually; the resulting per-page transcriptions are concatenated with a clear page separator.</w:t>
      </w:r>
    </w:p>
    <w:p>
      <w:pPr>
        <w:pStyle w:val="Heading3"/>
      </w:pPr>
      <w:r>
        <w:t>7.2.2 Hybrid</w:t>
      </w:r>
    </w:p>
    <w:p>
      <w:pPr>
        <w:spacing w:after="160"/>
      </w:pPr>
      <w:r>
        <w:rPr>
          <w:b w:val="0"/>
          <w:i w:val="0"/>
          <w:sz w:val="22"/>
        </w:rPr>
        <w:t>Tesseract produces a fast raw transcription of the preprocessed (binarized) image. This raw text — not the image — is then submitted to the generative model with a distinct system prompt restricting it to correcting OCR-typical errors only: character confusions, broken or merged words, and incorrect or missing diacritics recoverable from context. The model is explicitly instructed not to paraphrase, reorder, or otherwise alter content beyond error correction.</w:t>
      </w:r>
    </w:p>
    <w:p>
      <w:pPr>
        <w:pStyle w:val="Heading3"/>
      </w:pPr>
      <w:r>
        <w:t>7.2.3 Tesseract Only</w:t>
      </w:r>
    </w:p>
    <w:p>
      <w:pPr>
        <w:spacing w:after="160"/>
      </w:pPr>
      <w:r>
        <w:rPr>
          <w:b w:val="0"/>
          <w:i w:val="0"/>
          <w:sz w:val="22"/>
        </w:rPr>
        <w:t>The classical OCR baseline, using Tesseract's combined French, English, and Arabic language models (fra+eng+ara), with no generative AI involvement. This mode exists specifically to provide an objective point of comparison for the accuracy claims of the other two modes.</w:t>
      </w:r>
    </w:p>
    <w:p>
      <w:pPr>
        <w:pStyle w:val="Heading2"/>
      </w:pPr>
      <w:r>
        <w:t>7.3 Stage 3 — Post-processing</w:t>
      </w:r>
    </w:p>
    <w:p>
      <w:pPr>
        <w:spacing w:after="160"/>
      </w:pPr>
      <w:r>
        <w:rPr>
          <w:b w:val="0"/>
          <w:i w:val="0"/>
          <w:sz w:val="22"/>
        </w:rPr>
        <w:t>Implemented in language.py. The resulting text is analyzed to detect which of the three supported languages are present, using script-aware heuristics, and to determine whether the content is predominantly right-to-left (Arabic-majority), which drives the rendering direction applied in the user interface.</w:t>
      </w:r>
    </w:p>
    <w:p>
      <w:pPr>
        <w:pStyle w:val="Heading2"/>
      </w:pPr>
      <w:r>
        <w:t>7.4 Stage 4 — Evaluation</w:t>
      </w:r>
    </w:p>
    <w:p>
      <w:pPr>
        <w:spacing w:after="160"/>
      </w:pPr>
      <w:r>
        <w:rPr>
          <w:b w:val="0"/>
          <w:i w:val="0"/>
          <w:sz w:val="22"/>
        </w:rPr>
        <w:t>Implemented in evaluation.py. Given a reference (ground-truth) transcription supplied by the user, the module computes Character Error Rate and Word Error Rate using Levenshtein edit distance, after applying Unicode NFC normalization to both strings — a necessary step for consistent comparison of Arabic text, where a single visual character can be represented by more than one underlying Unicode code-point sequence. This mechanism is what allows the project's central accuracy claim to be verified quantitatively rather than assessed qualitatively.</w:t>
      </w:r>
    </w:p>
    <w:p>
      <w:r>
        <w:br w:type="page"/>
      </w:r>
    </w:p>
    <w:p>
      <w:pPr>
        <w:pStyle w:val="Heading1"/>
      </w:pPr>
      <w:r>
        <w:rPr>
          <w:b/>
          <w:color w:val="E8B600"/>
        </w:rPr>
        <w:t xml:space="preserve">8  </w:t>
      </w:r>
      <w:r>
        <w:t>Data Model</w:t>
      </w:r>
    </w:p>
    <w:p>
      <w:pPr>
        <w:spacing w:after="160"/>
      </w:pPr>
      <w:r>
        <w:rPr>
          <w:b w:val="0"/>
          <w:i w:val="0"/>
          <w:sz w:val="22"/>
        </w:rPr>
        <w:t>The persistence layer uses a single MongoDB database (default name ey_ocr) containing two collections.</w:t>
      </w:r>
    </w:p>
    <w:p>
      <w:pPr>
        <w:pStyle w:val="Heading2"/>
      </w:pPr>
      <w:r>
        <w:t>8.1 Collection: users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2E2E38"/>
          </w:tcPr>
          <w:p>
            <w:r/>
            <w:r>
              <w:rPr>
                <w:b/>
                <w:color w:val="FFFFFF"/>
                <w:sz w:val="20"/>
              </w:rPr>
              <w:t>Field</w:t>
            </w:r>
          </w:p>
        </w:tc>
        <w:tc>
          <w:tcPr>
            <w:tcW w:type="dxa" w:w="2551"/>
            <w:shd w:val="clear" w:color="auto" w:fill="2E2E38"/>
          </w:tcPr>
          <w:p>
            <w:r/>
            <w:r>
              <w:rPr>
                <w:b/>
                <w:color w:val="FFFFFF"/>
                <w:sz w:val="20"/>
              </w:rPr>
              <w:t>Type</w:t>
            </w:r>
          </w:p>
        </w:tc>
        <w:tc>
          <w:tcPr>
            <w:tcW w:type="dxa" w:w="3685"/>
            <w:shd w:val="clear" w:color="auto" w:fill="2E2E38"/>
          </w:tcPr>
          <w:p>
            <w:r/>
            <w:r>
              <w:rPr>
                <w:b/>
                <w:color w:val="FFFFFF"/>
                <w:sz w:val="20"/>
              </w:rPr>
              <w:t>Description</w:t>
            </w:r>
          </w:p>
        </w:tc>
      </w:tr>
      <w:tr>
        <w:tc>
          <w:tcPr>
            <w:tcW w:type="dxa" w:w="1701"/>
          </w:tcPr>
          <w:p>
            <w:r/>
            <w:r>
              <w:rPr>
                <w:sz w:val="19"/>
              </w:rPr>
              <w:t>_id</w:t>
            </w:r>
          </w:p>
        </w:tc>
        <w:tc>
          <w:tcPr>
            <w:tcW w:type="dxa" w:w="2551"/>
          </w:tcPr>
          <w:p>
            <w:r/>
            <w:r>
              <w:rPr>
                <w:sz w:val="19"/>
              </w:rPr>
              <w:t>ObjectId</w:t>
            </w:r>
          </w:p>
        </w:tc>
        <w:tc>
          <w:tcPr>
            <w:tcW w:type="dxa" w:w="3685"/>
          </w:tcPr>
          <w:p>
            <w:r/>
            <w:r>
              <w:rPr>
                <w:sz w:val="19"/>
              </w:rPr>
              <w:t>MongoDB-generated primary key</w:t>
            </w:r>
          </w:p>
        </w:tc>
      </w:tr>
      <w:tr>
        <w:tc>
          <w:tcPr>
            <w:tcW w:type="dxa" w:w="1701"/>
          </w:tcPr>
          <w:p>
            <w:r/>
            <w:r>
              <w:rPr>
                <w:sz w:val="19"/>
              </w:rPr>
              <w:t>email</w:t>
            </w:r>
          </w:p>
        </w:tc>
        <w:tc>
          <w:tcPr>
            <w:tcW w:type="dxa" w:w="2551"/>
          </w:tcPr>
          <w:p>
            <w:r/>
            <w:r>
              <w:rPr>
                <w:sz w:val="19"/>
              </w:rPr>
              <w:t>string (unique, indexed)</w:t>
            </w:r>
          </w:p>
        </w:tc>
        <w:tc>
          <w:tcPr>
            <w:tcW w:type="dxa" w:w="3685"/>
          </w:tcPr>
          <w:p>
            <w:r/>
            <w:r>
              <w:rPr>
                <w:sz w:val="19"/>
              </w:rPr>
              <w:t>Login identifier, lower-cased</w:t>
            </w:r>
          </w:p>
        </w:tc>
      </w:tr>
      <w:tr>
        <w:tc>
          <w:tcPr>
            <w:tcW w:type="dxa" w:w="1701"/>
          </w:tcPr>
          <w:p>
            <w:r/>
            <w:r>
              <w:rPr>
                <w:sz w:val="19"/>
              </w:rPr>
              <w:t>name</w:t>
            </w:r>
          </w:p>
        </w:tc>
        <w:tc>
          <w:tcPr>
            <w:tcW w:type="dxa" w:w="2551"/>
          </w:tcPr>
          <w:p>
            <w:r/>
            <w:r>
              <w:rPr>
                <w:sz w:val="19"/>
              </w:rPr>
              <w:t>string</w:t>
            </w:r>
          </w:p>
        </w:tc>
        <w:tc>
          <w:tcPr>
            <w:tcW w:type="dxa" w:w="3685"/>
          </w:tcPr>
          <w:p>
            <w:r/>
            <w:r>
              <w:rPr>
                <w:sz w:val="19"/>
              </w:rPr>
              <w:t>Display name shown in the interface</w:t>
            </w:r>
          </w:p>
        </w:tc>
      </w:tr>
      <w:tr>
        <w:tc>
          <w:tcPr>
            <w:tcW w:type="dxa" w:w="1701"/>
          </w:tcPr>
          <w:p>
            <w:r/>
            <w:r>
              <w:rPr>
                <w:sz w:val="19"/>
              </w:rPr>
              <w:t>password_hash</w:t>
            </w:r>
          </w:p>
        </w:tc>
        <w:tc>
          <w:tcPr>
            <w:tcW w:type="dxa" w:w="2551"/>
          </w:tcPr>
          <w:p>
            <w:r/>
            <w:r>
              <w:rPr>
                <w:sz w:val="19"/>
              </w:rPr>
              <w:t>string</w:t>
            </w:r>
          </w:p>
        </w:tc>
        <w:tc>
          <w:tcPr>
            <w:tcW w:type="dxa" w:w="3685"/>
          </w:tcPr>
          <w:p>
            <w:r/>
            <w:r>
              <w:rPr>
                <w:sz w:val="19"/>
              </w:rPr>
              <w:t>PBKDF2-SHA256 hash, format "&lt;salt_hex&gt;$&lt;digest_hex&gt;", 200 000 iterations</w:t>
            </w:r>
          </w:p>
        </w:tc>
      </w:tr>
      <w:tr>
        <w:tc>
          <w:tcPr>
            <w:tcW w:type="dxa" w:w="1701"/>
          </w:tcPr>
          <w:p>
            <w:r/>
            <w:r>
              <w:rPr>
                <w:sz w:val="19"/>
              </w:rPr>
              <w:t>avatar</w:t>
            </w:r>
          </w:p>
        </w:tc>
        <w:tc>
          <w:tcPr>
            <w:tcW w:type="dxa" w:w="2551"/>
          </w:tcPr>
          <w:p>
            <w:r/>
            <w:r>
              <w:rPr>
                <w:sz w:val="19"/>
              </w:rPr>
              <w:t>string | null</w:t>
            </w:r>
          </w:p>
        </w:tc>
        <w:tc>
          <w:tcPr>
            <w:tcW w:type="dxa" w:w="3685"/>
          </w:tcPr>
          <w:p>
            <w:r/>
            <w:r>
              <w:rPr>
                <w:sz w:val="19"/>
              </w:rPr>
              <w:t>Optional profile photo, stored as a base64 data URI, client-side cropped to a square and downscaled before upload</w:t>
            </w:r>
          </w:p>
        </w:tc>
      </w:tr>
    </w:tbl>
    <w:p>
      <w:pPr>
        <w:spacing w:after="80"/>
      </w:pPr>
    </w:p>
    <w:p>
      <w:pPr>
        <w:pStyle w:val="Heading2"/>
      </w:pPr>
      <w:r>
        <w:t>8.2 Collection: documents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2E2E38"/>
          </w:tcPr>
          <w:p>
            <w:r/>
            <w:r>
              <w:rPr>
                <w:b/>
                <w:color w:val="FFFFFF"/>
                <w:sz w:val="20"/>
              </w:rPr>
              <w:t>Field</w:t>
            </w:r>
          </w:p>
        </w:tc>
        <w:tc>
          <w:tcPr>
            <w:tcW w:type="dxa" w:w="2551"/>
            <w:shd w:val="clear" w:color="auto" w:fill="2E2E38"/>
          </w:tcPr>
          <w:p>
            <w:r/>
            <w:r>
              <w:rPr>
                <w:b/>
                <w:color w:val="FFFFFF"/>
                <w:sz w:val="20"/>
              </w:rPr>
              <w:t>Type</w:t>
            </w:r>
          </w:p>
        </w:tc>
        <w:tc>
          <w:tcPr>
            <w:tcW w:type="dxa" w:w="3685"/>
            <w:shd w:val="clear" w:color="auto" w:fill="2E2E38"/>
          </w:tcPr>
          <w:p>
            <w:r/>
            <w:r>
              <w:rPr>
                <w:b/>
                <w:color w:val="FFFFFF"/>
                <w:sz w:val="20"/>
              </w:rPr>
              <w:t>Description</w:t>
            </w:r>
          </w:p>
        </w:tc>
      </w:tr>
      <w:tr>
        <w:tc>
          <w:tcPr>
            <w:tcW w:type="dxa" w:w="1701"/>
          </w:tcPr>
          <w:p>
            <w:r/>
            <w:r>
              <w:rPr>
                <w:sz w:val="19"/>
              </w:rPr>
              <w:t>_id</w:t>
            </w:r>
          </w:p>
        </w:tc>
        <w:tc>
          <w:tcPr>
            <w:tcW w:type="dxa" w:w="2551"/>
          </w:tcPr>
          <w:p>
            <w:r/>
            <w:r>
              <w:rPr>
                <w:sz w:val="19"/>
              </w:rPr>
              <w:t>ObjectId</w:t>
            </w:r>
          </w:p>
        </w:tc>
        <w:tc>
          <w:tcPr>
            <w:tcW w:type="dxa" w:w="3685"/>
          </w:tcPr>
          <w:p>
            <w:r/>
            <w:r>
              <w:rPr>
                <w:sz w:val="19"/>
              </w:rPr>
              <w:t>Primary key; also the public document identifier used in the API and in navigable URLs</w:t>
            </w:r>
          </w:p>
        </w:tc>
      </w:tr>
      <w:tr>
        <w:tc>
          <w:tcPr>
            <w:tcW w:type="dxa" w:w="1701"/>
          </w:tcPr>
          <w:p>
            <w:r/>
            <w:r>
              <w:rPr>
                <w:sz w:val="19"/>
              </w:rPr>
              <w:t>user_email</w:t>
            </w:r>
          </w:p>
        </w:tc>
        <w:tc>
          <w:tcPr>
            <w:tcW w:type="dxa" w:w="2551"/>
          </w:tcPr>
          <w:p>
            <w:r/>
            <w:r>
              <w:rPr>
                <w:sz w:val="19"/>
              </w:rPr>
              <w:t>string (indexed with created_at)</w:t>
            </w:r>
          </w:p>
        </w:tc>
        <w:tc>
          <w:tcPr>
            <w:tcW w:type="dxa" w:w="3685"/>
          </w:tcPr>
          <w:p>
            <w:r/>
            <w:r>
              <w:rPr>
                <w:sz w:val="19"/>
              </w:rPr>
              <w:t>Owning user, enforcing per-user isolation of history</w:t>
            </w:r>
          </w:p>
        </w:tc>
      </w:tr>
      <w:tr>
        <w:tc>
          <w:tcPr>
            <w:tcW w:type="dxa" w:w="1701"/>
          </w:tcPr>
          <w:p>
            <w:r/>
            <w:r>
              <w:rPr>
                <w:sz w:val="19"/>
              </w:rPr>
              <w:t>filename</w:t>
            </w:r>
          </w:p>
        </w:tc>
        <w:tc>
          <w:tcPr>
            <w:tcW w:type="dxa" w:w="2551"/>
          </w:tcPr>
          <w:p>
            <w:r/>
            <w:r>
              <w:rPr>
                <w:sz w:val="19"/>
              </w:rPr>
              <w:t>string</w:t>
            </w:r>
          </w:p>
        </w:tc>
        <w:tc>
          <w:tcPr>
            <w:tcW w:type="dxa" w:w="3685"/>
          </w:tcPr>
          <w:p>
            <w:r/>
            <w:r>
              <w:rPr>
                <w:sz w:val="19"/>
              </w:rPr>
              <w:t>Original uploaded file name</w:t>
            </w:r>
          </w:p>
        </w:tc>
      </w:tr>
      <w:tr>
        <w:tc>
          <w:tcPr>
            <w:tcW w:type="dxa" w:w="1701"/>
          </w:tcPr>
          <w:p>
            <w:r/>
            <w:r>
              <w:rPr>
                <w:sz w:val="19"/>
              </w:rPr>
              <w:t>mode</w:t>
            </w:r>
          </w:p>
        </w:tc>
        <w:tc>
          <w:tcPr>
            <w:tcW w:type="dxa" w:w="2551"/>
          </w:tcPr>
          <w:p>
            <w:r/>
            <w:r>
              <w:rPr>
                <w:sz w:val="19"/>
              </w:rPr>
              <w:t>string</w:t>
            </w:r>
          </w:p>
        </w:tc>
        <w:tc>
          <w:tcPr>
            <w:tcW w:type="dxa" w:w="3685"/>
          </w:tcPr>
          <w:p>
            <w:r/>
            <w:r>
              <w:rPr>
                <w:sz w:val="19"/>
              </w:rPr>
              <w:t>Recognition mode used: genai_vision | hybrid | tesseract_only</w:t>
            </w:r>
          </w:p>
        </w:tc>
      </w:tr>
      <w:tr>
        <w:tc>
          <w:tcPr>
            <w:tcW w:type="dxa" w:w="1701"/>
          </w:tcPr>
          <w:p>
            <w:r/>
            <w:r>
              <w:rPr>
                <w:sz w:val="19"/>
              </w:rPr>
              <w:t>text</w:t>
            </w:r>
          </w:p>
        </w:tc>
        <w:tc>
          <w:tcPr>
            <w:tcW w:type="dxa" w:w="2551"/>
          </w:tcPr>
          <w:p>
            <w:r/>
            <w:r>
              <w:rPr>
                <w:sz w:val="19"/>
              </w:rPr>
              <w:t>string</w:t>
            </w:r>
          </w:p>
        </w:tc>
        <w:tc>
          <w:tcPr>
            <w:tcW w:type="dxa" w:w="3685"/>
          </w:tcPr>
          <w:p>
            <w:r/>
            <w:r>
              <w:rPr>
                <w:sz w:val="19"/>
              </w:rPr>
              <w:t>Final transcription (post-correction where applicable)</w:t>
            </w:r>
          </w:p>
        </w:tc>
      </w:tr>
      <w:tr>
        <w:tc>
          <w:tcPr>
            <w:tcW w:type="dxa" w:w="1701"/>
          </w:tcPr>
          <w:p>
            <w:r/>
            <w:r>
              <w:rPr>
                <w:sz w:val="19"/>
              </w:rPr>
              <w:t>raw_text</w:t>
            </w:r>
          </w:p>
        </w:tc>
        <w:tc>
          <w:tcPr>
            <w:tcW w:type="dxa" w:w="2551"/>
          </w:tcPr>
          <w:p>
            <w:r/>
            <w:r>
              <w:rPr>
                <w:sz w:val="19"/>
              </w:rPr>
              <w:t>string | null</w:t>
            </w:r>
          </w:p>
        </w:tc>
        <w:tc>
          <w:tcPr>
            <w:tcW w:type="dxa" w:w="3685"/>
          </w:tcPr>
          <w:p>
            <w:r/>
            <w:r>
              <w:rPr>
                <w:sz w:val="19"/>
              </w:rPr>
              <w:t>Pre-correction transcription, populated only for the Hybrid mode</w:t>
            </w:r>
          </w:p>
        </w:tc>
      </w:tr>
      <w:tr>
        <w:tc>
          <w:tcPr>
            <w:tcW w:type="dxa" w:w="1701"/>
          </w:tcPr>
          <w:p>
            <w:r/>
            <w:r>
              <w:rPr>
                <w:sz w:val="19"/>
              </w:rPr>
              <w:t>languages</w:t>
            </w:r>
          </w:p>
        </w:tc>
        <w:tc>
          <w:tcPr>
            <w:tcW w:type="dxa" w:w="2551"/>
          </w:tcPr>
          <w:p>
            <w:r/>
            <w:r>
              <w:rPr>
                <w:sz w:val="19"/>
              </w:rPr>
              <w:t>array of string</w:t>
            </w:r>
          </w:p>
        </w:tc>
        <w:tc>
          <w:tcPr>
            <w:tcW w:type="dxa" w:w="3685"/>
          </w:tcPr>
          <w:p>
            <w:r/>
            <w:r>
              <w:rPr>
                <w:sz w:val="19"/>
              </w:rPr>
              <w:t>Detected or user-specified language codes</w:t>
            </w:r>
          </w:p>
        </w:tc>
      </w:tr>
      <w:tr>
        <w:tc>
          <w:tcPr>
            <w:tcW w:type="dxa" w:w="1701"/>
          </w:tcPr>
          <w:p>
            <w:r/>
            <w:r>
              <w:rPr>
                <w:sz w:val="19"/>
              </w:rPr>
              <w:t>preprocessing_steps</w:t>
            </w:r>
          </w:p>
        </w:tc>
        <w:tc>
          <w:tcPr>
            <w:tcW w:type="dxa" w:w="2551"/>
          </w:tcPr>
          <w:p>
            <w:r/>
            <w:r>
              <w:rPr>
                <w:sz w:val="19"/>
              </w:rPr>
              <w:t>array of string</w:t>
            </w:r>
          </w:p>
        </w:tc>
        <w:tc>
          <w:tcPr>
            <w:tcW w:type="dxa" w:w="3685"/>
          </w:tcPr>
          <w:p>
            <w:r/>
            <w:r>
              <w:rPr>
                <w:sz w:val="19"/>
              </w:rPr>
              <w:t>Human-readable log of preprocessing operations applied</w:t>
            </w:r>
          </w:p>
        </w:tc>
      </w:tr>
      <w:tr>
        <w:tc>
          <w:tcPr>
            <w:tcW w:type="dxa" w:w="1701"/>
          </w:tcPr>
          <w:p>
            <w:r/>
            <w:r>
              <w:rPr>
                <w:sz w:val="19"/>
              </w:rPr>
              <w:t>tesseract_confidence</w:t>
            </w:r>
          </w:p>
        </w:tc>
        <w:tc>
          <w:tcPr>
            <w:tcW w:type="dxa" w:w="2551"/>
          </w:tcPr>
          <w:p>
            <w:r/>
            <w:r>
              <w:rPr>
                <w:sz w:val="19"/>
              </w:rPr>
              <w:t>float | null</w:t>
            </w:r>
          </w:p>
        </w:tc>
        <w:tc>
          <w:tcPr>
            <w:tcW w:type="dxa" w:w="3685"/>
          </w:tcPr>
          <w:p>
            <w:r/>
            <w:r>
              <w:rPr>
                <w:sz w:val="19"/>
              </w:rPr>
              <w:t>Mean confidence score reported by Tesseract, where applicable</w:t>
            </w:r>
          </w:p>
        </w:tc>
      </w:tr>
      <w:tr>
        <w:tc>
          <w:tcPr>
            <w:tcW w:type="dxa" w:w="1701"/>
          </w:tcPr>
          <w:p>
            <w:r/>
            <w:r>
              <w:rPr>
                <w:sz w:val="19"/>
              </w:rPr>
              <w:t>model</w:t>
            </w:r>
          </w:p>
        </w:tc>
        <w:tc>
          <w:tcPr>
            <w:tcW w:type="dxa" w:w="2551"/>
          </w:tcPr>
          <w:p>
            <w:r/>
            <w:r>
              <w:rPr>
                <w:sz w:val="19"/>
              </w:rPr>
              <w:t>string | null</w:t>
            </w:r>
          </w:p>
        </w:tc>
        <w:tc>
          <w:tcPr>
            <w:tcW w:type="dxa" w:w="3685"/>
          </w:tcPr>
          <w:p>
            <w:r/>
            <w:r>
              <w:rPr>
                <w:sz w:val="19"/>
              </w:rPr>
              <w:t>Identifier of the generative model used</w:t>
            </w:r>
          </w:p>
        </w:tc>
      </w:tr>
      <w:tr>
        <w:tc>
          <w:tcPr>
            <w:tcW w:type="dxa" w:w="1701"/>
          </w:tcPr>
          <w:p>
            <w:r/>
            <w:r>
              <w:rPr>
                <w:sz w:val="19"/>
              </w:rPr>
              <w:t>input_tokens / output_tokens</w:t>
            </w:r>
          </w:p>
        </w:tc>
        <w:tc>
          <w:tcPr>
            <w:tcW w:type="dxa" w:w="2551"/>
          </w:tcPr>
          <w:p>
            <w:r/>
            <w:r>
              <w:rPr>
                <w:sz w:val="19"/>
              </w:rPr>
              <w:t>integer</w:t>
            </w:r>
          </w:p>
        </w:tc>
        <w:tc>
          <w:tcPr>
            <w:tcW w:type="dxa" w:w="3685"/>
          </w:tcPr>
          <w:p>
            <w:r/>
            <w:r>
              <w:rPr>
                <w:sz w:val="19"/>
              </w:rPr>
              <w:t>Token consumption reported by the generative AI provider</w:t>
            </w:r>
          </w:p>
        </w:tc>
      </w:tr>
      <w:tr>
        <w:tc>
          <w:tcPr>
            <w:tcW w:type="dxa" w:w="1701"/>
          </w:tcPr>
          <w:p>
            <w:r/>
            <w:r>
              <w:rPr>
                <w:sz w:val="19"/>
              </w:rPr>
              <w:t>duration_s</w:t>
            </w:r>
          </w:p>
        </w:tc>
        <w:tc>
          <w:tcPr>
            <w:tcW w:type="dxa" w:w="2551"/>
          </w:tcPr>
          <w:p>
            <w:r/>
            <w:r>
              <w:rPr>
                <w:sz w:val="19"/>
              </w:rPr>
              <w:t>float</w:t>
            </w:r>
          </w:p>
        </w:tc>
        <w:tc>
          <w:tcPr>
            <w:tcW w:type="dxa" w:w="3685"/>
          </w:tcPr>
          <w:p>
            <w:r/>
            <w:r>
              <w:rPr>
                <w:sz w:val="19"/>
              </w:rPr>
              <w:t>End-to-end processing duration in seconds</w:t>
            </w:r>
          </w:p>
        </w:tc>
      </w:tr>
      <w:tr>
        <w:tc>
          <w:tcPr>
            <w:tcW w:type="dxa" w:w="1701"/>
          </w:tcPr>
          <w:p>
            <w:r/>
            <w:r>
              <w:rPr>
                <w:sz w:val="19"/>
              </w:rPr>
              <w:t>created_at</w:t>
            </w:r>
          </w:p>
        </w:tc>
        <w:tc>
          <w:tcPr>
            <w:tcW w:type="dxa" w:w="2551"/>
          </w:tcPr>
          <w:p>
            <w:r/>
            <w:r>
              <w:rPr>
                <w:sz w:val="19"/>
              </w:rPr>
              <w:t>datetime (UTC, indexed)</w:t>
            </w:r>
          </w:p>
        </w:tc>
        <w:tc>
          <w:tcPr>
            <w:tcW w:type="dxa" w:w="3685"/>
          </w:tcPr>
          <w:p>
            <w:r/>
            <w:r>
              <w:rPr>
                <w:sz w:val="19"/>
              </w:rPr>
              <w:t>Timestamp of the extraction</w:t>
            </w:r>
          </w:p>
        </w:tc>
      </w:tr>
    </w:tbl>
    <w:p>
      <w:pPr>
        <w:spacing w:after="80"/>
      </w:pPr>
    </w:p>
    <w:p>
      <w:pPr>
        <w:pStyle w:val="Heading2"/>
      </w:pPr>
      <w:r>
        <w:t>8.3 Indexing and Data Retention</w:t>
      </w:r>
    </w:p>
    <w:p>
      <w:pPr>
        <w:spacing w:after="160"/>
      </w:pPr>
      <w:r>
        <w:rPr>
          <w:b w:val="0"/>
          <w:i w:val="0"/>
          <w:sz w:val="22"/>
        </w:rPr>
        <w:t>A unique index is maintained on users.email to enforce one account per address and to accelerate login lookups. A compound index on documents.user_email and documents.created_at (descending) supports efficient retrieval of a user's most recent history. Documents are retained indefinitely unless explicitly deleted by their owning user through the history interface; no automated expiry or archival policy is currently implemented.</w:t>
      </w:r>
    </w:p>
    <w:p>
      <w:r>
        <w:br w:type="page"/>
      </w:r>
    </w:p>
    <w:p>
      <w:pPr>
        <w:pStyle w:val="Heading1"/>
      </w:pPr>
      <w:r>
        <w:rPr>
          <w:b/>
          <w:color w:val="E8B600"/>
        </w:rPr>
        <w:t xml:space="preserve">9  </w:t>
      </w:r>
      <w:r>
        <w:t>API Specification</w:t>
      </w:r>
    </w:p>
    <w:p>
      <w:pPr>
        <w:spacing w:after="160"/>
      </w:pPr>
      <w:r>
        <w:rPr>
          <w:b w:val="0"/>
          <w:i w:val="0"/>
          <w:sz w:val="22"/>
        </w:rPr>
        <w:t>The backend exposes a REST API under the /api prefix. All routes other than health and login require a valid bearer token, obtained from the login endpoint and supplied via the Authorization header ("Authorization: Bearer &lt;token&gt;"). Tokens are signed with HS256 and expire 24 hours after issuance.</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val="clear" w:color="auto" w:fill="2E2E38"/>
          </w:tcPr>
          <w:p>
            <w:r/>
            <w:r>
              <w:rPr>
                <w:b/>
                <w:color w:val="FFFFFF"/>
                <w:sz w:val="20"/>
              </w:rPr>
              <w:t>Method &amp; Path</w:t>
            </w:r>
          </w:p>
        </w:tc>
        <w:tc>
          <w:tcPr>
            <w:tcW w:type="dxa" w:w="850"/>
            <w:shd w:val="clear" w:color="auto" w:fill="2E2E38"/>
          </w:tcPr>
          <w:p>
            <w:r/>
            <w:r>
              <w:rPr>
                <w:b/>
                <w:color w:val="FFFFFF"/>
                <w:sz w:val="20"/>
              </w:rPr>
              <w:t>Auth</w:t>
            </w:r>
          </w:p>
        </w:tc>
        <w:tc>
          <w:tcPr>
            <w:tcW w:type="dxa" w:w="4535"/>
            <w:shd w:val="clear" w:color="auto" w:fill="2E2E38"/>
          </w:tcPr>
          <w:p>
            <w:r/>
            <w:r>
              <w:rPr>
                <w:b/>
                <w:color w:val="FFFFFF"/>
                <w:sz w:val="20"/>
              </w:rPr>
              <w:t>Description</w:t>
            </w:r>
          </w:p>
        </w:tc>
      </w:tr>
      <w:tr>
        <w:tc>
          <w:tcPr>
            <w:tcW w:type="dxa" w:w="2551"/>
          </w:tcPr>
          <w:p>
            <w:r/>
            <w:r>
              <w:rPr>
                <w:sz w:val="19"/>
              </w:rPr>
              <w:t>GET /api/health</w:t>
            </w:r>
          </w:p>
        </w:tc>
        <w:tc>
          <w:tcPr>
            <w:tcW w:type="dxa" w:w="850"/>
          </w:tcPr>
          <w:p>
            <w:r/>
            <w:r>
              <w:rPr>
                <w:sz w:val="19"/>
              </w:rPr>
              <w:t>No</w:t>
            </w:r>
          </w:p>
        </w:tc>
        <w:tc>
          <w:tcPr>
            <w:tcW w:type="dxa" w:w="4535"/>
          </w:tcPr>
          <w:p>
            <w:r/>
            <w:r>
              <w:rPr>
                <w:sz w:val="19"/>
              </w:rPr>
              <w:t>Liveness probe; also reports MongoDB connectivity</w:t>
            </w:r>
          </w:p>
        </w:tc>
      </w:tr>
      <w:tr>
        <w:tc>
          <w:tcPr>
            <w:tcW w:type="dxa" w:w="2551"/>
          </w:tcPr>
          <w:p>
            <w:r/>
            <w:r>
              <w:rPr>
                <w:sz w:val="19"/>
              </w:rPr>
              <w:t>POST /api/auth/login</w:t>
            </w:r>
          </w:p>
        </w:tc>
        <w:tc>
          <w:tcPr>
            <w:tcW w:type="dxa" w:w="850"/>
          </w:tcPr>
          <w:p>
            <w:r/>
            <w:r>
              <w:rPr>
                <w:sz w:val="19"/>
              </w:rPr>
              <w:t>No</w:t>
            </w:r>
          </w:p>
        </w:tc>
        <w:tc>
          <w:tcPr>
            <w:tcW w:type="dxa" w:w="4535"/>
          </w:tcPr>
          <w:p>
            <w:r/>
            <w:r>
              <w:rPr>
                <w:sz w:val="19"/>
              </w:rPr>
              <w:t>Authenticates with email and password; returns an access token and the user profile</w:t>
            </w:r>
          </w:p>
        </w:tc>
      </w:tr>
      <w:tr>
        <w:tc>
          <w:tcPr>
            <w:tcW w:type="dxa" w:w="2551"/>
          </w:tcPr>
          <w:p>
            <w:r/>
            <w:r>
              <w:rPr>
                <w:sz w:val="19"/>
              </w:rPr>
              <w:t>GET /api/auth/me</w:t>
            </w:r>
          </w:p>
        </w:tc>
        <w:tc>
          <w:tcPr>
            <w:tcW w:type="dxa" w:w="850"/>
          </w:tcPr>
          <w:p>
            <w:r/>
            <w:r>
              <w:rPr>
                <w:sz w:val="19"/>
              </w:rPr>
              <w:t>Yes</w:t>
            </w:r>
          </w:p>
        </w:tc>
        <w:tc>
          <w:tcPr>
            <w:tcW w:type="dxa" w:w="4535"/>
          </w:tcPr>
          <w:p>
            <w:r/>
            <w:r>
              <w:rPr>
                <w:sz w:val="19"/>
              </w:rPr>
              <w:t>Returns the current authenticated user's profile</w:t>
            </w:r>
          </w:p>
        </w:tc>
      </w:tr>
      <w:tr>
        <w:tc>
          <w:tcPr>
            <w:tcW w:type="dxa" w:w="2551"/>
          </w:tcPr>
          <w:p>
            <w:r/>
            <w:r>
              <w:rPr>
                <w:sz w:val="19"/>
              </w:rPr>
              <w:t>PATCH /api/auth/profile</w:t>
            </w:r>
          </w:p>
        </w:tc>
        <w:tc>
          <w:tcPr>
            <w:tcW w:type="dxa" w:w="850"/>
          </w:tcPr>
          <w:p>
            <w:r/>
            <w:r>
              <w:rPr>
                <w:sz w:val="19"/>
              </w:rPr>
              <w:t>Yes</w:t>
            </w:r>
          </w:p>
        </w:tc>
        <w:tc>
          <w:tcPr>
            <w:tcW w:type="dxa" w:w="4535"/>
          </w:tcPr>
          <w:p>
            <w:r/>
            <w:r>
              <w:rPr>
                <w:sz w:val="19"/>
              </w:rPr>
              <w:t>Updates display name, profile photo, and/or password (current password required for a password change)</w:t>
            </w:r>
          </w:p>
        </w:tc>
      </w:tr>
      <w:tr>
        <w:tc>
          <w:tcPr>
            <w:tcW w:type="dxa" w:w="2551"/>
          </w:tcPr>
          <w:p>
            <w:r/>
            <w:r>
              <w:rPr>
                <w:sz w:val="19"/>
              </w:rPr>
              <w:t>GET /api/meta</w:t>
            </w:r>
          </w:p>
        </w:tc>
        <w:tc>
          <w:tcPr>
            <w:tcW w:type="dxa" w:w="850"/>
          </w:tcPr>
          <w:p>
            <w:r/>
            <w:r>
              <w:rPr>
                <w:sz w:val="19"/>
              </w:rPr>
              <w:t>Yes</w:t>
            </w:r>
          </w:p>
        </w:tc>
        <w:tc>
          <w:tcPr>
            <w:tcW w:type="dxa" w:w="4535"/>
          </w:tcPr>
          <w:p>
            <w:r/>
            <w:r>
              <w:rPr>
                <w:sz w:val="19"/>
              </w:rPr>
              <w:t>Returns the recognition modes actually available server-side, supported languages, and the active model identifier</w:t>
            </w:r>
          </w:p>
        </w:tc>
      </w:tr>
      <w:tr>
        <w:tc>
          <w:tcPr>
            <w:tcW w:type="dxa" w:w="2551"/>
          </w:tcPr>
          <w:p>
            <w:r/>
            <w:r>
              <w:rPr>
                <w:sz w:val="19"/>
              </w:rPr>
              <w:t>POST /api/ocr</w:t>
            </w:r>
          </w:p>
        </w:tc>
        <w:tc>
          <w:tcPr>
            <w:tcW w:type="dxa" w:w="850"/>
          </w:tcPr>
          <w:p>
            <w:r/>
            <w:r>
              <w:rPr>
                <w:sz w:val="19"/>
              </w:rPr>
              <w:t>Yes</w:t>
            </w:r>
          </w:p>
        </w:tc>
        <w:tc>
          <w:tcPr>
            <w:tcW w:type="dxa" w:w="4535"/>
          </w:tcPr>
          <w:p>
            <w:r/>
            <w:r>
              <w:rPr>
                <w:sz w:val="19"/>
              </w:rPr>
              <w:t>Accepts a multipart file upload with the desired mode and optional language hint; returns the extraction result and persists it</w:t>
            </w:r>
          </w:p>
        </w:tc>
      </w:tr>
      <w:tr>
        <w:tc>
          <w:tcPr>
            <w:tcW w:type="dxa" w:w="2551"/>
          </w:tcPr>
          <w:p>
            <w:r/>
            <w:r>
              <w:rPr>
                <w:sz w:val="19"/>
              </w:rPr>
              <w:t>GET /api/history</w:t>
            </w:r>
          </w:p>
        </w:tc>
        <w:tc>
          <w:tcPr>
            <w:tcW w:type="dxa" w:w="850"/>
          </w:tcPr>
          <w:p>
            <w:r/>
            <w:r>
              <w:rPr>
                <w:sz w:val="19"/>
              </w:rPr>
              <w:t>Yes</w:t>
            </w:r>
          </w:p>
        </w:tc>
        <w:tc>
          <w:tcPr>
            <w:tcW w:type="dxa" w:w="4535"/>
          </w:tcPr>
          <w:p>
            <w:r/>
            <w:r>
              <w:rPr>
                <w:sz w:val="19"/>
              </w:rPr>
              <w:t>Returns the 50 most recent documents for the authenticated user</w:t>
            </w:r>
          </w:p>
        </w:tc>
      </w:tr>
      <w:tr>
        <w:tc>
          <w:tcPr>
            <w:tcW w:type="dxa" w:w="2551"/>
          </w:tcPr>
          <w:p>
            <w:r/>
            <w:r>
              <w:rPr>
                <w:sz w:val="19"/>
              </w:rPr>
              <w:t>GET /api/history/{id}</w:t>
            </w:r>
          </w:p>
        </w:tc>
        <w:tc>
          <w:tcPr>
            <w:tcW w:type="dxa" w:w="850"/>
          </w:tcPr>
          <w:p>
            <w:r/>
            <w:r>
              <w:rPr>
                <w:sz w:val="19"/>
              </w:rPr>
              <w:t>Yes</w:t>
            </w:r>
          </w:p>
        </w:tc>
        <w:tc>
          <w:tcPr>
            <w:tcW w:type="dxa" w:w="4535"/>
          </w:tcPr>
          <w:p>
            <w:r/>
            <w:r>
              <w:rPr>
                <w:sz w:val="19"/>
              </w:rPr>
              <w:t>Returns the full extraction record for a given document, scoped to its owner</w:t>
            </w:r>
          </w:p>
        </w:tc>
      </w:tr>
      <w:tr>
        <w:tc>
          <w:tcPr>
            <w:tcW w:type="dxa" w:w="2551"/>
          </w:tcPr>
          <w:p>
            <w:r/>
            <w:r>
              <w:rPr>
                <w:sz w:val="19"/>
              </w:rPr>
              <w:t>DELETE /api/history/{id}</w:t>
            </w:r>
          </w:p>
        </w:tc>
        <w:tc>
          <w:tcPr>
            <w:tcW w:type="dxa" w:w="850"/>
          </w:tcPr>
          <w:p>
            <w:r/>
            <w:r>
              <w:rPr>
                <w:sz w:val="19"/>
              </w:rPr>
              <w:t>Yes</w:t>
            </w:r>
          </w:p>
        </w:tc>
        <w:tc>
          <w:tcPr>
            <w:tcW w:type="dxa" w:w="4535"/>
          </w:tcPr>
          <w:p>
            <w:r/>
            <w:r>
              <w:rPr>
                <w:sz w:val="19"/>
              </w:rPr>
              <w:t>Deletes a document record, scoped to its owner; returns HTTP 204</w:t>
            </w:r>
          </w:p>
        </w:tc>
      </w:tr>
    </w:tbl>
    <w:p>
      <w:pPr>
        <w:spacing w:after="80"/>
      </w:pPr>
    </w:p>
    <w:p>
      <w:pPr>
        <w:pStyle w:val="Heading2"/>
      </w:pPr>
      <w:r>
        <w:t>9.1 Error Handling Conventions</w:t>
      </w:r>
    </w:p>
    <w:p>
      <w:pPr>
        <w:spacing w:after="160"/>
      </w:pPr>
      <w:r>
        <w:rPr>
          <w:b w:val="0"/>
          <w:i w:val="0"/>
          <w:sz w:val="22"/>
        </w:rPr>
        <w:t>The API follows standard HTTP status code semantics: 400 for malformed or unsupported requests (e.g. an unrecognized file extension or recognition mode), 401 for missing, invalid, or expired credentials, 404 for a document not found or not owned by the requesting user, 413 for uploads exceeding the configured size limit, 502 for failures originating from the upstream generative AI provider, and 503 when a required dependency (the database, or a configured API key) is unavailable. Error responses carry a JSON body with a human-readable "detail" field, which the frontend surfaces directly to the user.</w:t>
      </w:r>
    </w:p>
    <w:p>
      <w:r>
        <w:br w:type="page"/>
      </w:r>
    </w:p>
    <w:p>
      <w:pPr>
        <w:pStyle w:val="Heading1"/>
      </w:pPr>
      <w:r>
        <w:rPr>
          <w:b/>
          <w:color w:val="E8B600"/>
        </w:rPr>
        <w:t xml:space="preserve">10  </w:t>
      </w:r>
      <w:r>
        <w:t>User Interface Specification</w:t>
      </w:r>
    </w:p>
    <w:p>
      <w:pPr>
        <w:pStyle w:val="Heading2"/>
      </w:pPr>
      <w:r>
        <w:t>10.1 Design System</w:t>
      </w:r>
    </w:p>
    <w:p>
      <w:pPr>
        <w:spacing w:after="160"/>
      </w:pPr>
      <w:r>
        <w:rPr>
          <w:b w:val="0"/>
          <w:i w:val="0"/>
          <w:sz w:val="22"/>
        </w:rPr>
        <w:t>The interface applies EY's corporate visual identity throughout: a dark charcoal background (#2E2E38), the EY signature yellow (#FFE600) as the primary accent and call-to-action colour, Inter as the typeface, squared (non-rounded) corners consistent with EY's brand guidelines, and the diagonal "beam" motif derived from the EY logotype used as an animated decorative element on the login and welcome screens. The official EY logo image is used as the application favicon and throughout the interface, rather than a recreated approximation.</w:t>
      </w:r>
    </w:p>
    <w:p>
      <w:pPr>
        <w:pStyle w:val="Heading2"/>
      </w:pPr>
      <w:r>
        <w:t>10.2 Screen: Login</w:t>
      </w:r>
    </w:p>
    <w:p>
      <w:pPr>
        <w:spacing w:after="160"/>
      </w:pPr>
      <w:r>
        <w:rPr>
          <w:b w:val="0"/>
          <w:i w:val="0"/>
          <w:sz w:val="22"/>
        </w:rPr>
        <w:t>A split-screen layout: a left brand panel presenting the product name, a short value proposition, and three feature highlights, and a right-hand form panel with email and password fields, a show/hide password toggle, and clear inline error reporting. The brand panel is hidden on narrow viewports in favour of the form alone.</w:t>
      </w:r>
    </w:p>
    <w:p>
      <w:pPr>
        <w:pStyle w:val="Heading2"/>
      </w:pPr>
      <w:r>
        <w:t>10.3 Screen: Dashboard</w:t>
      </w:r>
    </w:p>
    <w:p>
      <w:pPr>
        <w:spacing w:after="160"/>
      </w:pPr>
      <w:r>
        <w:rPr>
          <w:b w:val="0"/>
          <w:i w:val="0"/>
          <w:sz w:val="22"/>
        </w:rPr>
        <w:t>The primary working screen, structured as a fixed top bar, a navigation sidebar, and a main content area. The sidebar is divided into three fixed zones: document upload and engine/language configuration; the Run OCR action, always visible regardless of viewport height; and a historique summary card linking to the full history page. The main area presents a welcome strip with live, animated usage statistics, and the result panel, which displays either an idle state, a processing animation with a live step indicator, or the extraction result with per-run metrics, copy/download actions, and right-to-left rendering when applicable. On desktop viewports the application frame occupies the viewport exactly, with scrolling confined to the historique list and the extracted-text panel; narrow viewports fall back to normal full-page scrolling.</w:t>
      </w:r>
    </w:p>
    <w:p>
      <w:pPr>
        <w:pStyle w:val="Heading2"/>
      </w:pPr>
      <w:r>
        <w:t>10.4 Screen: Historique</w:t>
      </w:r>
    </w:p>
    <w:p>
      <w:pPr>
        <w:spacing w:after="160"/>
      </w:pPr>
      <w:r>
        <w:rPr>
          <w:b w:val="0"/>
          <w:i w:val="0"/>
          <w:sz w:val="22"/>
        </w:rPr>
        <w:t>A dedicated, URL-addressable page (/history) presenting every processed document as a searchable card grid, filterable by filename, recognition mode, or extracted content. Each entry is a genuine hyperlink supporting standard browser interactions (open in a new tab, back/forward navigation, refresh-persistence) and links back into the dashboard's result view.</w:t>
      </w:r>
    </w:p>
    <w:p>
      <w:pPr>
        <w:pStyle w:val="Heading2"/>
      </w:pPr>
      <w:r>
        <w:t>10.5 Account Management</w:t>
      </w:r>
    </w:p>
    <w:p>
      <w:pPr>
        <w:spacing w:after="160"/>
      </w:pPr>
      <w:r>
        <w:rPr>
          <w:b w:val="0"/>
          <w:i w:val="0"/>
          <w:sz w:val="22"/>
        </w:rPr>
        <w:t>Accessible from the top bar, a modal dialog allows the user to update their display name, upload or remove a profile photo (client-side cropped to a square and downscaled prior to upload), and change their password subject to re-entry of the current password.</w:t>
      </w:r>
    </w:p>
    <w:p>
      <w:pPr>
        <w:pStyle w:val="Heading2"/>
      </w:pPr>
      <w:r>
        <w:t>10.6 Responsive Behaviour</w:t>
      </w:r>
    </w:p>
    <w:p>
      <w:pPr>
        <w:spacing w:after="160"/>
      </w:pPr>
      <w:r>
        <w:rPr>
          <w:b w:val="0"/>
          <w:i w:val="0"/>
          <w:sz w:val="22"/>
        </w:rPr>
        <w:t>The layout adapts at a 900px breakpoint: above it, the sidebar and main content are presented side by side with internally scrolling panels; below it, the sidebar stacks above the main content and the page scrolls as a whole, ensuring usability on tablet and mobile viewports.</w:t>
      </w:r>
    </w:p>
    <w:p>
      <w:r>
        <w:br w:type="page"/>
      </w:r>
    </w:p>
    <w:p>
      <w:pPr>
        <w:pStyle w:val="Heading1"/>
      </w:pPr>
      <w:r>
        <w:rPr>
          <w:b/>
          <w:color w:val="E8B600"/>
        </w:rPr>
        <w:t xml:space="preserve">11  </w:t>
      </w:r>
      <w:r>
        <w:t>Security Specification</w:t>
      </w:r>
    </w:p>
    <w:p>
      <w:pPr>
        <w:pStyle w:val="Heading2"/>
      </w:pPr>
      <w:r>
        <w:t>11.1 Authentication Mechanism</w:t>
      </w:r>
    </w:p>
    <w:p>
      <w:pPr>
        <w:spacing w:after="160"/>
      </w:pPr>
      <w:r>
        <w:rPr>
          <w:b w:val="0"/>
          <w:i w:val="0"/>
          <w:sz w:val="22"/>
        </w:rPr>
        <w:t>Authentication is stateless, based on JSON Web Tokens (JWT) signed with the HS256 algorithm using a server-side secret. A token is issued upon successful login and carries the user's email as subject claim together with issued-at and expiry (24 hours) timestamps. Every protected endpoint independently verifies the token's signature and expiry before resolving the corresponding user record; there is no server-side session store, which keeps the backend horizontally stateless.</w:t>
      </w:r>
    </w:p>
    <w:p>
      <w:pPr>
        <w:pStyle w:val="Heading2"/>
      </w:pPr>
      <w:r>
        <w:t>11.2 Password Storage</w:t>
      </w:r>
    </w:p>
    <w:p>
      <w:pPr>
        <w:spacing w:after="160"/>
      </w:pPr>
      <w:r>
        <w:rPr>
          <w:b w:val="0"/>
          <w:i w:val="0"/>
          <w:sz w:val="22"/>
        </w:rPr>
        <w:t>Passwords are never stored or logged in plaintext. Each password is hashed using PBKDF2 with the SHA-256 digest, 200 000 iterations, and a randomly generated 16-byte salt unique to each user, following current industry-standard guidance for password-based key derivation. Verification uses a constant-time comparison to mitigate timing-based attacks.</w:t>
      </w:r>
    </w:p>
    <w:p>
      <w:pPr>
        <w:pStyle w:val="Heading2"/>
      </w:pPr>
      <w:r>
        <w:t>11.3 Authorization Model</w:t>
      </w:r>
    </w:p>
    <w:p>
      <w:pPr>
        <w:spacing w:after="160"/>
      </w:pPr>
      <w:r>
        <w:rPr>
          <w:b w:val="0"/>
          <w:i w:val="0"/>
          <w:sz w:val="22"/>
        </w:rPr>
        <w:t>All document-scoped operations (retrieval and deletion of history entries) explicitly filter by the authenticated user's email in addition to the document identifier, preventing access to another user's documents even if the identifier is known or guessed. There is currently a single implicit role; no administrative or elevated-privilege role is implemented.</w:t>
      </w:r>
    </w:p>
    <w:p>
      <w:pPr>
        <w:pStyle w:val="Heading2"/>
      </w:pPr>
      <w:r>
        <w:t>11.4 Transport and Data Protection</w:t>
      </w:r>
    </w:p>
    <w:p>
      <w:pPr>
        <w:spacing w:after="160"/>
      </w:pPr>
      <w:r>
        <w:rPr>
          <w:b w:val="0"/>
          <w:i w:val="0"/>
          <w:sz w:val="22"/>
        </w:rPr>
        <w:t>Cross-Origin Resource Sharing (CORS) is restricted to the known frontend development origins. Uploaded files are held in memory only for the duration of processing and are not persisted to disk; only the resulting extracted text and associated metadata are stored. Profile photographs are stored as embedded data URIs within the user record rather than on a separate file store.</w:t>
      </w:r>
    </w:p>
    <w:p>
      <w:pPr>
        <w:pStyle w:val="Heading2"/>
      </w:pPr>
      <w:r>
        <w:t>11.5 Known Limitations</w:t>
      </w:r>
    </w:p>
    <w:p>
      <w:pPr>
        <w:pStyle w:val="ListBullet"/>
        <w:spacing w:after="80"/>
      </w:pPr>
      <w:r>
        <w:t>There is no self-service account registration or password-reset flow; account provisioning is administrative, appropriate for the project's internal-prototype scope but not for public deployment.</w:t>
      </w:r>
    </w:p>
    <w:p>
      <w:pPr>
        <w:pStyle w:val="ListBullet"/>
        <w:spacing w:after="80"/>
      </w:pPr>
      <w:r>
        <w:t>The current deployment configuration targets local development (HTTP, not HTTPS); a production deployment would require TLS termination in front of the backend.</w:t>
      </w:r>
    </w:p>
    <w:p>
      <w:pPr>
        <w:pStyle w:val="ListBullet"/>
        <w:spacing w:after="80"/>
      </w:pPr>
      <w:r>
        <w:t>There is no rate limiting on the authentication endpoint; this would be a recommended addition prior to any external-facing deployment.</w:t>
      </w:r>
    </w:p>
    <w:p>
      <w:r>
        <w:br w:type="page"/>
      </w:r>
    </w:p>
    <w:p>
      <w:pPr>
        <w:pStyle w:val="Heading1"/>
      </w:pPr>
      <w:r>
        <w:rPr>
          <w:b/>
          <w:color w:val="E8B600"/>
        </w:rPr>
        <w:t xml:space="preserve">12  </w:t>
      </w:r>
      <w:r>
        <w:t>Multilingual and Right-to-Left Handling</w:t>
      </w:r>
    </w:p>
    <w:p>
      <w:pPr>
        <w:spacing w:after="160"/>
      </w:pPr>
      <w:r>
        <w:rPr>
          <w:b w:val="0"/>
          <w:i w:val="0"/>
          <w:sz w:val="22"/>
        </w:rPr>
        <w:t>Support for French, English, and Arabic is a first-class requirement of the project and is addressed at multiple layers of the system.</w:t>
      </w:r>
    </w:p>
    <w:p>
      <w:pPr>
        <w:pStyle w:val="ListBullet"/>
        <w:spacing w:after="80"/>
      </w:pPr>
      <w:r>
        <w:t>The generative AI system prompts explicitly instruct the model to preserve each language's orthography faithfully, including French accents, and printed Arabic diacritics, without translation or normalization.</w:t>
      </w:r>
    </w:p>
    <w:p>
      <w:pPr>
        <w:pStyle w:val="ListBullet"/>
        <w:spacing w:after="80"/>
      </w:pPr>
      <w:r>
        <w:t>Right-to-left passages are transcribed in correct logical reading order, and the language-detection module flags text as predominantly right-to-left when Arabic characters outnumber Latin characters in the result.</w:t>
      </w:r>
    </w:p>
    <w:p>
      <w:pPr>
        <w:pStyle w:val="ListBullet"/>
        <w:spacing w:after="80"/>
      </w:pPr>
      <w:r>
        <w:t>The frontend renders the extracted-text panel with a right-to-left text direction and right-aligned layout automatically when the result is flagged as Arabic-majority, without requiring manual user configuration.</w:t>
      </w:r>
    </w:p>
    <w:p>
      <w:pPr>
        <w:pStyle w:val="ListBullet"/>
        <w:spacing w:after="80"/>
      </w:pPr>
      <w:r>
        <w:t>The evaluation module normalizes text to Unicode Normalization Form C (NFC) before computing CER/WER, which is necessary because Arabic text can be represented by visually identical but code-point-distinct sequences (e.g. precomposed versus combining diacritics), which would otherwise inflate the computed error rate artificially.</w:t>
      </w:r>
    </w:p>
    <w:p>
      <w:pPr>
        <w:pStyle w:val="ListBullet"/>
        <w:spacing w:after="80"/>
      </w:pPr>
      <w:r>
        <w:t>The classical OCR baseline uses Tesseract's combined French, English, and Arabic trained data (fra+eng+ara) to remain a fair point of comparison across all three supported languages.</w:t>
      </w:r>
    </w:p>
    <w:p>
      <w:r>
        <w:br w:type="page"/>
      </w:r>
    </w:p>
    <w:p>
      <w:pPr>
        <w:pStyle w:val="Heading1"/>
      </w:pPr>
      <w:r>
        <w:rPr>
          <w:b/>
          <w:color w:val="E8B600"/>
        </w:rPr>
        <w:t xml:space="preserve">13  </w:t>
      </w:r>
      <w:r>
        <w:t>Evaluation Methodology</w:t>
      </w:r>
    </w:p>
    <w:p>
      <w:pPr>
        <w:spacing w:after="160"/>
      </w:pPr>
      <w:r>
        <w:rPr>
          <w:b w:val="0"/>
          <w:i w:val="0"/>
          <w:sz w:val="22"/>
        </w:rPr>
        <w:t>To move beyond a subjective assessment of transcription quality, the project implements a standard, reproducible evaluation methodology based on two established metrics.</w:t>
      </w:r>
    </w:p>
    <w:p>
      <w:pPr>
        <w:pStyle w:val="Heading2"/>
      </w:pPr>
      <w:r>
        <w:t>13.1 Character Error Rate (CER)</w:t>
      </w:r>
    </w:p>
    <w:p>
      <w:pPr>
        <w:spacing w:after="160"/>
      </w:pPr>
      <w:r>
        <w:rPr>
          <w:b w:val="0"/>
          <w:i w:val="0"/>
          <w:sz w:val="22"/>
        </w:rPr>
        <w:t>CER is computed as the Levenshtein edit distance between the reference and hypothesis strings at the character level, divided by the number of characters in the reference:</w:t>
      </w:r>
    </w:p>
    <w:tbl>
      <w:tblPr>
        <w:tblStyle w:val="TableGrid"/>
        <w:tblW w:type="auto" w:w="0"/>
        <w:tblLook w:firstColumn="1" w:firstRow="1" w:lastColumn="0" w:lastRow="0" w:noHBand="0" w:noVBand="1" w:val="04A0"/>
      </w:tblPr>
      <w:tblGrid>
        <w:gridCol w:w="9406"/>
      </w:tblGrid>
      <w:tr>
        <w:tc>
          <w:tcPr>
            <w:tcW w:type="dxa" w:w="9406"/>
            <w:shd w:val="clear" w:color="auto" w:fill="1A1A24"/>
          </w:tcPr>
          <w:p>
            <w:pPr>
              <w:spacing w:after="0"/>
            </w:pPr>
            <w:r/>
            <w:r>
              <w:rPr>
                <w:rFonts w:ascii="Consolas" w:hAnsi="Consolas"/>
                <w:color w:val="E8E8F0"/>
                <w:sz w:val="17"/>
              </w:rPr>
              <w:t>CER = (S + D + I) / N</w:t>
            </w:r>
          </w:p>
          <w:p>
            <w:pPr>
              <w:spacing w:after="0"/>
            </w:pPr>
            <w:r>
              <w:rPr>
                <w:rFonts w:ascii="Consolas" w:hAnsi="Consolas"/>
                <w:color w:val="E8E8F0"/>
                <w:sz w:val="17"/>
              </w:rPr>
              <w:t xml:space="preserve">  S = substitutions, D = deletions, I = insertions</w:t>
            </w:r>
          </w:p>
          <w:p>
            <w:pPr>
              <w:spacing w:after="0"/>
            </w:pPr>
            <w:r>
              <w:rPr>
                <w:rFonts w:ascii="Consolas" w:hAnsi="Consolas"/>
                <w:color w:val="E8E8F0"/>
                <w:sz w:val="17"/>
              </w:rPr>
              <w:t xml:space="preserve">  N = number of characters in the reference text</w:t>
            </w:r>
          </w:p>
        </w:tc>
      </w:tr>
    </w:tbl>
    <w:p>
      <w:pPr>
        <w:spacing w:after="80"/>
      </w:pPr>
    </w:p>
    <w:p>
      <w:pPr>
        <w:pStyle w:val="Heading2"/>
      </w:pPr>
      <w:r>
        <w:t>13.2 Word Error Rate (WER)</w:t>
      </w:r>
    </w:p>
    <w:p>
      <w:pPr>
        <w:spacing w:after="160"/>
      </w:pPr>
      <w:r>
        <w:rPr>
          <w:b w:val="0"/>
          <w:i w:val="0"/>
          <w:sz w:val="22"/>
        </w:rPr>
        <w:t>WER applies the same edit-distance principle at the word level rather than the character level, and is generally the more informative metric for assessing readability and downstream usability of the transcription:</w:t>
      </w:r>
    </w:p>
    <w:tbl>
      <w:tblPr>
        <w:tblStyle w:val="TableGrid"/>
        <w:tblW w:type="auto" w:w="0"/>
        <w:tblLook w:firstColumn="1" w:firstRow="1" w:lastColumn="0" w:lastRow="0" w:noHBand="0" w:noVBand="1" w:val="04A0"/>
      </w:tblPr>
      <w:tblGrid>
        <w:gridCol w:w="9406"/>
      </w:tblGrid>
      <w:tr>
        <w:tc>
          <w:tcPr>
            <w:tcW w:type="dxa" w:w="9406"/>
            <w:shd w:val="clear" w:color="auto" w:fill="1A1A24"/>
          </w:tcPr>
          <w:p>
            <w:pPr>
              <w:spacing w:after="0"/>
            </w:pPr>
            <w:r/>
            <w:r>
              <w:rPr>
                <w:rFonts w:ascii="Consolas" w:hAnsi="Consolas"/>
                <w:color w:val="E8E8F0"/>
                <w:sz w:val="17"/>
              </w:rPr>
              <w:t>WER = (S + D + I) / N</w:t>
            </w:r>
          </w:p>
          <w:p>
            <w:pPr>
              <w:spacing w:after="0"/>
            </w:pPr>
            <w:r>
              <w:rPr>
                <w:rFonts w:ascii="Consolas" w:hAnsi="Consolas"/>
                <w:color w:val="E8E8F0"/>
                <w:sz w:val="17"/>
              </w:rPr>
              <w:t xml:space="preserve">  computed over word tokens rather than characters</w:t>
            </w:r>
          </w:p>
        </w:tc>
      </w:tr>
    </w:tbl>
    <w:p>
      <w:pPr>
        <w:spacing w:after="80"/>
      </w:pPr>
    </w:p>
    <w:p>
      <w:pPr>
        <w:pStyle w:val="Heading2"/>
      </w:pPr>
      <w:r>
        <w:t>13.3 Application</w:t>
      </w:r>
    </w:p>
    <w:p>
      <w:pPr>
        <w:spacing w:after="160"/>
      </w:pPr>
      <w:r>
        <w:rPr>
          <w:b w:val="0"/>
          <w:i w:val="0"/>
          <w:sz w:val="22"/>
        </w:rPr>
        <w:t>Both the Streamlit prototype and the CLI expose a mechanism to supply a ground-truth reference text and receive the resulting CER, WER, and derived character/word accuracy percentages. This allows a controlled comparison across the three recognition modes on the same document corpus, providing the quantitative basis for the project's central claim that the generative AI approach improves recognition accuracy relative to the classical baseline.</w:t>
      </w:r>
    </w:p>
    <w:p>
      <w:r>
        <w:br w:type="page"/>
      </w:r>
    </w:p>
    <w:p>
      <w:pPr>
        <w:pStyle w:val="Heading1"/>
      </w:pPr>
      <w:r>
        <w:rPr>
          <w:b/>
          <w:color w:val="E8B600"/>
        </w:rPr>
        <w:t xml:space="preserve">14  </w:t>
      </w:r>
      <w:r>
        <w:t>Installation and Deployment Guide</w:t>
      </w:r>
    </w:p>
    <w:p>
      <w:pPr>
        <w:pStyle w:val="Heading2"/>
      </w:pPr>
      <w:r>
        <w:t>14.1 Prerequisites</w:t>
      </w:r>
    </w:p>
    <w:p>
      <w:pPr>
        <w:pStyle w:val="ListBullet"/>
        <w:spacing w:after="80"/>
      </w:pPr>
      <w:r>
        <w:t>Python 3.11 or later</w:t>
      </w:r>
    </w:p>
    <w:p>
      <w:pPr>
        <w:pStyle w:val="ListBullet"/>
        <w:spacing w:after="80"/>
      </w:pPr>
      <w:r>
        <w:t>Node.js 18 or later, with npm</w:t>
      </w:r>
    </w:p>
    <w:p>
      <w:pPr>
        <w:pStyle w:val="ListBullet"/>
        <w:spacing w:after="80"/>
      </w:pPr>
      <w:r>
        <w:t>A running MongoDB instance (local service, Docker container, or managed cloud instance)</w:t>
      </w:r>
    </w:p>
    <w:p>
      <w:pPr>
        <w:pStyle w:val="ListBullet"/>
        <w:spacing w:after="80"/>
      </w:pPr>
      <w:r>
        <w:t>A Groq API key (obtained free of charge from console.groq.com)</w:t>
      </w:r>
    </w:p>
    <w:p>
      <w:pPr>
        <w:pStyle w:val="ListBullet"/>
        <w:spacing w:after="80"/>
      </w:pPr>
      <w:r>
        <w:t>Optionally, the Tesseract OCR binary with French, English, and Arabic language packs, for the Hybrid and Tesseract-only modes</w:t>
      </w:r>
    </w:p>
    <w:p>
      <w:pPr>
        <w:pStyle w:val="Heading2"/>
      </w:pPr>
      <w:r>
        <w:t>14.2 Backend Setup</w:t>
      </w:r>
    </w:p>
    <w:tbl>
      <w:tblPr>
        <w:tblStyle w:val="TableGrid"/>
        <w:tblW w:type="auto" w:w="0"/>
        <w:tblLook w:firstColumn="1" w:firstRow="1" w:lastColumn="0" w:lastRow="0" w:noHBand="0" w:noVBand="1" w:val="04A0"/>
      </w:tblPr>
      <w:tblGrid>
        <w:gridCol w:w="9406"/>
      </w:tblGrid>
      <w:tr>
        <w:tc>
          <w:tcPr>
            <w:tcW w:type="dxa" w:w="9406"/>
            <w:shd w:val="clear" w:color="auto" w:fill="1A1A24"/>
          </w:tcPr>
          <w:p>
            <w:pPr>
              <w:spacing w:after="0"/>
            </w:pPr>
            <w:r/>
            <w:r>
              <w:rPr>
                <w:rFonts w:ascii="Consolas" w:hAnsi="Consolas"/>
                <w:color w:val="E8E8F0"/>
                <w:sz w:val="17"/>
              </w:rPr>
              <w:t>python -m venv .venv</w:t>
            </w:r>
          </w:p>
          <w:p>
            <w:pPr>
              <w:spacing w:after="0"/>
            </w:pPr>
            <w:r>
              <w:rPr>
                <w:rFonts w:ascii="Consolas" w:hAnsi="Consolas"/>
                <w:color w:val="E8E8F0"/>
                <w:sz w:val="17"/>
              </w:rPr>
              <w:t>.venv\Scripts\activate</w:t>
            </w:r>
          </w:p>
          <w:p>
            <w:pPr>
              <w:spacing w:after="0"/>
            </w:pPr>
            <w:r>
              <w:rPr>
                <w:rFonts w:ascii="Consolas" w:hAnsi="Consolas"/>
                <w:color w:val="E8E8F0"/>
                <w:sz w:val="17"/>
              </w:rPr>
              <w:t>pip install -r requirements.txt</w:t>
            </w:r>
          </w:p>
          <w:p>
            <w:pPr>
              <w:spacing w:after="0"/>
            </w:pPr>
            <w:r>
              <w:rPr>
                <w:rFonts w:ascii="Consolas" w:hAnsi="Consolas"/>
                <w:color w:val="E8E8F0"/>
                <w:sz w:val="17"/>
              </w:rPr>
              <w:t>copy .env.example .env      # then set GROQ_API_KEY, MONGODB_URI, JWT_SECRET</w:t>
            </w:r>
          </w:p>
        </w:tc>
      </w:tr>
    </w:tbl>
    <w:p>
      <w:pPr>
        <w:spacing w:after="80"/>
      </w:pPr>
    </w:p>
    <w:p>
      <w:pPr>
        <w:pStyle w:val="Heading2"/>
      </w:pPr>
      <w:r>
        <w:t>14.3 Frontend Setup</w:t>
      </w:r>
    </w:p>
    <w:tbl>
      <w:tblPr>
        <w:tblStyle w:val="TableGrid"/>
        <w:tblW w:type="auto" w:w="0"/>
        <w:tblLook w:firstColumn="1" w:firstRow="1" w:lastColumn="0" w:lastRow="0" w:noHBand="0" w:noVBand="1" w:val="04A0"/>
      </w:tblPr>
      <w:tblGrid>
        <w:gridCol w:w="9406"/>
      </w:tblGrid>
      <w:tr>
        <w:tc>
          <w:tcPr>
            <w:tcW w:type="dxa" w:w="9406"/>
            <w:shd w:val="clear" w:color="auto" w:fill="1A1A24"/>
          </w:tcPr>
          <w:p>
            <w:pPr>
              <w:spacing w:after="0"/>
            </w:pPr>
            <w:r/>
            <w:r>
              <w:rPr>
                <w:rFonts w:ascii="Consolas" w:hAnsi="Consolas"/>
                <w:color w:val="E8E8F0"/>
                <w:sz w:val="17"/>
              </w:rPr>
              <w:t>cd frontend</w:t>
            </w:r>
          </w:p>
          <w:p>
            <w:pPr>
              <w:spacing w:after="0"/>
            </w:pPr>
            <w:r>
              <w:rPr>
                <w:rFonts w:ascii="Consolas" w:hAnsi="Consolas"/>
                <w:color w:val="E8E8F0"/>
                <w:sz w:val="17"/>
              </w:rPr>
              <w:t>npm install</w:t>
            </w:r>
          </w:p>
        </w:tc>
      </w:tr>
    </w:tbl>
    <w:p>
      <w:pPr>
        <w:spacing w:after="80"/>
      </w:pPr>
    </w:p>
    <w:p>
      <w:pPr>
        <w:pStyle w:val="Heading2"/>
      </w:pPr>
      <w:r>
        <w:t>14.4 Running the Platform</w:t>
      </w:r>
    </w:p>
    <w:tbl>
      <w:tblPr>
        <w:tblStyle w:val="TableGrid"/>
        <w:tblW w:type="auto" w:w="0"/>
        <w:tblLook w:firstColumn="1" w:firstRow="1" w:lastColumn="0" w:lastRow="0" w:noHBand="0" w:noVBand="1" w:val="04A0"/>
      </w:tblPr>
      <w:tblGrid>
        <w:gridCol w:w="9406"/>
      </w:tblGrid>
      <w:tr>
        <w:tc>
          <w:tcPr>
            <w:tcW w:type="dxa" w:w="9406"/>
            <w:shd w:val="clear" w:color="auto" w:fill="1A1A24"/>
          </w:tcPr>
          <w:p>
            <w:pPr>
              <w:spacing w:after="0"/>
            </w:pPr>
            <w:r/>
            <w:r>
              <w:rPr>
                <w:rFonts w:ascii="Consolas" w:hAnsi="Consolas"/>
                <w:color w:val="E8E8F0"/>
                <w:sz w:val="17"/>
              </w:rPr>
              <w:t># terminal 1 - API (from the project root)</w:t>
            </w:r>
          </w:p>
          <w:p>
            <w:pPr>
              <w:spacing w:after="0"/>
            </w:pPr>
            <w:r>
              <w:rPr>
                <w:rFonts w:ascii="Consolas" w:hAnsi="Consolas"/>
                <w:color w:val="E8E8F0"/>
                <w:sz w:val="17"/>
              </w:rPr>
              <w:t>python -m uvicorn backend.main:app --reload --port 8000</w:t>
            </w:r>
          </w:p>
          <w:p>
            <w:pPr>
              <w:spacing w:after="0"/>
            </w:pPr>
            <w:r>
              <w:rPr>
                <w:rFonts w:ascii="Consolas" w:hAnsi="Consolas"/>
                <w:color w:val="E8E8F0"/>
                <w:sz w:val="17"/>
              </w:rPr>
              <w:t xml:space="preserve"> </w:t>
            </w:r>
          </w:p>
          <w:p>
            <w:pPr>
              <w:spacing w:after="0"/>
            </w:pPr>
            <w:r>
              <w:rPr>
                <w:rFonts w:ascii="Consolas" w:hAnsi="Consolas"/>
                <w:color w:val="E8E8F0"/>
                <w:sz w:val="17"/>
              </w:rPr>
              <w:t># terminal 2 - frontend</w:t>
            </w:r>
          </w:p>
          <w:p>
            <w:pPr>
              <w:spacing w:after="0"/>
            </w:pPr>
            <w:r>
              <w:rPr>
                <w:rFonts w:ascii="Consolas" w:hAnsi="Consolas"/>
                <w:color w:val="E8E8F0"/>
                <w:sz w:val="17"/>
              </w:rPr>
              <w:t>cd frontend</w:t>
            </w:r>
          </w:p>
          <w:p>
            <w:pPr>
              <w:spacing w:after="0"/>
            </w:pPr>
            <w:r>
              <w:rPr>
                <w:rFonts w:ascii="Consolas" w:hAnsi="Consolas"/>
                <w:color w:val="E8E8F0"/>
                <w:sz w:val="17"/>
              </w:rPr>
              <w:t>npm run dev</w:t>
            </w:r>
          </w:p>
          <w:p>
            <w:pPr>
              <w:spacing w:after="0"/>
            </w:pPr>
            <w:r>
              <w:rPr>
                <w:rFonts w:ascii="Consolas" w:hAnsi="Consolas"/>
                <w:color w:val="E8E8F0"/>
                <w:sz w:val="17"/>
              </w:rPr>
              <w:t xml:space="preserve"> </w:t>
            </w:r>
          </w:p>
          <w:p>
            <w:pPr>
              <w:spacing w:after="0"/>
            </w:pPr>
            <w:r>
              <w:rPr>
                <w:rFonts w:ascii="Consolas" w:hAnsi="Consolas"/>
                <w:color w:val="E8E8F0"/>
                <w:sz w:val="17"/>
              </w:rPr>
              <w:t># then open http://localhost:5173</w:t>
            </w:r>
          </w:p>
        </w:tc>
      </w:tr>
    </w:tbl>
    <w:p>
      <w:pPr>
        <w:spacing w:after="80"/>
      </w:pPr>
    </w:p>
    <w:p>
      <w:pPr>
        <w:spacing w:after="160"/>
      </w:pPr>
      <w:r>
        <w:rPr>
          <w:b w:val="0"/>
          <w:i w:val="0"/>
          <w:sz w:val="22"/>
        </w:rPr>
        <w:t>On first startup, the backend automatically provisions a default account if none exists, using the DEFAULT_USER_EMAIL and DEFAULT_USER_PASSWORD environment variables (with built-in fallback values), so the platform is immediately usable without a manual database seeding step.</w:t>
      </w:r>
    </w:p>
    <w:p>
      <w:r>
        <w:br w:type="page"/>
      </w:r>
    </w:p>
    <w:p>
      <w:pPr>
        <w:pStyle w:val="Heading1"/>
      </w:pPr>
      <w:r>
        <w:rPr>
          <w:b/>
          <w:color w:val="E8B600"/>
        </w:rPr>
        <w:t xml:space="preserve">15  </w:t>
      </w:r>
      <w:r>
        <w:t>Testing Strategy</w:t>
      </w:r>
    </w:p>
    <w:p>
      <w:pPr>
        <w:spacing w:after="160"/>
      </w:pPr>
      <w:r>
        <w:rPr>
          <w:b w:val="0"/>
          <w:i w:val="0"/>
          <w:sz w:val="22"/>
        </w:rPr>
        <w:t>Given the project's internship scope and timeline, verification has been conducted primarily through structured manual and functional testing rather than an automated test suite. The following scenarios represent the verification performed to date and the baseline regression checklist for future changes.</w:t>
      </w:r>
    </w:p>
    <w:tbl>
      <w:tblPr>
        <w:tblStyle w:val="TableGrid"/>
        <w:tblW w:type="auto" w:w="0"/>
        <w:jc w:val="center"/>
        <w:tblLook w:firstColumn="1" w:firstRow="1" w:lastColumn="0" w:lastRow="0" w:noHBand="0" w:noVBand="1" w:val="04A0"/>
      </w:tblPr>
      <w:tblGrid>
        <w:gridCol w:w="3135"/>
        <w:gridCol w:w="3135"/>
        <w:gridCol w:w="3135"/>
      </w:tblGrid>
      <w:tr>
        <w:tc>
          <w:tcPr>
            <w:tcW w:type="dxa" w:w="567"/>
            <w:shd w:val="clear" w:color="auto" w:fill="2E2E38"/>
          </w:tcPr>
          <w:p>
            <w:r/>
            <w:r>
              <w:rPr>
                <w:b/>
                <w:color w:val="FFFFFF"/>
                <w:sz w:val="20"/>
              </w:rPr>
              <w:t>#</w:t>
            </w:r>
          </w:p>
        </w:tc>
        <w:tc>
          <w:tcPr>
            <w:tcW w:type="dxa" w:w="4535"/>
            <w:shd w:val="clear" w:color="auto" w:fill="2E2E38"/>
          </w:tcPr>
          <w:p>
            <w:r/>
            <w:r>
              <w:rPr>
                <w:b/>
                <w:color w:val="FFFFFF"/>
                <w:sz w:val="20"/>
              </w:rPr>
              <w:t>Scenario</w:t>
            </w:r>
          </w:p>
        </w:tc>
        <w:tc>
          <w:tcPr>
            <w:tcW w:type="dxa" w:w="2835"/>
            <w:shd w:val="clear" w:color="auto" w:fill="2E2E38"/>
          </w:tcPr>
          <w:p>
            <w:r/>
            <w:r>
              <w:rPr>
                <w:b/>
                <w:color w:val="FFFFFF"/>
                <w:sz w:val="20"/>
              </w:rPr>
              <w:t>Expected Result</w:t>
            </w:r>
          </w:p>
        </w:tc>
      </w:tr>
      <w:tr>
        <w:tc>
          <w:tcPr>
            <w:tcW w:type="dxa" w:w="567"/>
          </w:tcPr>
          <w:p>
            <w:r/>
            <w:r>
              <w:rPr>
                <w:sz w:val="19"/>
              </w:rPr>
              <w:t>T1</w:t>
            </w:r>
          </w:p>
        </w:tc>
        <w:tc>
          <w:tcPr>
            <w:tcW w:type="dxa" w:w="4535"/>
          </w:tcPr>
          <w:p>
            <w:r/>
            <w:r>
              <w:rPr>
                <w:sz w:val="19"/>
              </w:rPr>
              <w:t>Login with correct credentials</w:t>
            </w:r>
          </w:p>
        </w:tc>
        <w:tc>
          <w:tcPr>
            <w:tcW w:type="dxa" w:w="2835"/>
          </w:tcPr>
          <w:p>
            <w:r/>
            <w:r>
              <w:rPr>
                <w:sz w:val="19"/>
              </w:rPr>
              <w:t>Access token issued; dashboard loads</w:t>
            </w:r>
          </w:p>
        </w:tc>
      </w:tr>
      <w:tr>
        <w:tc>
          <w:tcPr>
            <w:tcW w:type="dxa" w:w="567"/>
          </w:tcPr>
          <w:p>
            <w:r/>
            <w:r>
              <w:rPr>
                <w:sz w:val="19"/>
              </w:rPr>
              <w:t>T2</w:t>
            </w:r>
          </w:p>
        </w:tc>
        <w:tc>
          <w:tcPr>
            <w:tcW w:type="dxa" w:w="4535"/>
          </w:tcPr>
          <w:p>
            <w:r/>
            <w:r>
              <w:rPr>
                <w:sz w:val="19"/>
              </w:rPr>
              <w:t>Login with incorrect password</w:t>
            </w:r>
          </w:p>
        </w:tc>
        <w:tc>
          <w:tcPr>
            <w:tcW w:type="dxa" w:w="2835"/>
          </w:tcPr>
          <w:p>
            <w:r/>
            <w:r>
              <w:rPr>
                <w:sz w:val="19"/>
              </w:rPr>
              <w:t>HTTP 401 with a generic error message</w:t>
            </w:r>
          </w:p>
        </w:tc>
      </w:tr>
      <w:tr>
        <w:tc>
          <w:tcPr>
            <w:tcW w:type="dxa" w:w="567"/>
          </w:tcPr>
          <w:p>
            <w:r/>
            <w:r>
              <w:rPr>
                <w:sz w:val="19"/>
              </w:rPr>
              <w:t>T3</w:t>
            </w:r>
          </w:p>
        </w:tc>
        <w:tc>
          <w:tcPr>
            <w:tcW w:type="dxa" w:w="4535"/>
          </w:tcPr>
          <w:p>
            <w:r/>
            <w:r>
              <w:rPr>
                <w:sz w:val="19"/>
              </w:rPr>
              <w:t>Upload and process a clean PNG scan (GenAI vision mode)</w:t>
            </w:r>
          </w:p>
        </w:tc>
        <w:tc>
          <w:tcPr>
            <w:tcW w:type="dxa" w:w="2835"/>
          </w:tcPr>
          <w:p>
            <w:r/>
            <w:r>
              <w:rPr>
                <w:sz w:val="19"/>
              </w:rPr>
              <w:t>Text extracted and displayed; entry appears in history</w:t>
            </w:r>
          </w:p>
        </w:tc>
      </w:tr>
      <w:tr>
        <w:tc>
          <w:tcPr>
            <w:tcW w:type="dxa" w:w="567"/>
          </w:tcPr>
          <w:p>
            <w:r/>
            <w:r>
              <w:rPr>
                <w:sz w:val="19"/>
              </w:rPr>
              <w:t>T4</w:t>
            </w:r>
          </w:p>
        </w:tc>
        <w:tc>
          <w:tcPr>
            <w:tcW w:type="dxa" w:w="4535"/>
          </w:tcPr>
          <w:p>
            <w:r/>
            <w:r>
              <w:rPr>
                <w:sz w:val="19"/>
              </w:rPr>
              <w:t>Upload a multi-page PDF</w:t>
            </w:r>
          </w:p>
        </w:tc>
        <w:tc>
          <w:tcPr>
            <w:tcW w:type="dxa" w:w="2835"/>
          </w:tcPr>
          <w:p>
            <w:r/>
            <w:r>
              <w:rPr>
                <w:sz w:val="19"/>
              </w:rPr>
              <w:t>Each page rasterized and transcribed; pages joined with a clear separator</w:t>
            </w:r>
          </w:p>
        </w:tc>
      </w:tr>
      <w:tr>
        <w:tc>
          <w:tcPr>
            <w:tcW w:type="dxa" w:w="567"/>
          </w:tcPr>
          <w:p>
            <w:r/>
            <w:r>
              <w:rPr>
                <w:sz w:val="19"/>
              </w:rPr>
              <w:t>T5</w:t>
            </w:r>
          </w:p>
        </w:tc>
        <w:tc>
          <w:tcPr>
            <w:tcW w:type="dxa" w:w="4535"/>
          </w:tcPr>
          <w:p>
            <w:r/>
            <w:r>
              <w:rPr>
                <w:sz w:val="19"/>
              </w:rPr>
              <w:t>Process a French/Arabic mixed-language document</w:t>
            </w:r>
          </w:p>
        </w:tc>
        <w:tc>
          <w:tcPr>
            <w:tcW w:type="dxa" w:w="2835"/>
          </w:tcPr>
          <w:p>
            <w:r/>
            <w:r>
              <w:rPr>
                <w:sz w:val="19"/>
              </w:rPr>
              <w:t>Both scripts transcribed correctly; Arabic-majority result renders right-to-left</w:t>
            </w:r>
          </w:p>
        </w:tc>
      </w:tr>
      <w:tr>
        <w:tc>
          <w:tcPr>
            <w:tcW w:type="dxa" w:w="567"/>
          </w:tcPr>
          <w:p>
            <w:r/>
            <w:r>
              <w:rPr>
                <w:sz w:val="19"/>
              </w:rPr>
              <w:t>T6</w:t>
            </w:r>
          </w:p>
        </w:tc>
        <w:tc>
          <w:tcPr>
            <w:tcW w:type="dxa" w:w="4535"/>
          </w:tcPr>
          <w:p>
            <w:r/>
            <w:r>
              <w:rPr>
                <w:sz w:val="19"/>
              </w:rPr>
              <w:t>Attempt OCR with no API key configured</w:t>
            </w:r>
          </w:p>
        </w:tc>
        <w:tc>
          <w:tcPr>
            <w:tcW w:type="dxa" w:w="2835"/>
          </w:tcPr>
          <w:p>
            <w:r/>
            <w:r>
              <w:rPr>
                <w:sz w:val="19"/>
              </w:rPr>
              <w:t>HTTP 503 with a clear, actionable error message</w:t>
            </w:r>
          </w:p>
        </w:tc>
      </w:tr>
      <w:tr>
        <w:tc>
          <w:tcPr>
            <w:tcW w:type="dxa" w:w="567"/>
          </w:tcPr>
          <w:p>
            <w:r/>
            <w:r>
              <w:rPr>
                <w:sz w:val="19"/>
              </w:rPr>
              <w:t>T7</w:t>
            </w:r>
          </w:p>
        </w:tc>
        <w:tc>
          <w:tcPr>
            <w:tcW w:type="dxa" w:w="4535"/>
          </w:tcPr>
          <w:p>
            <w:r/>
            <w:r>
              <w:rPr>
                <w:sz w:val="19"/>
              </w:rPr>
              <w:t>Attempt OCR with insufficient provider credit</w:t>
            </w:r>
          </w:p>
        </w:tc>
        <w:tc>
          <w:tcPr>
            <w:tcW w:type="dxa" w:w="2835"/>
          </w:tcPr>
          <w:p>
            <w:r/>
            <w:r>
              <w:rPr>
                <w:sz w:val="19"/>
              </w:rPr>
              <w:t>Upstream error surfaced clearly to the user, distinct from a configuration error</w:t>
            </w:r>
          </w:p>
        </w:tc>
      </w:tr>
      <w:tr>
        <w:tc>
          <w:tcPr>
            <w:tcW w:type="dxa" w:w="567"/>
          </w:tcPr>
          <w:p>
            <w:r/>
            <w:r>
              <w:rPr>
                <w:sz w:val="19"/>
              </w:rPr>
              <w:t>T8</w:t>
            </w:r>
          </w:p>
        </w:tc>
        <w:tc>
          <w:tcPr>
            <w:tcW w:type="dxa" w:w="4535"/>
          </w:tcPr>
          <w:p>
            <w:r/>
            <w:r>
              <w:rPr>
                <w:sz w:val="19"/>
              </w:rPr>
              <w:t>Search the historique by filename and by content</w:t>
            </w:r>
          </w:p>
        </w:tc>
        <w:tc>
          <w:tcPr>
            <w:tcW w:type="dxa" w:w="2835"/>
          </w:tcPr>
          <w:p>
            <w:r/>
            <w:r>
              <w:rPr>
                <w:sz w:val="19"/>
              </w:rPr>
              <w:t>Matching entries filtered correctly</w:t>
            </w:r>
          </w:p>
        </w:tc>
      </w:tr>
      <w:tr>
        <w:tc>
          <w:tcPr>
            <w:tcW w:type="dxa" w:w="567"/>
          </w:tcPr>
          <w:p>
            <w:r/>
            <w:r>
              <w:rPr>
                <w:sz w:val="19"/>
              </w:rPr>
              <w:t>T9</w:t>
            </w:r>
          </w:p>
        </w:tc>
        <w:tc>
          <w:tcPr>
            <w:tcW w:type="dxa" w:w="4535"/>
          </w:tcPr>
          <w:p>
            <w:r/>
            <w:r>
              <w:rPr>
                <w:sz w:val="19"/>
              </w:rPr>
              <w:t>Delete a history entry currently open in the result panel</w:t>
            </w:r>
          </w:p>
        </w:tc>
        <w:tc>
          <w:tcPr>
            <w:tcW w:type="dxa" w:w="2835"/>
          </w:tcPr>
          <w:p>
            <w:r/>
            <w:r>
              <w:rPr>
                <w:sz w:val="19"/>
              </w:rPr>
              <w:t>Entry removed from history and cleared from the result view</w:t>
            </w:r>
          </w:p>
        </w:tc>
      </w:tr>
      <w:tr>
        <w:tc>
          <w:tcPr>
            <w:tcW w:type="dxa" w:w="567"/>
          </w:tcPr>
          <w:p>
            <w:r/>
            <w:r>
              <w:rPr>
                <w:sz w:val="19"/>
              </w:rPr>
              <w:t>T10</w:t>
            </w:r>
          </w:p>
        </w:tc>
        <w:tc>
          <w:tcPr>
            <w:tcW w:type="dxa" w:w="4535"/>
          </w:tcPr>
          <w:p>
            <w:r/>
            <w:r>
              <w:rPr>
                <w:sz w:val="19"/>
              </w:rPr>
              <w:t>Open a history entry via its direct URL, then use browser back</w:t>
            </w:r>
          </w:p>
        </w:tc>
        <w:tc>
          <w:tcPr>
            <w:tcW w:type="dxa" w:w="2835"/>
          </w:tcPr>
          <w:p>
            <w:r/>
            <w:r>
              <w:rPr>
                <w:sz w:val="19"/>
              </w:rPr>
              <w:t>Correct document loads; back navigation returns to the previous state</w:t>
            </w:r>
          </w:p>
        </w:tc>
      </w:tr>
      <w:tr>
        <w:tc>
          <w:tcPr>
            <w:tcW w:type="dxa" w:w="567"/>
          </w:tcPr>
          <w:p>
            <w:r/>
            <w:r>
              <w:rPr>
                <w:sz w:val="19"/>
              </w:rPr>
              <w:t>T11</w:t>
            </w:r>
          </w:p>
        </w:tc>
        <w:tc>
          <w:tcPr>
            <w:tcW w:type="dxa" w:w="4535"/>
          </w:tcPr>
          <w:p>
            <w:r/>
            <w:r>
              <w:rPr>
                <w:sz w:val="19"/>
              </w:rPr>
              <w:t>Update display name and profile photo</w:t>
            </w:r>
          </w:p>
        </w:tc>
        <w:tc>
          <w:tcPr>
            <w:tcW w:type="dxa" w:w="2835"/>
          </w:tcPr>
          <w:p>
            <w:r/>
            <w:r>
              <w:rPr>
                <w:sz w:val="19"/>
              </w:rPr>
              <w:t>Changes persisted and reflected immediately in the top bar</w:t>
            </w:r>
          </w:p>
        </w:tc>
      </w:tr>
      <w:tr>
        <w:tc>
          <w:tcPr>
            <w:tcW w:type="dxa" w:w="567"/>
          </w:tcPr>
          <w:p>
            <w:r/>
            <w:r>
              <w:rPr>
                <w:sz w:val="19"/>
              </w:rPr>
              <w:t>T12</w:t>
            </w:r>
          </w:p>
        </w:tc>
        <w:tc>
          <w:tcPr>
            <w:tcW w:type="dxa" w:w="4535"/>
          </w:tcPr>
          <w:p>
            <w:r/>
            <w:r>
              <w:rPr>
                <w:sz w:val="19"/>
              </w:rPr>
              <w:t>Attempt password change with an incorrect current password</w:t>
            </w:r>
          </w:p>
        </w:tc>
        <w:tc>
          <w:tcPr>
            <w:tcW w:type="dxa" w:w="2835"/>
          </w:tcPr>
          <w:p>
            <w:r/>
            <w:r>
              <w:rPr>
                <w:sz w:val="19"/>
              </w:rPr>
              <w:t>HTTP 401; password left unchanged</w:t>
            </w:r>
          </w:p>
        </w:tc>
      </w:tr>
      <w:tr>
        <w:tc>
          <w:tcPr>
            <w:tcW w:type="dxa" w:w="567"/>
          </w:tcPr>
          <w:p>
            <w:r/>
            <w:r>
              <w:rPr>
                <w:sz w:val="19"/>
              </w:rPr>
              <w:t>T13</w:t>
            </w:r>
          </w:p>
        </w:tc>
        <w:tc>
          <w:tcPr>
            <w:tcW w:type="dxa" w:w="4535"/>
          </w:tcPr>
          <w:p>
            <w:r/>
            <w:r>
              <w:rPr>
                <w:sz w:val="19"/>
              </w:rPr>
              <w:t>Access a protected endpoint with an expired token</w:t>
            </w:r>
          </w:p>
        </w:tc>
        <w:tc>
          <w:tcPr>
            <w:tcW w:type="dxa" w:w="2835"/>
          </w:tcPr>
          <w:p>
            <w:r/>
            <w:r>
              <w:rPr>
                <w:sz w:val="19"/>
              </w:rPr>
              <w:t>HTTP 401; client-side session cleared</w:t>
            </w:r>
          </w:p>
        </w:tc>
      </w:tr>
      <w:tr>
        <w:tc>
          <w:tcPr>
            <w:tcW w:type="dxa" w:w="567"/>
          </w:tcPr>
          <w:p>
            <w:r/>
            <w:r>
              <w:rPr>
                <w:sz w:val="19"/>
              </w:rPr>
              <w:t>T14</w:t>
            </w:r>
          </w:p>
        </w:tc>
        <w:tc>
          <w:tcPr>
            <w:tcW w:type="dxa" w:w="4535"/>
          </w:tcPr>
          <w:p>
            <w:r/>
            <w:r>
              <w:rPr>
                <w:sz w:val="19"/>
              </w:rPr>
              <w:t>Attempt to access another user's document by identifier</w:t>
            </w:r>
          </w:p>
        </w:tc>
        <w:tc>
          <w:tcPr>
            <w:tcW w:type="dxa" w:w="2835"/>
          </w:tcPr>
          <w:p>
            <w:r/>
            <w:r>
              <w:rPr>
                <w:sz w:val="19"/>
              </w:rPr>
              <w:t>HTTP 404 (not found, not disclosed as belonging to another user)</w:t>
            </w:r>
          </w:p>
        </w:tc>
      </w:tr>
      <w:tr>
        <w:tc>
          <w:tcPr>
            <w:tcW w:type="dxa" w:w="567"/>
          </w:tcPr>
          <w:p>
            <w:r/>
            <w:r>
              <w:rPr>
                <w:sz w:val="19"/>
              </w:rPr>
              <w:t>T15</w:t>
            </w:r>
          </w:p>
        </w:tc>
        <w:tc>
          <w:tcPr>
            <w:tcW w:type="dxa" w:w="4535"/>
          </w:tcPr>
          <w:p>
            <w:r/>
            <w:r>
              <w:rPr>
                <w:sz w:val="19"/>
              </w:rPr>
              <w:t>Resize the viewport below the mobile breakpoint</w:t>
            </w:r>
          </w:p>
        </w:tc>
        <w:tc>
          <w:tcPr>
            <w:tcW w:type="dxa" w:w="2835"/>
          </w:tcPr>
          <w:p>
            <w:r/>
            <w:r>
              <w:rPr>
                <w:sz w:val="19"/>
              </w:rPr>
              <w:t>Layout reflows to a single scrolling column without loss of functionality</w:t>
            </w:r>
          </w:p>
        </w:tc>
      </w:tr>
    </w:tbl>
    <w:p>
      <w:pPr>
        <w:spacing w:after="80"/>
      </w:pPr>
    </w:p>
    <w:p>
      <w:r>
        <w:br w:type="page"/>
      </w:r>
    </w:p>
    <w:p>
      <w:pPr>
        <w:pStyle w:val="Heading1"/>
      </w:pPr>
      <w:r>
        <w:rPr>
          <w:b/>
          <w:color w:val="E8B600"/>
        </w:rPr>
        <w:t xml:space="preserve">16  </w:t>
      </w:r>
      <w:r>
        <w:t>Risks and Limitations</w:t>
      </w:r>
    </w:p>
    <w:tbl>
      <w:tblPr>
        <w:tblStyle w:val="TableGrid"/>
        <w:tblW w:type="auto" w:w="0"/>
        <w:jc w:val="center"/>
        <w:tblLook w:firstColumn="1" w:firstRow="1" w:lastColumn="0" w:lastRow="0" w:noHBand="0" w:noVBand="1" w:val="04A0"/>
      </w:tblPr>
      <w:tblGrid>
        <w:gridCol w:w="3135"/>
        <w:gridCol w:w="3135"/>
        <w:gridCol w:w="3135"/>
      </w:tblGrid>
      <w:tr>
        <w:tc>
          <w:tcPr>
            <w:tcW w:type="dxa" w:w="3685"/>
            <w:shd w:val="clear" w:color="auto" w:fill="2E2E38"/>
          </w:tcPr>
          <w:p>
            <w:r/>
            <w:r>
              <w:rPr>
                <w:b/>
                <w:color w:val="FFFFFF"/>
                <w:sz w:val="20"/>
              </w:rPr>
              <w:t>Risk / Limitation</w:t>
            </w:r>
          </w:p>
        </w:tc>
        <w:tc>
          <w:tcPr>
            <w:tcW w:type="dxa" w:w="1417"/>
            <w:shd w:val="clear" w:color="auto" w:fill="2E2E38"/>
          </w:tcPr>
          <w:p>
            <w:r/>
            <w:r>
              <w:rPr>
                <w:b/>
                <w:color w:val="FFFFFF"/>
                <w:sz w:val="20"/>
              </w:rPr>
              <w:t>Impact</w:t>
            </w:r>
          </w:p>
        </w:tc>
        <w:tc>
          <w:tcPr>
            <w:tcW w:type="dxa" w:w="2835"/>
            <w:shd w:val="clear" w:color="auto" w:fill="2E2E38"/>
          </w:tcPr>
          <w:p>
            <w:r/>
            <w:r>
              <w:rPr>
                <w:b/>
                <w:color w:val="FFFFFF"/>
                <w:sz w:val="20"/>
              </w:rPr>
              <w:t>Mitigation</w:t>
            </w:r>
          </w:p>
        </w:tc>
      </w:tr>
      <w:tr>
        <w:tc>
          <w:tcPr>
            <w:tcW w:type="dxa" w:w="3685"/>
          </w:tcPr>
          <w:p>
            <w:r/>
            <w:r>
              <w:rPr>
                <w:sz w:val="19"/>
              </w:rPr>
              <w:t>Dependency on a third-party AI provider (Groq) for the core recognition capability</w:t>
            </w:r>
          </w:p>
        </w:tc>
        <w:tc>
          <w:tcPr>
            <w:tcW w:type="dxa" w:w="1417"/>
          </w:tcPr>
          <w:p>
            <w:r/>
            <w:r>
              <w:rPr>
                <w:sz w:val="19"/>
              </w:rPr>
              <w:t>High</w:t>
            </w:r>
          </w:p>
        </w:tc>
        <w:tc>
          <w:tcPr>
            <w:tcW w:type="dxa" w:w="2835"/>
          </w:tcPr>
          <w:p>
            <w:r/>
            <w:r>
              <w:rPr>
                <w:sz w:val="19"/>
              </w:rPr>
              <w:t>Provider abstraction is confined to a single module (genai_ocr.py); the pipeline architecture allows a future provider change with contained effort, as already demonstrated once during this project</w:t>
            </w:r>
          </w:p>
        </w:tc>
      </w:tr>
      <w:tr>
        <w:tc>
          <w:tcPr>
            <w:tcW w:type="dxa" w:w="3685"/>
          </w:tcPr>
          <w:p>
            <w:r/>
            <w:r>
              <w:rPr>
                <w:sz w:val="19"/>
              </w:rPr>
              <w:t>Third-party model catalog and pricing can change over time</w:t>
            </w:r>
          </w:p>
        </w:tc>
        <w:tc>
          <w:tcPr>
            <w:tcW w:type="dxa" w:w="1417"/>
          </w:tcPr>
          <w:p>
            <w:r/>
            <w:r>
              <w:rPr>
                <w:sz w:val="19"/>
              </w:rPr>
              <w:t>Medium</w:t>
            </w:r>
          </w:p>
        </w:tc>
        <w:tc>
          <w:tcPr>
            <w:tcW w:type="dxa" w:w="2835"/>
          </w:tcPr>
          <w:p>
            <w:r/>
            <w:r>
              <w:rPr>
                <w:sz w:val="19"/>
              </w:rPr>
              <w:t>Model identifier is externally configurable (OCR_MODEL) without a code change</w:t>
            </w:r>
          </w:p>
        </w:tc>
      </w:tr>
      <w:tr>
        <w:tc>
          <w:tcPr>
            <w:tcW w:type="dxa" w:w="3685"/>
          </w:tcPr>
          <w:p>
            <w:r/>
            <w:r>
              <w:rPr>
                <w:sz w:val="19"/>
              </w:rPr>
              <w:t>No automated test suite</w:t>
            </w:r>
          </w:p>
        </w:tc>
        <w:tc>
          <w:tcPr>
            <w:tcW w:type="dxa" w:w="1417"/>
          </w:tcPr>
          <w:p>
            <w:r/>
            <w:r>
              <w:rPr>
                <w:sz w:val="19"/>
              </w:rPr>
              <w:t>Medium</w:t>
            </w:r>
          </w:p>
        </w:tc>
        <w:tc>
          <w:tcPr>
            <w:tcW w:type="dxa" w:w="2835"/>
          </w:tcPr>
          <w:p>
            <w:r/>
            <w:r>
              <w:rPr>
                <w:sz w:val="19"/>
              </w:rPr>
              <w:t>Structured manual test scenarios (Section 15) are maintained as a regression checklist</w:t>
            </w:r>
          </w:p>
        </w:tc>
      </w:tr>
      <w:tr>
        <w:tc>
          <w:tcPr>
            <w:tcW w:type="dxa" w:w="3685"/>
          </w:tcPr>
          <w:p>
            <w:r/>
            <w:r>
              <w:rPr>
                <w:sz w:val="19"/>
              </w:rPr>
              <w:t>No self-service account creation or password recovery</w:t>
            </w:r>
          </w:p>
        </w:tc>
        <w:tc>
          <w:tcPr>
            <w:tcW w:type="dxa" w:w="1417"/>
          </w:tcPr>
          <w:p>
            <w:r/>
            <w:r>
              <w:rPr>
                <w:sz w:val="19"/>
              </w:rPr>
              <w:t>Low (within current scope)</w:t>
            </w:r>
          </w:p>
        </w:tc>
        <w:tc>
          <w:tcPr>
            <w:tcW w:type="dxa" w:w="2835"/>
          </w:tcPr>
          <w:p>
            <w:r/>
            <w:r>
              <w:rPr>
                <w:sz w:val="19"/>
              </w:rPr>
              <w:t>Acceptable for an internal-prototype deployment; flagged as a roadmap item for broader deployment</w:t>
            </w:r>
          </w:p>
        </w:tc>
      </w:tr>
      <w:tr>
        <w:tc>
          <w:tcPr>
            <w:tcW w:type="dxa" w:w="3685"/>
          </w:tcPr>
          <w:p>
            <w:r/>
            <w:r>
              <w:rPr>
                <w:sz w:val="19"/>
              </w:rPr>
              <w:t>Uploaded document content is transmitted to an external API for processing</w:t>
            </w:r>
          </w:p>
        </w:tc>
        <w:tc>
          <w:tcPr>
            <w:tcW w:type="dxa" w:w="1417"/>
          </w:tcPr>
          <w:p>
            <w:r/>
            <w:r>
              <w:rPr>
                <w:sz w:val="19"/>
              </w:rPr>
              <w:t>Medium</w:t>
            </w:r>
          </w:p>
        </w:tc>
        <w:tc>
          <w:tcPr>
            <w:tcW w:type="dxa" w:w="2835"/>
          </w:tcPr>
          <w:p>
            <w:r/>
            <w:r>
              <w:rPr>
                <w:sz w:val="19"/>
              </w:rPr>
              <w:t>Relevant for documents containing sensitive or confidential information; requires an organizational data-handling decision prior to processing regulated content</w:t>
            </w:r>
          </w:p>
        </w:tc>
      </w:tr>
      <w:tr>
        <w:tc>
          <w:tcPr>
            <w:tcW w:type="dxa" w:w="3685"/>
          </w:tcPr>
          <w:p>
            <w:r/>
            <w:r>
              <w:rPr>
                <w:sz w:val="19"/>
              </w:rPr>
              <w:t>Single-instance MongoDB, no automated backup</w:t>
            </w:r>
          </w:p>
        </w:tc>
        <w:tc>
          <w:tcPr>
            <w:tcW w:type="dxa" w:w="1417"/>
          </w:tcPr>
          <w:p>
            <w:r/>
            <w:r>
              <w:rPr>
                <w:sz w:val="19"/>
              </w:rPr>
              <w:t>Medium</w:t>
            </w:r>
          </w:p>
        </w:tc>
        <w:tc>
          <w:tcPr>
            <w:tcW w:type="dxa" w:w="2835"/>
          </w:tcPr>
          <w:p>
            <w:r/>
            <w:r>
              <w:rPr>
                <w:sz w:val="19"/>
              </w:rPr>
              <w:t>Appropriate for development; production deployment would require a managed or replicated database with a backup policy</w:t>
            </w:r>
          </w:p>
        </w:tc>
      </w:tr>
      <w:tr>
        <w:tc>
          <w:tcPr>
            <w:tcW w:type="dxa" w:w="3685"/>
          </w:tcPr>
          <w:p>
            <w:r/>
            <w:r>
              <w:rPr>
                <w:sz w:val="19"/>
              </w:rPr>
              <w:t>Windows-oriented current configuration</w:t>
            </w:r>
          </w:p>
        </w:tc>
        <w:tc>
          <w:tcPr>
            <w:tcW w:type="dxa" w:w="1417"/>
          </w:tcPr>
          <w:p>
            <w:r/>
            <w:r>
              <w:rPr>
                <w:sz w:val="19"/>
              </w:rPr>
              <w:t>Low</w:t>
            </w:r>
          </w:p>
        </w:tc>
        <w:tc>
          <w:tcPr>
            <w:tcW w:type="dxa" w:w="2835"/>
          </w:tcPr>
          <w:p>
            <w:r/>
            <w:r>
              <w:rPr>
                <w:sz w:val="19"/>
              </w:rPr>
              <w:t>Configuration values (such as proxy target resolution) are isolated to a small number of files and are documented for adaptation to other environments</w:t>
            </w:r>
          </w:p>
        </w:tc>
      </w:tr>
    </w:tbl>
    <w:p>
      <w:pPr>
        <w:spacing w:after="80"/>
      </w:pPr>
    </w:p>
    <w:p>
      <w:r>
        <w:br w:type="page"/>
      </w:r>
    </w:p>
    <w:p>
      <w:pPr>
        <w:pStyle w:val="Heading1"/>
      </w:pPr>
      <w:r>
        <w:rPr>
          <w:b/>
          <w:color w:val="E8B600"/>
        </w:rPr>
        <w:t xml:space="preserve">17  </w:t>
      </w:r>
      <w:r>
        <w:t>Future Enhancements and Roadmap</w:t>
      </w:r>
    </w:p>
    <w:p>
      <w:pPr>
        <w:spacing w:after="160"/>
      </w:pPr>
      <w:r>
        <w:rPr>
          <w:b w:val="0"/>
          <w:i w:val="0"/>
          <w:sz w:val="22"/>
        </w:rPr>
        <w:t>The following items are identified as natural extensions beyond the current scope, in approximate order of expected value:</w:t>
      </w:r>
    </w:p>
    <w:p>
      <w:pPr>
        <w:pStyle w:val="ListNumber"/>
        <w:spacing w:after="80"/>
      </w:pPr>
      <w:r>
        <w:t>Automated test coverage (unit tests for the OCR core, integration tests for the API) to complement the manual test scenarios.</w:t>
      </w:r>
    </w:p>
    <w:p>
      <w:pPr>
        <w:pStyle w:val="ListNumber"/>
        <w:spacing w:after="80"/>
      </w:pPr>
      <w:r>
        <w:t>Administrative account provisioning workflow, and optionally a self-service registration flow with email verification.</w:t>
      </w:r>
    </w:p>
    <w:p>
      <w:pPr>
        <w:pStyle w:val="ListNumber"/>
        <w:spacing w:after="80"/>
      </w:pPr>
      <w:r>
        <w:t>Structured field extraction (e.g. invoice or identity-document fields) built on top of the existing free-text transcription capability.</w:t>
      </w:r>
    </w:p>
    <w:p>
      <w:pPr>
        <w:pStyle w:val="ListNumber"/>
        <w:spacing w:after="80"/>
      </w:pPr>
      <w:r>
        <w:t>Integration with EY's internal identity provider for single sign-on.</w:t>
      </w:r>
    </w:p>
    <w:p>
      <w:pPr>
        <w:pStyle w:val="ListNumber"/>
        <w:spacing w:after="80"/>
      </w:pPr>
      <w:r>
        <w:t>Production deployment hardening: HTTPS termination, rate limiting, containerization, and a managed, replicated MongoDB instance.</w:t>
      </w:r>
    </w:p>
    <w:p>
      <w:pPr>
        <w:pStyle w:val="ListNumber"/>
        <w:spacing w:after="80"/>
      </w:pPr>
      <w:r>
        <w:t>Expanded language support beyond French, English, and Arabic.</w:t>
      </w:r>
    </w:p>
    <w:p>
      <w:pPr>
        <w:pStyle w:val="ListNumber"/>
        <w:spacing w:after="80"/>
      </w:pPr>
      <w:r>
        <w:t>A formal, corpus-based accuracy benchmark comparing all three recognition modes, published alongside this specification as a companion evaluation report.</w:t>
      </w:r>
    </w:p>
    <w:p>
      <w:pPr>
        <w:pStyle w:val="ListNumber"/>
        <w:spacing w:after="80"/>
      </w:pPr>
      <w:r>
        <w:t>Batch processing of multiple documents in a single submission.</w:t>
      </w:r>
    </w:p>
    <w:p>
      <w:r>
        <w:br w:type="page"/>
      </w:r>
    </w:p>
    <w:p>
      <w:pPr>
        <w:pStyle w:val="Heading1"/>
      </w:pPr>
      <w:r>
        <w:rPr>
          <w:b/>
          <w:color w:val="E8B600"/>
        </w:rPr>
        <w:t xml:space="preserve">18  </w:t>
      </w:r>
      <w:r>
        <w:t>Glossary</w:t>
      </w:r>
    </w:p>
    <w:tbl>
      <w:tblPr>
        <w:tblStyle w:val="TableGrid"/>
        <w:tblW w:type="auto" w:w="0"/>
        <w:jc w:val="center"/>
        <w:tblLook w:firstColumn="1" w:firstRow="1" w:lastColumn="0" w:lastRow="0" w:noHBand="0" w:noVBand="1" w:val="04A0"/>
      </w:tblPr>
      <w:tblGrid>
        <w:gridCol w:w="4703"/>
        <w:gridCol w:w="4703"/>
      </w:tblGrid>
      <w:tr>
        <w:tc>
          <w:tcPr>
            <w:tcW w:type="dxa" w:w="1701"/>
            <w:shd w:val="clear" w:color="auto" w:fill="2E2E38"/>
          </w:tcPr>
          <w:p>
            <w:r/>
            <w:r>
              <w:rPr>
                <w:b/>
                <w:color w:val="FFFFFF"/>
                <w:sz w:val="20"/>
              </w:rPr>
              <w:t>Term</w:t>
            </w:r>
          </w:p>
        </w:tc>
        <w:tc>
          <w:tcPr>
            <w:tcW w:type="dxa" w:w="6236"/>
            <w:shd w:val="clear" w:color="auto" w:fill="2E2E38"/>
          </w:tcPr>
          <w:p>
            <w:r/>
            <w:r>
              <w:rPr>
                <w:b/>
                <w:color w:val="FFFFFF"/>
                <w:sz w:val="20"/>
              </w:rPr>
              <w:t>Definition</w:t>
            </w:r>
          </w:p>
        </w:tc>
      </w:tr>
      <w:tr>
        <w:tc>
          <w:tcPr>
            <w:tcW w:type="dxa" w:w="1701"/>
          </w:tcPr>
          <w:p>
            <w:r/>
            <w:r>
              <w:rPr>
                <w:sz w:val="19"/>
              </w:rPr>
              <w:t>OCR</w:t>
            </w:r>
          </w:p>
        </w:tc>
        <w:tc>
          <w:tcPr>
            <w:tcW w:type="dxa" w:w="6236"/>
          </w:tcPr>
          <w:p>
            <w:r/>
            <w:r>
              <w:rPr>
                <w:sz w:val="19"/>
              </w:rPr>
              <w:t>Optical Character Recognition — the automated extraction of text from images</w:t>
            </w:r>
          </w:p>
        </w:tc>
      </w:tr>
      <w:tr>
        <w:tc>
          <w:tcPr>
            <w:tcW w:type="dxa" w:w="1701"/>
          </w:tcPr>
          <w:p>
            <w:r/>
            <w:r>
              <w:rPr>
                <w:sz w:val="19"/>
              </w:rPr>
              <w:t>CER</w:t>
            </w:r>
          </w:p>
        </w:tc>
        <w:tc>
          <w:tcPr>
            <w:tcW w:type="dxa" w:w="6236"/>
          </w:tcPr>
          <w:p>
            <w:r/>
            <w:r>
              <w:rPr>
                <w:sz w:val="19"/>
              </w:rPr>
              <w:t>Character Error Rate — a measure of transcription accuracy at the character level</w:t>
            </w:r>
          </w:p>
        </w:tc>
      </w:tr>
      <w:tr>
        <w:tc>
          <w:tcPr>
            <w:tcW w:type="dxa" w:w="1701"/>
          </w:tcPr>
          <w:p>
            <w:r/>
            <w:r>
              <w:rPr>
                <w:sz w:val="19"/>
              </w:rPr>
              <w:t>WER</w:t>
            </w:r>
          </w:p>
        </w:tc>
        <w:tc>
          <w:tcPr>
            <w:tcW w:type="dxa" w:w="6236"/>
          </w:tcPr>
          <w:p>
            <w:r/>
            <w:r>
              <w:rPr>
                <w:sz w:val="19"/>
              </w:rPr>
              <w:t>Word Error Rate — a measure of transcription accuracy at the word level</w:t>
            </w:r>
          </w:p>
        </w:tc>
      </w:tr>
      <w:tr>
        <w:tc>
          <w:tcPr>
            <w:tcW w:type="dxa" w:w="1701"/>
          </w:tcPr>
          <w:p>
            <w:r/>
            <w:r>
              <w:rPr>
                <w:sz w:val="19"/>
              </w:rPr>
              <w:t>GenAI</w:t>
            </w:r>
          </w:p>
        </w:tc>
        <w:tc>
          <w:tcPr>
            <w:tcW w:type="dxa" w:w="6236"/>
          </w:tcPr>
          <w:p>
            <w:r/>
            <w:r>
              <w:rPr>
                <w:sz w:val="19"/>
              </w:rPr>
              <w:t>Generative Artificial Intelligence — AI models capable of producing novel content, here applied to vision-based text extraction</w:t>
            </w:r>
          </w:p>
        </w:tc>
      </w:tr>
      <w:tr>
        <w:tc>
          <w:tcPr>
            <w:tcW w:type="dxa" w:w="1701"/>
          </w:tcPr>
          <w:p>
            <w:r/>
            <w:r>
              <w:rPr>
                <w:sz w:val="19"/>
              </w:rPr>
              <w:t>JWT</w:t>
            </w:r>
          </w:p>
        </w:tc>
        <w:tc>
          <w:tcPr>
            <w:tcW w:type="dxa" w:w="6236"/>
          </w:tcPr>
          <w:p>
            <w:r/>
            <w:r>
              <w:rPr>
                <w:sz w:val="19"/>
              </w:rPr>
              <w:t>JSON Web Token — a compact, signed token format used for stateless authentication</w:t>
            </w:r>
          </w:p>
        </w:tc>
      </w:tr>
      <w:tr>
        <w:tc>
          <w:tcPr>
            <w:tcW w:type="dxa" w:w="1701"/>
          </w:tcPr>
          <w:p>
            <w:r/>
            <w:r>
              <w:rPr>
                <w:sz w:val="19"/>
              </w:rPr>
              <w:t>PBKDF2</w:t>
            </w:r>
          </w:p>
        </w:tc>
        <w:tc>
          <w:tcPr>
            <w:tcW w:type="dxa" w:w="6236"/>
          </w:tcPr>
          <w:p>
            <w:r/>
            <w:r>
              <w:rPr>
                <w:sz w:val="19"/>
              </w:rPr>
              <w:t>Password-Based Key Derivation Function 2 — a standard algorithm for securely hashing passwords</w:t>
            </w:r>
          </w:p>
        </w:tc>
      </w:tr>
      <w:tr>
        <w:tc>
          <w:tcPr>
            <w:tcW w:type="dxa" w:w="1701"/>
          </w:tcPr>
          <w:p>
            <w:r/>
            <w:r>
              <w:rPr>
                <w:sz w:val="19"/>
              </w:rPr>
              <w:t>RTL</w:t>
            </w:r>
          </w:p>
        </w:tc>
        <w:tc>
          <w:tcPr>
            <w:tcW w:type="dxa" w:w="6236"/>
          </w:tcPr>
          <w:p>
            <w:r/>
            <w:r>
              <w:rPr>
                <w:sz w:val="19"/>
              </w:rPr>
              <w:t>Right-to-Left — the reading and rendering direction required for Arabic script</w:t>
            </w:r>
          </w:p>
        </w:tc>
      </w:tr>
      <w:tr>
        <w:tc>
          <w:tcPr>
            <w:tcW w:type="dxa" w:w="1701"/>
          </w:tcPr>
          <w:p>
            <w:r/>
            <w:r>
              <w:rPr>
                <w:sz w:val="19"/>
              </w:rPr>
              <w:t>CLAHE</w:t>
            </w:r>
          </w:p>
        </w:tc>
        <w:tc>
          <w:tcPr>
            <w:tcW w:type="dxa" w:w="6236"/>
          </w:tcPr>
          <w:p>
            <w:r/>
            <w:r>
              <w:rPr>
                <w:sz w:val="19"/>
              </w:rPr>
              <w:t>Contrast Limited Adaptive Histogram Equalization — a local contrast enhancement technique</w:t>
            </w:r>
          </w:p>
        </w:tc>
      </w:tr>
      <w:tr>
        <w:tc>
          <w:tcPr>
            <w:tcW w:type="dxa" w:w="1701"/>
          </w:tcPr>
          <w:p>
            <w:r/>
            <w:r>
              <w:rPr>
                <w:sz w:val="19"/>
              </w:rPr>
              <w:t>SPA</w:t>
            </w:r>
          </w:p>
        </w:tc>
        <w:tc>
          <w:tcPr>
            <w:tcW w:type="dxa" w:w="6236"/>
          </w:tcPr>
          <w:p>
            <w:r/>
            <w:r>
              <w:rPr>
                <w:sz w:val="19"/>
              </w:rPr>
              <w:t>Single-Page Application — a web application that updates content dynamically without full page reloads</w:t>
            </w:r>
          </w:p>
        </w:tc>
      </w:tr>
      <w:tr>
        <w:tc>
          <w:tcPr>
            <w:tcW w:type="dxa" w:w="1701"/>
          </w:tcPr>
          <w:p>
            <w:r/>
            <w:r>
              <w:rPr>
                <w:sz w:val="19"/>
              </w:rPr>
              <w:t>API</w:t>
            </w:r>
          </w:p>
        </w:tc>
        <w:tc>
          <w:tcPr>
            <w:tcW w:type="dxa" w:w="6236"/>
          </w:tcPr>
          <w:p>
            <w:r/>
            <w:r>
              <w:rPr>
                <w:sz w:val="19"/>
              </w:rPr>
              <w:t>Application Programming Interface — the contract by which the frontend and backend communicate</w:t>
            </w:r>
          </w:p>
        </w:tc>
      </w:tr>
      <w:tr>
        <w:tc>
          <w:tcPr>
            <w:tcW w:type="dxa" w:w="1701"/>
          </w:tcPr>
          <w:p>
            <w:r/>
            <w:r>
              <w:rPr>
                <w:sz w:val="19"/>
              </w:rPr>
              <w:t>Hybrid mode</w:t>
            </w:r>
          </w:p>
        </w:tc>
        <w:tc>
          <w:tcPr>
            <w:tcW w:type="dxa" w:w="6236"/>
          </w:tcPr>
          <w:p>
            <w:r/>
            <w:r>
              <w:rPr>
                <w:sz w:val="19"/>
              </w:rPr>
              <w:t>Recognition strategy combining classical OCR output with generative AI post-correction</w:t>
            </w:r>
          </w:p>
        </w:tc>
      </w:tr>
      <w:tr>
        <w:tc>
          <w:tcPr>
            <w:tcW w:type="dxa" w:w="1701"/>
          </w:tcPr>
          <w:p>
            <w:r/>
            <w:r>
              <w:rPr>
                <w:sz w:val="19"/>
              </w:rPr>
              <w:t>Historique</w:t>
            </w:r>
          </w:p>
        </w:tc>
        <w:tc>
          <w:tcPr>
            <w:tcW w:type="dxa" w:w="6236"/>
          </w:tcPr>
          <w:p>
            <w:r/>
            <w:r>
              <w:rPr>
                <w:sz w:val="19"/>
              </w:rPr>
              <w:t>The permanent, per-user, searchable record of previously processed documents</w:t>
            </w:r>
          </w:p>
        </w:tc>
      </w:tr>
    </w:tbl>
    <w:p>
      <w:pPr>
        <w:spacing w:after="80"/>
      </w:pPr>
    </w:p>
    <w:p>
      <w:r>
        <w:br w:type="page"/>
      </w:r>
    </w:p>
    <w:p>
      <w:pPr>
        <w:pStyle w:val="Heading1"/>
      </w:pPr>
      <w:r>
        <w:t>Appendix A — Environment Variables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val="clear" w:color="auto" w:fill="2E2E38"/>
          </w:tcPr>
          <w:p>
            <w:r/>
            <w:r>
              <w:rPr>
                <w:b/>
                <w:color w:val="FFFFFF"/>
                <w:sz w:val="20"/>
              </w:rPr>
              <w:t>Variable</w:t>
            </w:r>
          </w:p>
        </w:tc>
        <w:tc>
          <w:tcPr>
            <w:tcW w:type="dxa" w:w="2835"/>
            <w:shd w:val="clear" w:color="auto" w:fill="2E2E38"/>
          </w:tcPr>
          <w:p>
            <w:r/>
            <w:r>
              <w:rPr>
                <w:b/>
                <w:color w:val="FFFFFF"/>
                <w:sz w:val="20"/>
              </w:rPr>
              <w:t>Default</w:t>
            </w:r>
          </w:p>
        </w:tc>
        <w:tc>
          <w:tcPr>
            <w:tcW w:type="dxa" w:w="3118"/>
            <w:shd w:val="clear" w:color="auto" w:fill="2E2E38"/>
          </w:tcPr>
          <w:p>
            <w:r/>
            <w:r>
              <w:rPr>
                <w:b/>
                <w:color w:val="FFFFFF"/>
                <w:sz w:val="20"/>
              </w:rPr>
              <w:t>Purpose</w:t>
            </w:r>
          </w:p>
        </w:tc>
      </w:tr>
      <w:tr>
        <w:tc>
          <w:tcPr>
            <w:tcW w:type="dxa" w:w="1984"/>
          </w:tcPr>
          <w:p>
            <w:r/>
            <w:r>
              <w:rPr>
                <w:sz w:val="19"/>
              </w:rPr>
              <w:t>GROQ_API_KEY</w:t>
            </w:r>
          </w:p>
        </w:tc>
        <w:tc>
          <w:tcPr>
            <w:tcW w:type="dxa" w:w="2835"/>
          </w:tcPr>
          <w:p>
            <w:r/>
            <w:r>
              <w:rPr>
                <w:sz w:val="19"/>
              </w:rPr>
              <w:t>(required)</w:t>
            </w:r>
          </w:p>
        </w:tc>
        <w:tc>
          <w:tcPr>
            <w:tcW w:type="dxa" w:w="3118"/>
          </w:tcPr>
          <w:p>
            <w:r/>
            <w:r>
              <w:rPr>
                <w:sz w:val="19"/>
              </w:rPr>
              <w:t>Groq API key used for all generative AI calls</w:t>
            </w:r>
          </w:p>
        </w:tc>
      </w:tr>
      <w:tr>
        <w:tc>
          <w:tcPr>
            <w:tcW w:type="dxa" w:w="1984"/>
          </w:tcPr>
          <w:p>
            <w:r/>
            <w:r>
              <w:rPr>
                <w:sz w:val="19"/>
              </w:rPr>
              <w:t>OCR_MODEL</w:t>
            </w:r>
          </w:p>
        </w:tc>
        <w:tc>
          <w:tcPr>
            <w:tcW w:type="dxa" w:w="2835"/>
          </w:tcPr>
          <w:p>
            <w:r/>
            <w:r>
              <w:rPr>
                <w:sz w:val="19"/>
              </w:rPr>
              <w:t>meta-llama/llama-4-scout-17b-16e-instruct</w:t>
            </w:r>
          </w:p>
        </w:tc>
        <w:tc>
          <w:tcPr>
            <w:tcW w:type="dxa" w:w="3118"/>
          </w:tcPr>
          <w:p>
            <w:r/>
            <w:r>
              <w:rPr>
                <w:sz w:val="19"/>
              </w:rPr>
              <w:t>Vision model used for extraction and correction</w:t>
            </w:r>
          </w:p>
        </w:tc>
      </w:tr>
      <w:tr>
        <w:tc>
          <w:tcPr>
            <w:tcW w:type="dxa" w:w="1984"/>
          </w:tcPr>
          <w:p>
            <w:r/>
            <w:r>
              <w:rPr>
                <w:sz w:val="19"/>
              </w:rPr>
              <w:t>OCR_MAX_TOKENS</w:t>
            </w:r>
          </w:p>
        </w:tc>
        <w:tc>
          <w:tcPr>
            <w:tcW w:type="dxa" w:w="2835"/>
          </w:tcPr>
          <w:p>
            <w:r/>
            <w:r>
              <w:rPr>
                <w:sz w:val="19"/>
              </w:rPr>
              <w:t>8000</w:t>
            </w:r>
          </w:p>
        </w:tc>
        <w:tc>
          <w:tcPr>
            <w:tcW w:type="dxa" w:w="3118"/>
          </w:tcPr>
          <w:p>
            <w:r/>
            <w:r>
              <w:rPr>
                <w:sz w:val="19"/>
              </w:rPr>
              <w:t>Maximum completion tokens per generative AI call</w:t>
            </w:r>
          </w:p>
        </w:tc>
      </w:tr>
      <w:tr>
        <w:tc>
          <w:tcPr>
            <w:tcW w:type="dxa" w:w="1984"/>
          </w:tcPr>
          <w:p>
            <w:r/>
            <w:r>
              <w:rPr>
                <w:sz w:val="19"/>
              </w:rPr>
              <w:t>MONGODB_URI</w:t>
            </w:r>
          </w:p>
        </w:tc>
        <w:tc>
          <w:tcPr>
            <w:tcW w:type="dxa" w:w="2835"/>
          </w:tcPr>
          <w:p>
            <w:r/>
            <w:r>
              <w:rPr>
                <w:sz w:val="19"/>
              </w:rPr>
              <w:t>mongodb://localhost:27017</w:t>
            </w:r>
          </w:p>
        </w:tc>
        <w:tc>
          <w:tcPr>
            <w:tcW w:type="dxa" w:w="3118"/>
          </w:tcPr>
          <w:p>
            <w:r/>
            <w:r>
              <w:rPr>
                <w:sz w:val="19"/>
              </w:rPr>
              <w:t>MongoDB connection string</w:t>
            </w:r>
          </w:p>
        </w:tc>
      </w:tr>
      <w:tr>
        <w:tc>
          <w:tcPr>
            <w:tcW w:type="dxa" w:w="1984"/>
          </w:tcPr>
          <w:p>
            <w:r/>
            <w:r>
              <w:rPr>
                <w:sz w:val="19"/>
              </w:rPr>
              <w:t>MONGODB_DB</w:t>
            </w:r>
          </w:p>
        </w:tc>
        <w:tc>
          <w:tcPr>
            <w:tcW w:type="dxa" w:w="2835"/>
          </w:tcPr>
          <w:p>
            <w:r/>
            <w:r>
              <w:rPr>
                <w:sz w:val="19"/>
              </w:rPr>
              <w:t>ey_ocr</w:t>
            </w:r>
          </w:p>
        </w:tc>
        <w:tc>
          <w:tcPr>
            <w:tcW w:type="dxa" w:w="3118"/>
          </w:tcPr>
          <w:p>
            <w:r/>
            <w:r>
              <w:rPr>
                <w:sz w:val="19"/>
              </w:rPr>
              <w:t>Database name</w:t>
            </w:r>
          </w:p>
        </w:tc>
      </w:tr>
      <w:tr>
        <w:tc>
          <w:tcPr>
            <w:tcW w:type="dxa" w:w="1984"/>
          </w:tcPr>
          <w:p>
            <w:r/>
            <w:r>
              <w:rPr>
                <w:sz w:val="19"/>
              </w:rPr>
              <w:t>JWT_SECRET</w:t>
            </w:r>
          </w:p>
        </w:tc>
        <w:tc>
          <w:tcPr>
            <w:tcW w:type="dxa" w:w="2835"/>
          </w:tcPr>
          <w:p>
            <w:r/>
            <w:r>
              <w:rPr>
                <w:sz w:val="19"/>
              </w:rPr>
              <w:t>(random per install)</w:t>
            </w:r>
          </w:p>
        </w:tc>
        <w:tc>
          <w:tcPr>
            <w:tcW w:type="dxa" w:w="3118"/>
          </w:tcPr>
          <w:p>
            <w:r/>
            <w:r>
              <w:rPr>
                <w:sz w:val="19"/>
              </w:rPr>
              <w:t>HMAC signing secret for access tokens</w:t>
            </w:r>
          </w:p>
        </w:tc>
      </w:tr>
      <w:tr>
        <w:tc>
          <w:tcPr>
            <w:tcW w:type="dxa" w:w="1984"/>
          </w:tcPr>
          <w:p>
            <w:r/>
            <w:r>
              <w:rPr>
                <w:sz w:val="19"/>
              </w:rPr>
              <w:t>DEFAULT_USER_EMAIL</w:t>
            </w:r>
          </w:p>
        </w:tc>
        <w:tc>
          <w:tcPr>
            <w:tcW w:type="dxa" w:w="2835"/>
          </w:tcPr>
          <w:p>
            <w:r/>
            <w:r>
              <w:rPr>
                <w:sz w:val="19"/>
              </w:rPr>
              <w:t>raedbouhali@gmail.com</w:t>
            </w:r>
          </w:p>
        </w:tc>
        <w:tc>
          <w:tcPr>
            <w:tcW w:type="dxa" w:w="3118"/>
          </w:tcPr>
          <w:p>
            <w:r/>
            <w:r>
              <w:rPr>
                <w:sz w:val="19"/>
              </w:rPr>
              <w:t>Seeded account email</w:t>
            </w:r>
          </w:p>
        </w:tc>
      </w:tr>
      <w:tr>
        <w:tc>
          <w:tcPr>
            <w:tcW w:type="dxa" w:w="1984"/>
          </w:tcPr>
          <w:p>
            <w:r/>
            <w:r>
              <w:rPr>
                <w:sz w:val="19"/>
              </w:rPr>
              <w:t>DEFAULT_USER_PASSWORD</w:t>
            </w:r>
          </w:p>
        </w:tc>
        <w:tc>
          <w:tcPr>
            <w:tcW w:type="dxa" w:w="2835"/>
          </w:tcPr>
          <w:p>
            <w:r/>
            <w:r>
              <w:rPr>
                <w:sz w:val="19"/>
              </w:rPr>
              <w:t>raed</w:t>
            </w:r>
          </w:p>
        </w:tc>
        <w:tc>
          <w:tcPr>
            <w:tcW w:type="dxa" w:w="3118"/>
          </w:tcPr>
          <w:p>
            <w:r/>
            <w:r>
              <w:rPr>
                <w:sz w:val="19"/>
              </w:rPr>
              <w:t>Seeded account password</w:t>
            </w:r>
          </w:p>
        </w:tc>
      </w:tr>
      <w:tr>
        <w:tc>
          <w:tcPr>
            <w:tcW w:type="dxa" w:w="1984"/>
          </w:tcPr>
          <w:p>
            <w:r/>
            <w:r>
              <w:rPr>
                <w:sz w:val="19"/>
              </w:rPr>
              <w:t>DEFAULT_USER_NAME</w:t>
            </w:r>
          </w:p>
        </w:tc>
        <w:tc>
          <w:tcPr>
            <w:tcW w:type="dxa" w:w="2835"/>
          </w:tcPr>
          <w:p>
            <w:r/>
            <w:r>
              <w:rPr>
                <w:sz w:val="19"/>
              </w:rPr>
              <w:t>Raed Bouhali</w:t>
            </w:r>
          </w:p>
        </w:tc>
        <w:tc>
          <w:tcPr>
            <w:tcW w:type="dxa" w:w="3118"/>
          </w:tcPr>
          <w:p>
            <w:r/>
            <w:r>
              <w:rPr>
                <w:sz w:val="19"/>
              </w:rPr>
              <w:t>Seeded account display name</w:t>
            </w:r>
          </w:p>
        </w:tc>
      </w:tr>
    </w:tbl>
    <w:p>
      <w:pPr>
        <w:spacing w:after="80"/>
      </w:pPr>
    </w:p>
    <w:p>
      <w:r>
        <w:br w:type="page"/>
      </w:r>
    </w:p>
    <w:p>
      <w:pPr>
        <w:pStyle w:val="Heading1"/>
      </w:pPr>
      <w:r>
        <w:t>Appendix B — Project File Structure</w:t>
      </w:r>
    </w:p>
    <w:tbl>
      <w:tblPr>
        <w:tblStyle w:val="TableGrid"/>
        <w:tblW w:type="auto" w:w="0"/>
        <w:tblLook w:firstColumn="1" w:firstRow="1" w:lastColumn="0" w:lastRow="0" w:noHBand="0" w:noVBand="1" w:val="04A0"/>
      </w:tblPr>
      <w:tblGrid>
        <w:gridCol w:w="9406"/>
      </w:tblGrid>
      <w:tr>
        <w:tc>
          <w:tcPr>
            <w:tcW w:type="dxa" w:w="9406"/>
            <w:shd w:val="clear" w:color="auto" w:fill="1A1A24"/>
          </w:tcPr>
          <w:p>
            <w:pPr>
              <w:spacing w:after="0"/>
            </w:pPr>
            <w:r/>
            <w:r>
              <w:rPr>
                <w:rFonts w:ascii="Consolas" w:hAnsi="Consolas"/>
                <w:color w:val="E8E8F0"/>
                <w:sz w:val="17"/>
              </w:rPr>
              <w:t>OCR/</w:t>
            </w:r>
          </w:p>
          <w:p>
            <w:pPr>
              <w:spacing w:after="0"/>
            </w:pPr>
            <w:r>
              <w:rPr>
                <w:rFonts w:ascii="Consolas" w:hAnsi="Consolas"/>
                <w:color w:val="E8E8F0"/>
                <w:sz w:val="17"/>
              </w:rPr>
              <w:t>|-- src/                    OCR core (backend, Streamlit, and CLI share it)</w:t>
            </w:r>
          </w:p>
          <w:p>
            <w:pPr>
              <w:spacing w:after="0"/>
            </w:pPr>
            <w:r>
              <w:rPr>
                <w:rFonts w:ascii="Consolas" w:hAnsi="Consolas"/>
                <w:color w:val="E8E8F0"/>
                <w:sz w:val="17"/>
              </w:rPr>
              <w:t>|   |-- config.py             env vars, model name, supported languages</w:t>
            </w:r>
          </w:p>
          <w:p>
            <w:pPr>
              <w:spacing w:after="0"/>
            </w:pPr>
            <w:r>
              <w:rPr>
                <w:rFonts w:ascii="Consolas" w:hAnsi="Consolas"/>
                <w:color w:val="E8E8F0"/>
                <w:sz w:val="17"/>
              </w:rPr>
              <w:t>|   |-- preprocessing.py      OpenCV enhancement pipeline</w:t>
            </w:r>
          </w:p>
          <w:p>
            <w:pPr>
              <w:spacing w:after="0"/>
            </w:pPr>
            <w:r>
              <w:rPr>
                <w:rFonts w:ascii="Consolas" w:hAnsi="Consolas"/>
                <w:color w:val="E8E8F0"/>
                <w:sz w:val="17"/>
              </w:rPr>
              <w:t>|   |-- genai_ocr.py          GroqOCR - vision extraction + correction</w:t>
            </w:r>
          </w:p>
          <w:p>
            <w:pPr>
              <w:spacing w:after="0"/>
            </w:pPr>
            <w:r>
              <w:rPr>
                <w:rFonts w:ascii="Consolas" w:hAnsi="Consolas"/>
                <w:color w:val="E8E8F0"/>
                <w:sz w:val="17"/>
              </w:rPr>
              <w:t>|   |-- ocr_engine.py         optional Tesseract baseline</w:t>
            </w:r>
          </w:p>
          <w:p>
            <w:pPr>
              <w:spacing w:after="0"/>
            </w:pPr>
            <w:r>
              <w:rPr>
                <w:rFonts w:ascii="Consolas" w:hAnsi="Consolas"/>
                <w:color w:val="E8E8F0"/>
                <w:sz w:val="17"/>
              </w:rPr>
              <w:t>|   |-- language.py           FR/EN/AR detection, RTL helpers</w:t>
            </w:r>
          </w:p>
          <w:p>
            <w:pPr>
              <w:spacing w:after="0"/>
            </w:pPr>
            <w:r>
              <w:rPr>
                <w:rFonts w:ascii="Consolas" w:hAnsi="Consolas"/>
                <w:color w:val="E8E8F0"/>
                <w:sz w:val="17"/>
              </w:rPr>
              <w:t>|   |-- evaluation.py         CER / WER metrics</w:t>
            </w:r>
          </w:p>
          <w:p>
            <w:pPr>
              <w:spacing w:after="0"/>
            </w:pPr>
            <w:r>
              <w:rPr>
                <w:rFonts w:ascii="Consolas" w:hAnsi="Consolas"/>
                <w:color w:val="E8E8F0"/>
                <w:sz w:val="17"/>
              </w:rPr>
              <w:t>|   `-- pipeline.py           end-to-end orchestration</w:t>
            </w:r>
          </w:p>
          <w:p>
            <w:pPr>
              <w:spacing w:after="0"/>
            </w:pPr>
            <w:r>
              <w:rPr>
                <w:rFonts w:ascii="Consolas" w:hAnsi="Consolas"/>
                <w:color w:val="E8E8F0"/>
                <w:sz w:val="17"/>
              </w:rPr>
              <w:t>|</w:t>
            </w:r>
          </w:p>
          <w:p>
            <w:pPr>
              <w:spacing w:after="0"/>
            </w:pPr>
            <w:r>
              <w:rPr>
                <w:rFonts w:ascii="Consolas" w:hAnsi="Consolas"/>
                <w:color w:val="E8E8F0"/>
                <w:sz w:val="17"/>
              </w:rPr>
              <w:t>|-- backend/                 FastAPI REST API</w:t>
            </w:r>
          </w:p>
          <w:p>
            <w:pPr>
              <w:spacing w:after="0"/>
            </w:pPr>
            <w:r>
              <w:rPr>
                <w:rFonts w:ascii="Consolas" w:hAnsi="Consolas"/>
                <w:color w:val="E8E8F0"/>
                <w:sz w:val="17"/>
              </w:rPr>
              <w:t>|   |-- main.py                app factory, CORS, user seeding</w:t>
            </w:r>
          </w:p>
          <w:p>
            <w:pPr>
              <w:spacing w:after="0"/>
            </w:pPr>
            <w:r>
              <w:rPr>
                <w:rFonts w:ascii="Consolas" w:hAnsi="Consolas"/>
                <w:color w:val="E8E8F0"/>
                <w:sz w:val="17"/>
              </w:rPr>
              <w:t>|   |-- db.py                  MongoDB connection</w:t>
            </w:r>
          </w:p>
          <w:p>
            <w:pPr>
              <w:spacing w:after="0"/>
            </w:pPr>
            <w:r>
              <w:rPr>
                <w:rFonts w:ascii="Consolas" w:hAnsi="Consolas"/>
                <w:color w:val="E8E8F0"/>
                <w:sz w:val="17"/>
              </w:rPr>
              <w:t>|   |-- security.py            PBKDF2 hashing + JWT</w:t>
            </w:r>
          </w:p>
          <w:p>
            <w:pPr>
              <w:spacing w:after="0"/>
            </w:pPr>
            <w:r>
              <w:rPr>
                <w:rFonts w:ascii="Consolas" w:hAnsi="Consolas"/>
                <w:color w:val="E8E8F0"/>
                <w:sz w:val="17"/>
              </w:rPr>
              <w:t>|   |-- schemas.py             Pydantic models</w:t>
            </w:r>
          </w:p>
          <w:p>
            <w:pPr>
              <w:spacing w:after="0"/>
            </w:pPr>
            <w:r>
              <w:rPr>
                <w:rFonts w:ascii="Consolas" w:hAnsi="Consolas"/>
                <w:color w:val="E8E8F0"/>
                <w:sz w:val="17"/>
              </w:rPr>
              <w:t>|   |-- routes_auth.py         /api/auth/*</w:t>
            </w:r>
          </w:p>
          <w:p>
            <w:pPr>
              <w:spacing w:after="0"/>
            </w:pPr>
            <w:r>
              <w:rPr>
                <w:rFonts w:ascii="Consolas" w:hAnsi="Consolas"/>
                <w:color w:val="E8E8F0"/>
                <w:sz w:val="17"/>
              </w:rPr>
              <w:t>|   `-- routes_ocr.py          /api/meta, /api/ocr, /api/history*</w:t>
            </w:r>
          </w:p>
          <w:p>
            <w:pPr>
              <w:spacing w:after="0"/>
            </w:pPr>
            <w:r>
              <w:rPr>
                <w:rFonts w:ascii="Consolas" w:hAnsi="Consolas"/>
                <w:color w:val="E8E8F0"/>
                <w:sz w:val="17"/>
              </w:rPr>
              <w:t>|</w:t>
            </w:r>
          </w:p>
          <w:p>
            <w:pPr>
              <w:spacing w:after="0"/>
            </w:pPr>
            <w:r>
              <w:rPr>
                <w:rFonts w:ascii="Consolas" w:hAnsi="Consolas"/>
                <w:color w:val="E8E8F0"/>
                <w:sz w:val="17"/>
              </w:rPr>
              <w:t>|-- frontend/                React 18 + Vite 6 SPA</w:t>
            </w:r>
          </w:p>
          <w:p>
            <w:pPr>
              <w:spacing w:after="0"/>
            </w:pPr>
            <w:r>
              <w:rPr>
                <w:rFonts w:ascii="Consolas" w:hAnsi="Consolas"/>
                <w:color w:val="E8E8F0"/>
                <w:sz w:val="17"/>
              </w:rPr>
              <w:t>|   `-- src/</w:t>
            </w:r>
          </w:p>
          <w:p>
            <w:pPr>
              <w:spacing w:after="0"/>
            </w:pPr>
            <w:r>
              <w:rPr>
                <w:rFonts w:ascii="Consolas" w:hAnsi="Consolas"/>
                <w:color w:val="E8E8F0"/>
                <w:sz w:val="17"/>
              </w:rPr>
              <w:t>|       |-- App.jsx              auth gate + client-side router</w:t>
            </w:r>
          </w:p>
          <w:p>
            <w:pPr>
              <w:spacing w:after="0"/>
            </w:pPr>
            <w:r>
              <w:rPr>
                <w:rFonts w:ascii="Consolas" w:hAnsi="Consolas"/>
                <w:color w:val="E8E8F0"/>
                <w:sz w:val="17"/>
              </w:rPr>
              <w:t>|       |-- api.js               fetch wrapper, JWT storage</w:t>
            </w:r>
          </w:p>
          <w:p>
            <w:pPr>
              <w:spacing w:after="0"/>
            </w:pPr>
            <w:r>
              <w:rPr>
                <w:rFonts w:ascii="Consolas" w:hAnsi="Consolas"/>
                <w:color w:val="E8E8F0"/>
                <w:sz w:val="17"/>
              </w:rPr>
              <w:t>|       |-- styles.css           EY design system</w:t>
            </w:r>
          </w:p>
          <w:p>
            <w:pPr>
              <w:spacing w:after="0"/>
            </w:pPr>
            <w:r>
              <w:rPr>
                <w:rFonts w:ascii="Consolas" w:hAnsi="Consolas"/>
                <w:color w:val="E8E8F0"/>
                <w:sz w:val="17"/>
              </w:rPr>
              <w:t>|       |-- pages/               Login, Dashboard, HistoryPage</w:t>
            </w:r>
          </w:p>
          <w:p>
            <w:pPr>
              <w:spacing w:after="0"/>
            </w:pPr>
            <w:r>
              <w:rPr>
                <w:rFonts w:ascii="Consolas" w:hAnsi="Consolas"/>
                <w:color w:val="E8E8F0"/>
                <w:sz w:val="17"/>
              </w:rPr>
              <w:t>|       |-- components/          TopBar, AccountModal</w:t>
            </w:r>
          </w:p>
          <w:p>
            <w:pPr>
              <w:spacing w:after="0"/>
            </w:pPr>
            <w:r>
              <w:rPr>
                <w:rFonts w:ascii="Consolas" w:hAnsi="Consolas"/>
                <w:color w:val="E8E8F0"/>
                <w:sz w:val="17"/>
              </w:rPr>
              <w:t>|       `-- hooks/               useHistoryList</w:t>
            </w:r>
          </w:p>
          <w:p>
            <w:pPr>
              <w:spacing w:after="0"/>
            </w:pPr>
            <w:r>
              <w:rPr>
                <w:rFonts w:ascii="Consolas" w:hAnsi="Consolas"/>
                <w:color w:val="E8E8F0"/>
                <w:sz w:val="17"/>
              </w:rPr>
              <w:t>|</w:t>
            </w:r>
          </w:p>
          <w:p>
            <w:pPr>
              <w:spacing w:after="0"/>
            </w:pPr>
            <w:r>
              <w:rPr>
                <w:rFonts w:ascii="Consolas" w:hAnsi="Consolas"/>
                <w:color w:val="E8E8F0"/>
                <w:sz w:val="17"/>
              </w:rPr>
              <w:t>|-- app.py                   Streamlit prototype</w:t>
            </w:r>
          </w:p>
          <w:p>
            <w:pPr>
              <w:spacing w:after="0"/>
            </w:pPr>
            <w:r>
              <w:rPr>
                <w:rFonts w:ascii="Consolas" w:hAnsi="Consolas"/>
                <w:color w:val="E8E8F0"/>
                <w:sz w:val="17"/>
              </w:rPr>
              <w:t>|-- cli.py                   command-line interface</w:t>
            </w:r>
          </w:p>
          <w:p>
            <w:pPr>
              <w:spacing w:after="0"/>
            </w:pPr>
            <w:r>
              <w:rPr>
                <w:rFonts w:ascii="Consolas" w:hAnsi="Consolas"/>
                <w:color w:val="E8E8F0"/>
                <w:sz w:val="17"/>
              </w:rPr>
              <w:t>`-- requirements.txt          Python dependencies</w:t>
            </w:r>
          </w:p>
        </w:tc>
      </w:tr>
    </w:tbl>
    <w:p>
      <w:pPr>
        <w:spacing w:after="80"/>
      </w:pPr>
    </w:p>
    <w:p>
      <w:pPr>
        <w:spacing w:after="160"/>
        <w:jc w:val="center"/>
      </w:pPr>
      <w:r>
        <w:rPr>
          <w:b w:val="0"/>
          <w:i/>
          <w:color w:val="595966"/>
          <w:sz w:val="22"/>
        </w:rPr>
        <w:t>— End of document —</w:t>
      </w:r>
    </w:p>
    <w:sectPr w:rsidR="00FC693F" w:rsidRPr="0006063C" w:rsidSect="00034616">
      <w:footerReference w:type="default" r:id="rId10"/>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66"/>
        <w:sz w:val="17"/>
      </w:rPr>
      <w:t xml:space="preserve">EY Internal — Confidential  |  Intelligent OCR Specification  |  Page </w:t>
    </w:r>
    <w:r>
      <w:rPr>
        <w:color w:val="595966"/>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80"/>
      <w:outlineLvl w:val="0"/>
    </w:pPr>
    <w:rPr>
      <w:rFonts w:asciiTheme="majorHAnsi" w:eastAsiaTheme="majorEastAsia" w:hAnsiTheme="majorHAnsi" w:cstheme="majorBidi" w:ascii="Calibri" w:hAnsi="Calibri"/>
      <w:b/>
      <w:bCs/>
      <w:color w:val="2E2E38"/>
      <w:sz w:val="40"/>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2E2E38"/>
      <w:sz w:val="29"/>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59596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