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Executive Summary</w:t>
      </w:r>
    </w:p>
    <w:p>
      <w:pPr>
        <w:spacing w:after="300"/>
      </w:pPr>
      <w:r>
        <w:rPr>
          <w:i/>
          <w:iCs/>
          <w:color w:val="2E5C8A"/>
          <w:sz w:val="24"/>
          <w:szCs w:val="24"/>
        </w:rPr>
        <w:t xml:space="preserve">Instructor Performance &amp; Course Quality Evaluation — EduPro Online Platform</w:t>
      </w:r>
    </w:p>
    <w:p>
      <w:pPr>
        <w:spacing w:after="150"/>
      </w:pPr>
      <w:r>
        <w:rPr>
          <w:sz w:val="22"/>
          <w:szCs w:val="22"/>
        </w:rPr>
        <w:t xml:space="preserve">EduPro analyzed 60 instructors, 60 courses, and 10,000 enrollment transactions to build a data-driven framework for evaluating teaching quality and course success. This summary presents the findings most relevant to platform strategy and investment decisions.</w:t>
      </w:r>
    </w:p>
    <w:p>
      <w:pPr>
        <w:pStyle w:val="Heading1"/>
        <w:spacing w:after="150" w:before="300"/>
      </w:pPr>
      <w:r>
        <w:t xml:space="preserve">Bottom Line</w:t>
      </w:r>
    </w:p>
    <w:p>
      <w:pPr>
        <w:spacing w:after="150"/>
      </w:pPr>
      <w:r>
        <w:rPr>
          <w:sz w:val="22"/>
          <w:szCs w:val="22"/>
        </w:rPr>
        <w:t xml:space="preserve">Instructor experience and instructor rating do not reliably predict course quality on EduPro today. This is the single most important finding of the analysis and should directly inform where EduPro invests in quality improvement.</w:t>
      </w:r>
    </w:p>
    <w:p>
      <w:pPr>
        <w:pStyle w:val="Heading1"/>
        <w:spacing w:after="150" w:before="300"/>
      </w:pPr>
      <w:r>
        <w:t xml:space="preserve">Key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B57" w:val="clear"/>
          </w:tcPr>
          <w:p>
            <w:r>
              <w:rPr>
                <w:b/>
                <w:bCs/>
                <w:color w:val="FFFFFF"/>
                <w:sz w:val="19"/>
                <w:szCs w:val="19"/>
              </w:rPr>
              <w:t xml:space="preserve">Metric</w:t>
            </w:r>
          </w:p>
        </w:tc>
        <w:tc>
          <w:tcPr>
            <w:tcW w:type="dxa" w:w="3500"/>
            <w:shd w:fill="1F3B57" w:val="clear"/>
          </w:tcPr>
          <w:p>
            <w:r>
              <w:rPr>
                <w:b/>
                <w:bCs/>
                <w:color w:val="FFFFFF"/>
                <w:sz w:val="19"/>
                <w:szCs w:val="19"/>
              </w:rPr>
              <w:t xml:space="preserve">Value</w:t>
            </w:r>
          </w:p>
        </w:tc>
      </w:tr>
      <w:tr>
        <w:tc>
          <w:tcPr>
            <w:tcW w:type="dxa" w:w="5500"/>
            <w:shd w:fill="FFFFFF" w:val="clear"/>
          </w:tcPr>
          <w:p>
            <w:r>
              <w:rPr>
                <w:sz w:val="19"/>
                <w:szCs w:val="19"/>
              </w:rPr>
              <w:t xml:space="preserve">Average Instructor Rating</w:t>
            </w:r>
          </w:p>
        </w:tc>
        <w:tc>
          <w:tcPr>
            <w:tcW w:type="dxa" w:w="3500"/>
            <w:shd w:fill="FFFFFF" w:val="clear"/>
          </w:tcPr>
          <w:p>
            <w:r>
              <w:rPr>
                <w:sz w:val="19"/>
                <w:szCs w:val="19"/>
              </w:rPr>
              <w:t xml:space="preserve">3.12 / 5.00</w:t>
            </w:r>
          </w:p>
        </w:tc>
      </w:tr>
      <w:tr>
        <w:tc>
          <w:tcPr>
            <w:tcW w:type="dxa" w:w="5500"/>
            <w:shd w:fill="EAF0F7" w:val="clear"/>
          </w:tcPr>
          <w:p>
            <w:r>
              <w:rPr>
                <w:sz w:val="19"/>
                <w:szCs w:val="19"/>
              </w:rPr>
              <w:t xml:space="preserve">Average Course Rating</w:t>
            </w:r>
          </w:p>
        </w:tc>
        <w:tc>
          <w:tcPr>
            <w:tcW w:type="dxa" w:w="3500"/>
            <w:shd w:fill="EAF0F7" w:val="clear"/>
          </w:tcPr>
          <w:p>
            <w:r>
              <w:rPr>
                <w:sz w:val="19"/>
                <w:szCs w:val="19"/>
              </w:rPr>
              <w:t xml:space="preserve">3.10 / 5.00</w:t>
            </w:r>
          </w:p>
        </w:tc>
      </w:tr>
      <w:tr>
        <w:tc>
          <w:tcPr>
            <w:tcW w:type="dxa" w:w="5500"/>
            <w:shd w:fill="FFFFFF" w:val="clear"/>
          </w:tcPr>
          <w:p>
            <w:r>
              <w:rPr>
                <w:sz w:val="19"/>
                <w:szCs w:val="19"/>
              </w:rPr>
              <w:t xml:space="preserve">Instructor Rating Consistency Index</w:t>
            </w:r>
          </w:p>
        </w:tc>
        <w:tc>
          <w:tcPr>
            <w:tcW w:type="dxa" w:w="3500"/>
            <w:shd w:fill="FFFFFF" w:val="clear"/>
          </w:tcPr>
          <w:p>
            <w:r>
              <w:rPr>
                <w:sz w:val="19"/>
                <w:szCs w:val="19"/>
              </w:rPr>
              <w:t xml:space="preserve">0.47 (moderate)</w:t>
            </w:r>
          </w:p>
        </w:tc>
      </w:tr>
      <w:tr>
        <w:tc>
          <w:tcPr>
            <w:tcW w:type="dxa" w:w="5500"/>
            <w:shd w:fill="EAF0F7" w:val="clear"/>
          </w:tcPr>
          <w:p>
            <w:r>
              <w:rPr>
                <w:sz w:val="19"/>
                <w:szCs w:val="19"/>
              </w:rPr>
              <w:t xml:space="preserve">Experience → Rating Correlation</w:t>
            </w:r>
          </w:p>
        </w:tc>
        <w:tc>
          <w:tcPr>
            <w:tcW w:type="dxa" w:w="3500"/>
            <w:shd w:fill="EAF0F7" w:val="clear"/>
          </w:tcPr>
          <w:p>
            <w:r>
              <w:rPr>
                <w:sz w:val="19"/>
                <w:szCs w:val="19"/>
              </w:rPr>
              <w:t xml:space="preserve">+0.60 (moderate)</w:t>
            </w:r>
          </w:p>
        </w:tc>
      </w:tr>
      <w:tr>
        <w:tc>
          <w:tcPr>
            <w:tcW w:type="dxa" w:w="5500"/>
            <w:shd w:fill="FFFFFF" w:val="clear"/>
          </w:tcPr>
          <w:p>
            <w:r>
              <w:rPr>
                <w:sz w:val="19"/>
                <w:szCs w:val="19"/>
              </w:rPr>
              <w:t xml:space="preserve">Instructor Rating → Course Rating Correlation</w:t>
            </w:r>
          </w:p>
        </w:tc>
        <w:tc>
          <w:tcPr>
            <w:tcW w:type="dxa" w:w="3500"/>
            <w:shd w:fill="FFFFFF" w:val="clear"/>
          </w:tcPr>
          <w:p>
            <w:r>
              <w:rPr>
                <w:sz w:val="19"/>
                <w:szCs w:val="19"/>
              </w:rPr>
              <w:t xml:space="preserve">≈0.00 (none)</w:t>
            </w:r>
          </w:p>
        </w:tc>
      </w:tr>
      <w:tr>
        <w:tc>
          <w:tcPr>
            <w:tcW w:type="dxa" w:w="5500"/>
            <w:shd w:fill="EAF0F7" w:val="clear"/>
          </w:tcPr>
          <w:p>
            <w:r>
              <w:rPr>
                <w:sz w:val="19"/>
                <w:szCs w:val="19"/>
              </w:rPr>
              <w:t xml:space="preserve">Enrollment gap, top vs. bottom rating tier</w:t>
            </w:r>
          </w:p>
        </w:tc>
        <w:tc>
          <w:tcPr>
            <w:tcW w:type="dxa" w:w="3500"/>
            <w:shd w:fill="EAF0F7" w:val="clear"/>
          </w:tcPr>
          <w:p>
            <w:r>
              <w:rPr>
                <w:sz w:val="19"/>
                <w:szCs w:val="19"/>
              </w:rPr>
              <w:t xml:space="preserve">4.94× (driven by 2 outlier instructors)</w:t>
            </w:r>
          </w:p>
        </w:tc>
      </w:tr>
    </w:tbl>
    <w:p>
      <w:pPr>
        <w:spacing w:after="200"/>
      </w:pPr>
    </w:p>
    <w:p>
      <w:pPr>
        <w:pStyle w:val="Heading1"/>
        <w:spacing w:after="150" w:before="300"/>
      </w:pPr>
      <w:r>
        <w:t xml:space="preserve">What We Found</w:t>
      </w:r>
    </w:p>
    <w:p>
      <w:pPr>
        <w:pStyle w:val="ListParagraph"/>
        <w:numPr>
          <w:ilvl w:val="0"/>
          <w:numId w:val="1"/>
        </w:numPr>
        <w:spacing w:after="80"/>
      </w:pPr>
      <w:r>
        <w:t xml:space="preserve">Instructor ratings are genuinely spread from 1.05 to 4.97 — the rating system reflects real variance in perceived teaching quality, not inflation or clustering.</w:t>
      </w:r>
    </w:p>
    <w:p>
      <w:pPr>
        <w:pStyle w:val="ListParagraph"/>
        <w:numPr>
          <w:ilvl w:val="0"/>
          <w:numId w:val="1"/>
        </w:numPr>
        <w:spacing w:after="80"/>
      </w:pPr>
      <w:r>
        <w:t xml:space="preserve">More experienced instructors do earn modestly higher personal ratings (r=0.60), consistent with expectations.</w:t>
      </w:r>
    </w:p>
    <w:p>
      <w:pPr>
        <w:pStyle w:val="ListParagraph"/>
        <w:numPr>
          <w:ilvl w:val="0"/>
          <w:numId w:val="1"/>
        </w:numPr>
        <w:spacing w:after="80"/>
      </w:pPr>
      <w:r>
        <w:t xml:space="preserve">But experience and instructor rating have virtually no relationship with the quality rating of the courses they teach (r≈0.00 to -0.06) — course success is being driven by something else.</w:t>
      </w:r>
    </w:p>
    <w:p>
      <w:pPr>
        <w:pStyle w:val="ListParagraph"/>
        <w:numPr>
          <w:ilvl w:val="0"/>
          <w:numId w:val="1"/>
        </w:numPr>
        <w:spacing w:after="80"/>
      </w:pPr>
      <w:r>
        <w:t xml:space="preserve">Machine Learning instructors are rated highly on average, yet Machine Learning courses have the lowest average course rating of any category on the platform — the sharpest reputation/quality gap identified.</w:t>
      </w:r>
    </w:p>
    <w:p>
      <w:pPr>
        <w:pStyle w:val="ListParagraph"/>
        <w:numPr>
          <w:ilvl w:val="0"/>
          <w:numId w:val="1"/>
        </w:numPr>
        <w:spacing w:after="80"/>
      </w:pPr>
      <w:r>
        <w:t xml:space="preserve">Advanced-level courses rate lower and less consistently than Beginner or Intermediate courses across most categories — a likely content/curriculum design issue, not an instructor issue.</w:t>
      </w:r>
    </w:p>
    <w:p>
      <w:pPr>
        <w:pStyle w:val="ListParagraph"/>
        <w:numPr>
          <w:ilvl w:val="0"/>
          <w:numId w:val="1"/>
        </w:numPr>
        <w:spacing w:after="80"/>
      </w:pPr>
      <w:r>
        <w:t xml:space="preserve">The apparent link between instructor rating and enrollment volume is driven almost entirely by two outlier instructors; excluding them, enrollment is roughly flat across rating tiers.</w:t>
      </w:r>
    </w:p>
    <w:p>
      <w:pPr>
        <w:pStyle w:val="Heading1"/>
        <w:spacing w:after="150" w:before="300"/>
      </w:pPr>
      <w:r>
        <w:t xml:space="preserve">What This Means for EduPro</w:t>
      </w:r>
    </w:p>
    <w:p>
      <w:pPr>
        <w:pStyle w:val="ListParagraph"/>
        <w:numPr>
          <w:ilvl w:val="0"/>
          <w:numId w:val="1"/>
        </w:numPr>
        <w:spacing w:after="80"/>
      </w:pPr>
      <w:r>
        <w:t xml:space="preserve">Instructor coaching programs alone will not reliably fix course ratings — course design, content depth, and production quality need independent evaluation.</w:t>
      </w:r>
    </w:p>
    <w:p>
      <w:pPr>
        <w:pStyle w:val="ListParagraph"/>
        <w:numPr>
          <w:ilvl w:val="0"/>
          <w:numId w:val="1"/>
        </w:numPr>
        <w:spacing w:after="80"/>
      </w:pPr>
      <w:r>
        <w:t xml:space="preserve">Machine Learning and Business categories warrant a targeted course-content audit given the gap between instructor reputation and course outcomes.</w:t>
      </w:r>
    </w:p>
    <w:p>
      <w:pPr>
        <w:pStyle w:val="ListParagraph"/>
        <w:numPr>
          <w:ilvl w:val="0"/>
          <w:numId w:val="1"/>
        </w:numPr>
        <w:spacing w:after="80"/>
      </w:pPr>
      <w:r>
        <w:t xml:space="preserve">Advanced-tier courses across categories should be reviewed for pacing and content structure.</w:t>
      </w:r>
    </w:p>
    <w:p>
      <w:pPr>
        <w:pStyle w:val="ListParagraph"/>
        <w:numPr>
          <w:ilvl w:val="0"/>
          <w:numId w:val="1"/>
        </w:numPr>
        <w:spacing w:after="80"/>
      </w:pPr>
      <w:r>
        <w:t xml:space="preserve">Enrollment volume should not be used as a proxy for instructor quality in incentive decisions — it is currently skewed by a small number of high-visibility instructors.</w:t>
      </w:r>
    </w:p>
    <w:p>
      <w:pPr>
        <w:pStyle w:val="ListParagraph"/>
        <w:numPr>
          <w:ilvl w:val="0"/>
          <w:numId w:val="1"/>
        </w:numPr>
        <w:spacing w:after="80"/>
      </w:pPr>
      <w:r>
        <w:t xml:space="preserve">Future data collection should capture an explicit primary-instructor field per course, since the current Transactions data links instructors to courses many-to-many, limiting precision in instructor-specific course attribution.</w:t>
      </w:r>
    </w:p>
    <w:p>
      <w:pPr>
        <w:pStyle w:val="Heading1"/>
        <w:spacing w:after="150" w:before="300"/>
      </w:pPr>
      <w:r>
        <w:t xml:space="preserve">Recommended Next Steps</w:t>
      </w:r>
    </w:p>
    <w:p>
      <w:pPr>
        <w:pStyle w:val="ListParagraph"/>
        <w:numPr>
          <w:ilvl w:val="0"/>
          <w:numId w:val="1"/>
        </w:numPr>
        <w:spacing w:after="80"/>
      </w:pPr>
      <w:r>
        <w:t xml:space="preserve">Launch a course-content quality review for Machine Learning and Business categories within the next quarter.</w:t>
      </w:r>
    </w:p>
    <w:p>
      <w:pPr>
        <w:pStyle w:val="ListParagraph"/>
        <w:numPr>
          <w:ilvl w:val="0"/>
          <w:numId w:val="1"/>
        </w:numPr>
        <w:spacing w:after="80"/>
      </w:pPr>
      <w:r>
        <w:t xml:space="preserve">Separate instructor evaluation from course evaluation in platform dashboards and internal reporting.</w:t>
      </w:r>
    </w:p>
    <w:p>
      <w:pPr>
        <w:pStyle w:val="ListParagraph"/>
        <w:numPr>
          <w:ilvl w:val="0"/>
          <w:numId w:val="1"/>
        </w:numPr>
        <w:spacing w:after="80"/>
      </w:pPr>
      <w:r>
        <w:t xml:space="preserve">Pilot a post-course learner survey that scores content, pacing, and instructor delivery as distinct dimensions.</w:t>
      </w:r>
    </w:p>
    <w:p>
      <w:pPr>
        <w:pStyle w:val="ListParagraph"/>
        <w:numPr>
          <w:ilvl w:val="0"/>
          <w:numId w:val="1"/>
        </w:numPr>
        <w:spacing w:after="80"/>
      </w:pPr>
      <w:r>
        <w:t xml:space="preserve">Add a primary-instructor field to course records to enable precise instructor-attribution analysis going forward.</w:t>
      </w:r>
    </w:p>
    <w:p>
      <w:pPr>
        <w:spacing w:before="400"/>
      </w:pPr>
    </w:p>
    <w:p>
      <w:r>
        <w:rPr>
          <w:i/>
          <w:iCs/>
          <w:color w:val="595959"/>
          <w:sz w:val="20"/>
          <w:szCs w:val="20"/>
        </w:rPr>
        <w:t xml:space="preserve">Full methodology, statistical detail, and supporting visuals are provided in the accompanying Research Paper and interactive Streamlit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2026-08-28T17:40:54.877Z</dcterms:created>
  <dcterms:modified xsi:type="dcterms:W3CDTF">2026-08-28T17:40:54.891Z</dcterms:modified>
</cp:coreProperties>
</file>

<file path=docProps/custom.xml><?xml version="1.0" encoding="utf-8"?>
<Properties xmlns="http://schemas.openxmlformats.org/officeDocument/2006/custom-properties" xmlns:vt="http://schemas.openxmlformats.org/officeDocument/2006/docPropsVTypes"/>
</file>