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480" w:lineRule="auto"/>
        <w:jc w:val="right"/>
        <w:rPr>
          <w:b w:val="1"/>
          <w:bCs w:val="1"/>
          <w:color w:val="45818e"/>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114300</wp:posOffset>
            </wp:positionV>
            <wp:extent cx="2552708" cy="255270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2708" cy="25527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114300</wp:posOffset>
            </wp:positionV>
            <wp:extent cx="2927033" cy="2927033"/>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27033" cy="2927033"/>
                    </a:xfrm>
                    <a:prstGeom prst="rect"/>
                    <a:ln/>
                  </pic:spPr>
                </pic:pic>
              </a:graphicData>
            </a:graphic>
          </wp:anchor>
        </w:drawing>
      </w:r>
    </w:p>
    <w:p w:rsidR="00000000" w:rsidDel="00000000" w:rsidP="00000000" w:rsidRDefault="00000000" w:rsidRPr="00000000" w14:paraId="00000002">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3">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4">
      <w:pPr>
        <w:keepNext w:val="1"/>
        <w:spacing w:after="240" w:before="480" w:lineRule="auto"/>
        <w:jc w:val="right"/>
        <w:rPr>
          <w:b w:val="1"/>
          <w:bCs w:val="1"/>
          <w:color w:val="45818e"/>
          <w:sz w:val="36"/>
          <w:szCs w:val="36"/>
        </w:rPr>
      </w:pPr>
      <w:r w:rsidDel="00000000" w:rsidR="00000000" w:rsidRPr="00000000">
        <w:rPr>
          <w:rtl w:val="0"/>
        </w:rPr>
      </w:r>
    </w:p>
    <w:p w:rsidR="00000000" w:rsidDel="00000000" w:rsidP="00000000" w:rsidRDefault="00000000" w:rsidRPr="00000000" w14:paraId="00000005">
      <w:pPr>
        <w:keepNext w:val="1"/>
        <w:spacing w:after="240" w:before="480" w:lineRule="auto"/>
        <w:jc w:val="left"/>
        <w:rPr>
          <w:b w:val="1"/>
          <w:bCs w:val="1"/>
          <w:color w:val="45818e"/>
          <w:sz w:val="36"/>
          <w:szCs w:val="36"/>
        </w:rPr>
      </w:pPr>
      <w:r w:rsidDel="00000000" w:rsidR="00000000" w:rsidRPr="00000000">
        <w:rPr>
          <w:rtl w:val="0"/>
        </w:rPr>
      </w:r>
    </w:p>
    <w:p w:rsidR="00000000" w:rsidDel="00000000" w:rsidP="00000000" w:rsidRDefault="00000000" w:rsidRPr="00000000" w14:paraId="00000006">
      <w:pPr>
        <w:keepNext w:val="1"/>
        <w:spacing w:after="240" w:before="480" w:lineRule="auto"/>
        <w:jc w:val="left"/>
        <w:rPr>
          <w:b w:val="1"/>
          <w:bCs w:val="1"/>
          <w:color w:val="45818e"/>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Title"/>
        <w:keepNext w:val="1"/>
        <w:spacing w:after="240" w:before="480" w:lineRule="auto"/>
        <w:jc w:val="center"/>
        <w:rPr>
          <w:b w:val="1"/>
          <w:bCs w:val="1"/>
          <w:color w:val="0b5394"/>
          <w:sz w:val="48"/>
          <w:szCs w:val="48"/>
        </w:rPr>
      </w:pPr>
      <w:bookmarkStart w:colFirst="0" w:colLast="0" w:name="_qdxq71bj3lnq" w:id="0"/>
      <w:bookmarkEnd w:id="0"/>
      <w:r w:rsidDel="00000000" w:rsidR="00000000" w:rsidRPr="00000000">
        <w:rPr>
          <w:b w:val="1"/>
          <w:bCs w:val="1"/>
          <w:color w:val="0b5394"/>
          <w:sz w:val="48"/>
          <w:szCs w:val="48"/>
          <w:rtl w:val="0"/>
        </w:rPr>
        <w:t xml:space="preserve">Predictive Analysis of EGX 30 Stock Trends (2021–2026)</w:t>
      </w:r>
    </w:p>
    <w:p w:rsidR="00000000" w:rsidDel="00000000" w:rsidP="00000000" w:rsidRDefault="00000000" w:rsidRPr="00000000" w14:paraId="00000008">
      <w:pPr>
        <w:pStyle w:val="Subtitle"/>
        <w:jc w:val="center"/>
        <w:rPr>
          <w:b w:val="1"/>
          <w:bCs w:val="1"/>
          <w:i w:val="0"/>
          <w:iCs w:val="0"/>
          <w:color w:val="0b5394"/>
          <w:sz w:val="44"/>
          <w:szCs w:val="44"/>
        </w:rPr>
      </w:pPr>
      <w:bookmarkStart w:colFirst="0" w:colLast="0" w:name="_lj82f149y2is" w:id="1"/>
      <w:bookmarkEnd w:id="1"/>
      <w:r w:rsidDel="00000000" w:rsidR="00000000" w:rsidRPr="00000000">
        <w:rPr>
          <w:b w:val="1"/>
          <w:bCs w:val="1"/>
          <w:i w:val="0"/>
          <w:iCs w:val="0"/>
          <w:color w:val="0b5394"/>
          <w:sz w:val="44"/>
          <w:szCs w:val="44"/>
          <w:rtl w:val="0"/>
        </w:rPr>
        <w:t xml:space="preserve">    Project 3: Data Analysis Proposal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pPr w:leftFromText="180" w:rightFromText="180" w:topFromText="180" w:bottomFromText="180" w:vertAnchor="text" w:horzAnchor="text" w:tblpX="161.99999999999932"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35"/>
        <w:tblGridChange w:id="0">
          <w:tblGrid>
            <w:gridCol w:w="4935"/>
            <w:gridCol w:w="4935"/>
          </w:tblGrid>
        </w:tblGridChange>
      </w:tblGrid>
      <w:tr>
        <w:trPr>
          <w:cantSplit w:val="0"/>
          <w:trHeight w:val="46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0B">
            <w:pPr>
              <w:pStyle w:val="Heading2"/>
              <w:widowControl w:val="0"/>
              <w:spacing w:after="120" w:before="120" w:lineRule="auto"/>
              <w:rPr>
                <w:sz w:val="24"/>
                <w:szCs w:val="24"/>
              </w:rPr>
            </w:pPr>
            <w:bookmarkStart w:colFirst="0" w:colLast="0" w:name="_s94hb4wj26r3" w:id="2"/>
            <w:bookmarkEnd w:id="2"/>
            <w:r w:rsidDel="00000000" w:rsidR="00000000" w:rsidRPr="00000000">
              <w:rPr>
                <w:sz w:val="24"/>
                <w:szCs w:val="24"/>
                <w:rtl w:val="0"/>
              </w:rPr>
              <w:t xml:space="preserve">Team:</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Pr>
              <w:drawing>
                <wp:inline distB="19050" distT="19050" distL="19050" distR="19050">
                  <wp:extent cx="190500" cy="152400"/>
                  <wp:effectExtent b="0" l="0" r="0" t="0"/>
                  <wp:docPr descr="People" id="2" name="image1.png"/>
                  <a:graphic>
                    <a:graphicData uri="http://schemas.openxmlformats.org/drawingml/2006/picture">
                      <pic:pic>
                        <pic:nvPicPr>
                          <pic:cNvPr descr="People"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sz w:val="20"/>
                <w:szCs w:val="20"/>
                <w:rtl w:val="0"/>
              </w:rPr>
              <w:t xml:space="preserve"> Name</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ID</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0F">
            <w:pPr>
              <w:spacing w:after="60" w:before="60" w:lineRule="auto"/>
              <w:rPr>
                <w:sz w:val="22"/>
                <w:szCs w:val="22"/>
              </w:rPr>
            </w:pPr>
            <w:r w:rsidDel="00000000" w:rsidR="00000000" w:rsidRPr="00000000">
              <w:rPr>
                <w:sz w:val="22"/>
                <w:szCs w:val="22"/>
                <w:rtl w:val="0"/>
              </w:rPr>
              <w:t xml:space="preserve">Mohamed Reda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0">
            <w:pPr>
              <w:spacing w:after="60" w:before="60" w:lineRule="auto"/>
              <w:rPr>
                <w:sz w:val="22"/>
                <w:szCs w:val="22"/>
              </w:rPr>
            </w:pPr>
            <w:r w:rsidDel="00000000" w:rsidR="00000000" w:rsidRPr="00000000">
              <w:rPr>
                <w:sz w:val="22"/>
                <w:szCs w:val="22"/>
                <w:rtl w:val="0"/>
              </w:rPr>
              <w:t xml:space="preserve">24-101232</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1">
            <w:pPr>
              <w:spacing w:after="60" w:before="60" w:lineRule="auto"/>
              <w:rPr>
                <w:sz w:val="22"/>
                <w:szCs w:val="22"/>
              </w:rPr>
            </w:pPr>
            <w:r w:rsidDel="00000000" w:rsidR="00000000" w:rsidRPr="00000000">
              <w:rPr>
                <w:sz w:val="22"/>
                <w:szCs w:val="22"/>
                <w:rtl w:val="0"/>
              </w:rPr>
              <w:t xml:space="preserve">Yousef mohamed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2">
            <w:pPr>
              <w:spacing w:after="60" w:before="60" w:lineRule="auto"/>
              <w:rPr>
                <w:sz w:val="22"/>
                <w:szCs w:val="22"/>
              </w:rPr>
            </w:pPr>
            <w:r w:rsidDel="00000000" w:rsidR="00000000" w:rsidRPr="00000000">
              <w:rPr>
                <w:sz w:val="22"/>
                <w:szCs w:val="22"/>
                <w:rtl w:val="0"/>
              </w:rPr>
              <w:t xml:space="preserve">24-101174</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3">
            <w:pPr>
              <w:spacing w:after="60" w:before="60" w:lineRule="auto"/>
              <w:rPr>
                <w:sz w:val="22"/>
                <w:szCs w:val="22"/>
              </w:rPr>
            </w:pPr>
            <w:r w:rsidDel="00000000" w:rsidR="00000000" w:rsidRPr="00000000">
              <w:rPr>
                <w:sz w:val="22"/>
                <w:szCs w:val="22"/>
                <w:rtl w:val="0"/>
              </w:rPr>
              <w:t xml:space="preserve">Taha Ahmed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4">
            <w:pPr>
              <w:spacing w:after="60" w:before="60" w:lineRule="auto"/>
              <w:rPr>
                <w:sz w:val="22"/>
                <w:szCs w:val="22"/>
              </w:rPr>
            </w:pPr>
            <w:r w:rsidDel="00000000" w:rsidR="00000000" w:rsidRPr="00000000">
              <w:rPr>
                <w:sz w:val="22"/>
                <w:szCs w:val="22"/>
                <w:rtl w:val="0"/>
              </w:rPr>
              <w:t xml:space="preserve">24-101520</w:t>
            </w:r>
          </w:p>
        </w:tc>
      </w:tr>
    </w:tbl>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r>
    </w:p>
    <w:p w:rsidR="00000000" w:rsidDel="00000000" w:rsidP="00000000" w:rsidRDefault="00000000" w:rsidRPr="00000000" w14:paraId="00000017">
      <w:pPr>
        <w:rPr/>
      </w:pPr>
      <w:r w:rsidDel="00000000" w:rsidR="00000000" w:rsidRPr="00000000">
        <w:rPr>
          <w:b w:val="1"/>
          <w:bCs w:val="1"/>
          <w:color w:val="073763"/>
          <w:sz w:val="32"/>
          <w:szCs w:val="32"/>
          <w:rtl w:val="0"/>
        </w:rPr>
        <w:t xml:space="preserve"> </w:t>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45818e"/>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5818e"/>
          <w:sz w:val="36"/>
          <w:szCs w:val="36"/>
          <w:u w:val="none"/>
          <w:shd w:fill="auto" w:val="clear"/>
          <w:vertAlign w:val="baseline"/>
          <w:rtl w:val="0"/>
        </w:rPr>
        <w:t xml:space="preserve">Project Proposal: Predictive Analysis of EGX30 Blue-Chip Stocks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1. Project Overview</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This project investigates the historical trends, volatility patterns, and future price trajectory of the </w:t>
      </w:r>
      <w:r w:rsidDel="00000000" w:rsidR="00000000" w:rsidRPr="00000000">
        <w:rPr>
          <w:rFonts w:ascii="Arial" w:cs="Arial" w:eastAsia="Arial" w:hAnsi="Arial"/>
          <w:b w:val="1"/>
          <w:bCs w:val="1"/>
          <w:sz w:val="22"/>
          <w:szCs w:val="22"/>
          <w:rtl w:val="0"/>
        </w:rPr>
        <w:t xml:space="preserve">EGX30 </w:t>
      </w:r>
      <w:r w:rsidDel="00000000" w:rsidR="00000000" w:rsidRPr="00000000">
        <w:rPr>
          <w:rFonts w:ascii="Arial" w:cs="Arial" w:eastAsia="Arial" w:hAnsi="Arial"/>
          <w:sz w:val="22"/>
          <w:szCs w:val="22"/>
          <w:rtl w:val="0"/>
        </w:rPr>
        <w:t xml:space="preserve">index. The benchmark index of the Egyptian Exchange (EGX) comprising the top 30 most liquid stocks.</w:t>
      </w:r>
      <w:r w:rsidDel="00000000" w:rsidR="00000000" w:rsidRPr="00000000">
        <w:rPr>
          <w:rtl w:val="0"/>
        </w:rPr>
        <w:t xml:space="preserve">We will explore market volatility, sector correlations, and the effectiveness of technical indicators in the Egyptian market context.we are performing a </w:t>
      </w:r>
      <w:r w:rsidDel="00000000" w:rsidR="00000000" w:rsidRPr="00000000">
        <w:rPr>
          <w:rtl w:val="0"/>
        </w:rPr>
        <w:t xml:space="preserve">time-series analysis</w:t>
      </w:r>
      <w:r w:rsidDel="00000000" w:rsidR="00000000" w:rsidRPr="00000000">
        <w:rPr>
          <w:rtl w:val="0"/>
        </w:rPr>
        <w:t xml:space="preserve"> to identify if the EGX30 follows an </w:t>
      </w:r>
      <w:r w:rsidDel="00000000" w:rsidR="00000000" w:rsidRPr="00000000">
        <w:rPr>
          <w:b w:val="1"/>
          <w:bCs w:val="1"/>
          <w:rtl w:val="0"/>
        </w:rPr>
        <w:t xml:space="preserve">Efficient Market Hypothesis</w:t>
      </w:r>
      <w:r w:rsidDel="00000000" w:rsidR="00000000" w:rsidRPr="00000000">
        <w:rPr>
          <w:rtl w:val="0"/>
        </w:rPr>
        <w:t xml:space="preserve"> or if patterns like </w:t>
      </w:r>
      <w:r w:rsidDel="00000000" w:rsidR="00000000" w:rsidRPr="00000000">
        <w:rPr>
          <w:b w:val="1"/>
          <w:bCs w:val="1"/>
          <w:rtl w:val="0"/>
        </w:rPr>
        <w:t xml:space="preserve">Mean Reversion </w:t>
      </w:r>
      <w:r w:rsidDel="00000000" w:rsidR="00000000" w:rsidRPr="00000000">
        <w:rPr>
          <w:rtl w:val="0"/>
        </w:rPr>
        <w:t xml:space="preserve">exist.</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b w:val="1"/>
          <w:bCs w:val="1"/>
          <w:color w:val="073763"/>
          <w:sz w:val="32"/>
          <w:szCs w:val="32"/>
          <w:rtl w:val="0"/>
        </w:rPr>
        <w:t xml:space="preserve">2</w:t>
      </w: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 Dataset Description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use the </w:t>
      </w:r>
      <w:r w:rsidDel="00000000" w:rsidR="00000000" w:rsidRPr="00000000">
        <w:rPr>
          <w:rFonts w:ascii="Arial" w:cs="Arial" w:eastAsia="Arial" w:hAnsi="Arial"/>
          <w:b w:val="1"/>
          <w:bCs w:val="1"/>
          <w:color w:val="202124"/>
          <w:rtl w:val="0"/>
        </w:rPr>
        <w:t xml:space="preserve">EGX Egyptian Stocks Historical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 sourced from Kaggle. This dataset provides comprehensive daily OHLCV data for over 200 Egyptian publicly traded companies, including market leaders like Commercial International Bank (COMI), EFG Hermes (HRHO), and Talaat Moustafa Group (TMGH). </w:t>
      </w:r>
      <w:r w:rsidDel="00000000" w:rsidR="00000000" w:rsidRPr="00000000">
        <w:rPr>
          <w:rtl w:val="0"/>
        </w:rPr>
        <w:t xml:space="preserve">We will analyze the </w:t>
      </w:r>
      <w:r w:rsidDel="00000000" w:rsidR="00000000" w:rsidRPr="00000000">
        <w:rPr>
          <w:rtl w:val="0"/>
        </w:rPr>
        <w:t xml:space="preserve">OHLCV </w:t>
      </w:r>
      <w:r w:rsidDel="00000000" w:rsidR="00000000" w:rsidRPr="00000000">
        <w:rPr>
          <w:rtl w:val="0"/>
        </w:rPr>
        <w:t xml:space="preserve">data (Open, High, Low, Close, Volume). </w:t>
      </w:r>
      <w:r w:rsidDel="00000000" w:rsidR="00000000" w:rsidRPr="00000000">
        <w:rPr>
          <w:rFonts w:ascii="Arial" w:cs="Arial" w:eastAsia="Arial" w:hAnsi="Arial"/>
          <w:rtl w:val="0"/>
        </w:rPr>
        <w:t xml:space="preserve">Using </w:t>
      </w:r>
      <w:r w:rsidDel="00000000" w:rsidR="00000000" w:rsidRPr="00000000">
        <w:rPr>
          <w:rFonts w:ascii="Arial" w:cs="Arial" w:eastAsia="Arial" w:hAnsi="Arial"/>
          <w:rtl w:val="0"/>
        </w:rPr>
        <w:t xml:space="preserve">Pandas </w:t>
      </w:r>
      <w:r w:rsidDel="00000000" w:rsidR="00000000" w:rsidRPr="00000000">
        <w:rPr>
          <w:rFonts w:ascii="Arial" w:cs="Arial" w:eastAsia="Arial" w:hAnsi="Arial"/>
          <w:rtl w:val="0"/>
        </w:rPr>
        <w:t xml:space="preserve">we will create Daily Returns =  </w:t>
      </w:r>
      <m:oMath>
        <m:f>
          <m:fPr>
            <m:ctrlPr>
              <w:rPr>
                <w:rFonts w:ascii="Arial" w:cs="Arial" w:eastAsia="Arial" w:hAnsi="Arial"/>
              </w:rPr>
            </m:ctrlPr>
          </m:fPr>
          <m:num>
            <m:r>
              <w:rPr>
                <w:rFonts w:ascii="Arial" w:cs="Arial" w:eastAsia="Arial" w:hAnsi="Arial"/>
              </w:rPr>
              <m:t xml:space="preserve">PRICE t - PRICE t-1</m:t>
            </m:r>
          </m:num>
          <m:den>
            <m:r>
              <w:rPr>
                <w:rFonts w:ascii="Arial" w:cs="Arial" w:eastAsia="Arial" w:hAnsi="Arial"/>
              </w:rPr>
              <m:t xml:space="preserve">PRICE t-1</m:t>
            </m:r>
          </m:den>
        </m:f>
      </m:oMath>
      <w:r w:rsidDel="00000000" w:rsidR="00000000" w:rsidRPr="00000000">
        <w:rPr>
          <w:rFonts w:ascii="Arial" w:cs="Arial" w:eastAsia="Arial" w:hAnsi="Arial"/>
          <w:rtl w:val="0"/>
        </w:rPr>
        <w:t xml:space="preserve"> and Volatility to serve as our primary metrics for analysis.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color w:val="1155cc"/>
            <w:u w:val="single"/>
            <w:rtl w:val="0"/>
          </w:rPr>
          <w:t xml:space="preserve">Dataset link</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Range: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January 2021 to February 2026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 files for each stock symbol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Arial" w:cs="Arial" w:eastAsia="Arial" w:hAnsi="Arial"/>
          <w:b w:val="1"/>
          <w:bCs w:val="1"/>
          <w:color w:val="073763"/>
          <w:sz w:val="32"/>
          <w:szCs w:val="32"/>
        </w:rPr>
      </w:pPr>
      <w:r w:rsidDel="00000000" w:rsidR="00000000" w:rsidRPr="00000000">
        <w:rPr>
          <w:rFonts w:ascii="Arial" w:cs="Arial" w:eastAsia="Arial" w:hAnsi="Arial"/>
          <w:b w:val="1"/>
          <w:bCs w:val="1"/>
          <w:color w:val="073763"/>
          <w:sz w:val="32"/>
          <w:szCs w:val="32"/>
          <w:rtl w:val="0"/>
        </w:rPr>
        <w:t xml:space="preserve">3.</w:t>
      </w:r>
      <w:r w:rsidDel="00000000" w:rsidR="00000000" w:rsidRPr="00000000">
        <w:rPr>
          <w:rFonts w:ascii="Arial" w:cs="Arial" w:eastAsia="Arial" w:hAnsi="Arial"/>
          <w:b w:val="1"/>
          <w:bCs w:val="1"/>
          <w:color w:val="2e75b6"/>
          <w:sz w:val="32"/>
          <w:szCs w:val="32"/>
          <w:rtl w:val="0"/>
        </w:rPr>
        <w:t xml:space="preserve"> </w:t>
      </w:r>
      <w:r w:rsidDel="00000000" w:rsidR="00000000" w:rsidRPr="00000000">
        <w:rPr>
          <w:rFonts w:ascii="Arial" w:cs="Arial" w:eastAsia="Arial" w:hAnsi="Arial"/>
          <w:b w:val="1"/>
          <w:bCs w:val="1"/>
          <w:color w:val="073763"/>
          <w:sz w:val="32"/>
          <w:szCs w:val="32"/>
          <w:rtl w:val="0"/>
        </w:rPr>
        <w:t xml:space="preserve">Data Quality Plan</w:t>
      </w:r>
    </w:p>
    <w:p w:rsidR="00000000" w:rsidDel="00000000" w:rsidP="00000000" w:rsidRDefault="00000000" w:rsidRPr="00000000" w14:paraId="00000024">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Handle missing trading days via forward-fill</w:t>
      </w:r>
    </w:p>
    <w:p w:rsidR="00000000" w:rsidDel="00000000" w:rsidP="00000000" w:rsidRDefault="00000000" w:rsidRPr="00000000" w14:paraId="00000025">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Remove outliers using IQR method on daily return distribution</w:t>
      </w:r>
    </w:p>
    <w:p w:rsidR="00000000" w:rsidDel="00000000" w:rsidP="00000000" w:rsidRDefault="00000000" w:rsidRPr="00000000" w14:paraId="00000026">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Normalize features using MinMaxScaler before model training</w:t>
      </w:r>
    </w:p>
    <w:p w:rsidR="00000000" w:rsidDel="00000000" w:rsidP="00000000" w:rsidRDefault="00000000" w:rsidRPr="00000000" w14:paraId="00000027">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Train/test split: 80% training (2021–2025), 20% testing (2026)</w:t>
      </w:r>
    </w:p>
    <w:p w:rsidR="00000000" w:rsidDel="00000000" w:rsidP="00000000" w:rsidRDefault="00000000" w:rsidRPr="00000000" w14:paraId="00000028">
      <w:pPr>
        <w:numPr>
          <w:ilvl w:val="0"/>
          <w:numId w:val="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Handling Missingness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We will identify null values using </w:t>
      </w:r>
      <w:r w:rsidDel="00000000" w:rsidR="00000000" w:rsidRPr="00000000">
        <w:rPr>
          <w:rFonts w:ascii="Arial" w:cs="Arial" w:eastAsia="Arial" w:hAnsi="Arial"/>
          <w:b w:val="1"/>
          <w:bCs w:val="1"/>
          <w:sz w:val="22"/>
          <w:szCs w:val="22"/>
          <w:rtl w:val="0"/>
        </w:rPr>
        <w:t xml:space="preserve">.isnull().sum()</w:t>
      </w:r>
      <w:r w:rsidDel="00000000" w:rsidR="00000000" w:rsidRPr="00000000">
        <w:rPr>
          <w:rFonts w:ascii="Arial" w:cs="Arial" w:eastAsia="Arial" w:hAnsi="Arial"/>
          <w:sz w:val="22"/>
          <w:szCs w:val="22"/>
          <w:rtl w:val="0"/>
        </w:rPr>
        <w:t xml:space="preserve"> and apply a </w:t>
      </w:r>
      <w:r w:rsidDel="00000000" w:rsidR="00000000" w:rsidRPr="00000000">
        <w:rPr>
          <w:rFonts w:ascii="Arial" w:cs="Arial" w:eastAsia="Arial" w:hAnsi="Arial"/>
          <w:sz w:val="22"/>
          <w:szCs w:val="22"/>
          <w:rtl w:val="0"/>
        </w:rPr>
        <w:t xml:space="preserve">Forward-Fill</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ffill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strategy to ensure continuity in time-series data without introducing "look-ahead" bias.</w:t>
      </w:r>
    </w:p>
    <w:p w:rsidR="00000000" w:rsidDel="00000000" w:rsidP="00000000" w:rsidRDefault="00000000" w:rsidRPr="00000000" w14:paraId="00000029">
      <w:pPr>
        <w:numPr>
          <w:ilvl w:val="0"/>
          <w:numId w:val="1"/>
        </w:numPr>
        <w:spacing w:after="8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Outlier Detection</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Following the </w:t>
      </w:r>
      <w:r w:rsidDel="00000000" w:rsidR="00000000" w:rsidRPr="00000000">
        <w:rPr>
          <w:rFonts w:ascii="Arial" w:cs="Arial" w:eastAsia="Arial" w:hAnsi="Arial"/>
          <w:b w:val="1"/>
          <w:bCs w:val="1"/>
          <w:sz w:val="22"/>
          <w:szCs w:val="22"/>
          <w:rtl w:val="0"/>
        </w:rPr>
        <w:t xml:space="preserve">IQR</w:t>
      </w:r>
      <w:r w:rsidDel="00000000" w:rsidR="00000000" w:rsidRPr="00000000">
        <w:rPr>
          <w:rFonts w:ascii="Arial" w:cs="Arial" w:eastAsia="Arial" w:hAnsi="Arial"/>
          <w:sz w:val="22"/>
          <w:szCs w:val="22"/>
          <w:rtl w:val="0"/>
        </w:rPr>
        <w:t xml:space="preserve"> method, we will filter out extreme flash crashes or data entry errors that fall outside 1.5 x IQR of the daily returns.</w:t>
      </w: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4. Research Question &amp; Hypothesis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 technical indicators and historical volume trends influence the short-term price movements of blue-chip stocks in the EGX30 index?</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Hypotheses:</w:t>
      </w:r>
    </w:p>
    <w:p w:rsidR="00000000" w:rsidDel="00000000" w:rsidP="00000000" w:rsidRDefault="00000000" w:rsidRPr="00000000" w14:paraId="0000002D">
      <w:pPr>
        <w:numPr>
          <w:ilvl w:val="0"/>
          <w:numId w:val="3"/>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H_0 (Null)</w:t>
      </w:r>
      <m:oMath>
        <m:r>
          <w:rPr>
            <w:rFonts w:ascii="Arial" w:cs="Arial" w:eastAsia="Arial" w:hAnsi="Arial"/>
          </w:rPr>
          <m:t xml:space="preserve"> </m:t>
        </m:r>
        <m:r>
          <w:rPr>
            <w:rFonts w:ascii="Arial" w:cs="Arial" w:eastAsia="Arial" w:hAnsi="Arial"/>
          </w:rPr>
          <m:t>μ</m:t>
        </m:r>
        <m:r>
          <w:rPr>
            <w:rFonts w:ascii="Arial" w:cs="Arial" w:eastAsia="Arial" w:hAnsi="Arial"/>
          </w:rPr>
          <m:t xml:space="preserve"> </m:t>
        </m:r>
      </m:oMath>
      <w:r w:rsidDel="00000000" w:rsidR="00000000" w:rsidRPr="00000000">
        <w:rPr>
          <w:rFonts w:ascii="Arial" w:cs="Arial" w:eastAsia="Arial" w:hAnsi="Arial"/>
          <w:rtl w:val="0"/>
        </w:rPr>
        <w:t xml:space="preserve">: = 0 (The market is a random walk, no consistent gains).</w:t>
      </w:r>
    </w:p>
    <w:p w:rsidR="00000000" w:rsidDel="00000000" w:rsidP="00000000" w:rsidRDefault="00000000" w:rsidRPr="00000000" w14:paraId="0000002E">
      <w:pPr>
        <w:numPr>
          <w:ilvl w:val="0"/>
          <w:numId w:val="3"/>
        </w:numP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H_1 (Alternative): </w:t>
      </w:r>
      <m:oMath>
        <m:r>
          <m:t>μ</m:t>
        </m:r>
        <m:r>
          <w:rPr>
            <w:rFonts w:ascii="Arial" w:cs="Arial" w:eastAsia="Arial" w:hAnsi="Arial"/>
          </w:rPr>
          <m:t xml:space="preserve"> </m:t>
        </m:r>
      </m:oMath>
      <m:oMath>
        <m:r>
          <m:t>≠</m:t>
        </m:r>
      </m:oMath>
      <w:r w:rsidDel="00000000" w:rsidR="00000000" w:rsidRPr="00000000">
        <w:rPr>
          <w:rFonts w:ascii="Arial" w:cs="Arial" w:eastAsia="Arial" w:hAnsi="Arial"/>
          <w:rtl w:val="0"/>
        </w:rPr>
        <w:t xml:space="preserve"> 0 (There is a statistically significant trend).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Volatility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Major macroeconomic shifts in Egypt (e.g</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currency devaluations) lead to identifiable clusters of high volatility and increased trading volume in the banking and real estate sectors.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Predictability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Technical indicators such as the Relative Strength Index (RSI) and Moving Averages (MA) can provide statistically significant signals for short-term price reversals in the EGX30.</w:t>
      </w: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5. Analysis Plan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analysis will follow these key steps: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6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Cleaning the dataset, handling missing values, and aligning dates across different stock symbols.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Correlation Heatmaps:</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sns.heatmap()</w:t>
      </w:r>
      <w:r w:rsidDel="00000000" w:rsidR="00000000" w:rsidRPr="00000000">
        <w:rPr>
          <w:rtl w:val="0"/>
        </w:rPr>
        <w:t xml:space="preserve">, we will visualize the correlation between the top 10 stocks in the EGX30 to find Sector Clusters (e.g , do Banking and Real Estate move together?).</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Exploratory Data Analysis (EDA):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Visualizing price trends, volume spikes, and calculating daily returns for the top 5 EGX30 companies.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Sector Correlation: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Analyzing how different sectors (Banking, Real Estate, Telecom) move in relation to each other.</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RSI, MACD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overbought/oversold conditions.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beforeAutospacing="0" w:line="240" w:lineRule="auto"/>
        <w:ind w:left="720" w:right="0" w:hanging="360"/>
        <w:jc w:val="left"/>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Predictive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 Linear Regression model</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forecast the next day's closing price.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73763"/>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32"/>
          <w:szCs w:val="32"/>
          <w:u w:val="none"/>
          <w:shd w:fill="auto" w:val="clear"/>
          <w:vertAlign w:val="baseline"/>
          <w:rtl w:val="0"/>
        </w:rPr>
        <w:t xml:space="preserve">6. Expected Outcomes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Python notebook demonstrating data cleaning, visualization, and modeling.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set of visualizations highlighting the most influential trends in the EGX over the last 5 years.</w:t>
      </w:r>
    </w:p>
    <w:p w:rsidR="00000000" w:rsidDel="00000000" w:rsidP="00000000" w:rsidRDefault="00000000" w:rsidRPr="00000000" w14:paraId="0000003D">
      <w:pPr>
        <w:numPr>
          <w:ilvl w:val="0"/>
          <w:numId w:val="2"/>
        </w:numPr>
        <w:spacing w:after="80" w:lineRule="auto"/>
        <w:ind w:left="720" w:hanging="360"/>
      </w:pPr>
      <w:r w:rsidDel="00000000" w:rsidR="00000000" w:rsidRPr="00000000">
        <w:rPr>
          <w:rFonts w:ascii="Arial" w:cs="Arial" w:eastAsia="Arial" w:hAnsi="Arial"/>
          <w:sz w:val="22"/>
          <w:szCs w:val="22"/>
          <w:rtl w:val="0"/>
        </w:rPr>
        <w:t xml:space="preserve">Poster / PowerPoint. visual summary of key findings and prediction results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final report summarizing our findings on market predictability and sector performance.</w:t>
      </w:r>
    </w:p>
    <w:p w:rsidR="00000000" w:rsidDel="00000000" w:rsidP="00000000" w:rsidRDefault="00000000" w:rsidRPr="00000000" w14:paraId="0000003F">
      <w:pPr>
        <w:spacing w:after="80" w:lineRule="auto"/>
        <w:ind w:left="720" w:firstLine="0"/>
        <w:rPr/>
      </w:pPr>
      <w:r w:rsidDel="00000000" w:rsidR="00000000" w:rsidRPr="00000000">
        <w:rPr>
          <w:rtl w:val="0"/>
        </w:rPr>
      </w:r>
    </w:p>
    <w:sectPr>
      <w:pgSz w:h="16838" w:w="11906" w:orient="portrait"/>
      <w:pgMar w:bottom="1152" w:top="1152"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ahmoudalrefaey/egx-egyptian-stocks-2021-2026?resource=downloa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