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6618" w14:textId="77777777" w:rsidR="00660CB1" w:rsidRDefault="00000000">
      <w:pPr>
        <w:keepNext/>
        <w:spacing w:before="480" w:after="240"/>
        <w:jc w:val="right"/>
        <w:rPr>
          <w:b/>
          <w:bCs/>
          <w:color w:val="45818E"/>
          <w:sz w:val="36"/>
          <w:szCs w:val="36"/>
        </w:rPr>
      </w:pPr>
      <w:r>
        <w:rPr>
          <w:noProof/>
        </w:rPr>
        <w:drawing>
          <wp:anchor distT="114300" distB="114300" distL="114300" distR="114300" simplePos="0" relativeHeight="251658240" behindDoc="1" locked="0" layoutInCell="1" hidden="0" allowOverlap="1" wp14:anchorId="0B9CB9D2" wp14:editId="169154C7">
            <wp:simplePos x="0" y="0"/>
            <wp:positionH relativeFrom="column">
              <wp:posOffset>-533399</wp:posOffset>
            </wp:positionH>
            <wp:positionV relativeFrom="paragraph">
              <wp:posOffset>114300</wp:posOffset>
            </wp:positionV>
            <wp:extent cx="2552708" cy="255270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552708" cy="255270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06E2591" wp14:editId="7CA40C41">
            <wp:simplePos x="0" y="0"/>
            <wp:positionH relativeFrom="column">
              <wp:posOffset>3933825</wp:posOffset>
            </wp:positionH>
            <wp:positionV relativeFrom="paragraph">
              <wp:posOffset>114300</wp:posOffset>
            </wp:positionV>
            <wp:extent cx="2927033" cy="2927033"/>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927033" cy="2927033"/>
                    </a:xfrm>
                    <a:prstGeom prst="rect">
                      <a:avLst/>
                    </a:prstGeom>
                    <a:ln/>
                  </pic:spPr>
                </pic:pic>
              </a:graphicData>
            </a:graphic>
          </wp:anchor>
        </w:drawing>
      </w:r>
    </w:p>
    <w:p w14:paraId="1EB67399" w14:textId="77777777" w:rsidR="00660CB1" w:rsidRDefault="00660CB1">
      <w:pPr>
        <w:keepNext/>
        <w:spacing w:before="480" w:after="240"/>
        <w:jc w:val="right"/>
        <w:rPr>
          <w:b/>
          <w:bCs/>
          <w:color w:val="45818E"/>
          <w:sz w:val="36"/>
          <w:szCs w:val="36"/>
        </w:rPr>
      </w:pPr>
    </w:p>
    <w:p w14:paraId="587D75FE" w14:textId="77777777" w:rsidR="00660CB1" w:rsidRDefault="00660CB1">
      <w:pPr>
        <w:keepNext/>
        <w:spacing w:before="480" w:after="240"/>
        <w:jc w:val="right"/>
        <w:rPr>
          <w:b/>
          <w:bCs/>
          <w:color w:val="45818E"/>
          <w:sz w:val="36"/>
          <w:szCs w:val="36"/>
        </w:rPr>
      </w:pPr>
    </w:p>
    <w:p w14:paraId="60248111" w14:textId="77777777" w:rsidR="00660CB1" w:rsidRDefault="00660CB1">
      <w:pPr>
        <w:keepNext/>
        <w:spacing w:before="480" w:after="240"/>
        <w:jc w:val="right"/>
        <w:rPr>
          <w:b/>
          <w:bCs/>
          <w:color w:val="45818E"/>
          <w:sz w:val="36"/>
          <w:szCs w:val="36"/>
        </w:rPr>
      </w:pPr>
    </w:p>
    <w:p w14:paraId="73784350" w14:textId="77777777" w:rsidR="00660CB1" w:rsidRDefault="00660CB1">
      <w:pPr>
        <w:keepNext/>
        <w:spacing w:before="480" w:after="240"/>
        <w:rPr>
          <w:b/>
          <w:bCs/>
          <w:color w:val="45818E"/>
          <w:sz w:val="36"/>
          <w:szCs w:val="36"/>
        </w:rPr>
      </w:pPr>
    </w:p>
    <w:p w14:paraId="67BB419B" w14:textId="77777777" w:rsidR="00660CB1" w:rsidRDefault="00000000">
      <w:pPr>
        <w:keepNext/>
        <w:spacing w:before="480" w:after="240"/>
        <w:rPr>
          <w:b/>
          <w:bCs/>
          <w:color w:val="45818E"/>
          <w:sz w:val="36"/>
          <w:szCs w:val="36"/>
        </w:rPr>
      </w:pPr>
      <w:r>
        <w:pict w14:anchorId="3C771EFC">
          <v:rect id="_x0000_i1025" style="width:0;height:1.5pt" o:hralign="center" o:hrstd="t" o:hr="t" fillcolor="#a0a0a0" stroked="f"/>
        </w:pict>
      </w:r>
    </w:p>
    <w:p w14:paraId="15D0C6BB" w14:textId="21114B4B" w:rsidR="00660CB1" w:rsidRDefault="007647B6">
      <w:pPr>
        <w:pStyle w:val="Title"/>
        <w:keepNext/>
        <w:spacing w:before="480" w:after="240"/>
        <w:jc w:val="center"/>
        <w:rPr>
          <w:b/>
          <w:bCs/>
          <w:color w:val="0B5394"/>
          <w:sz w:val="48"/>
          <w:szCs w:val="48"/>
        </w:rPr>
      </w:pPr>
      <w:bookmarkStart w:id="0" w:name="_qdxq71bj3lnq" w:colFirst="0" w:colLast="0"/>
      <w:bookmarkEnd w:id="0"/>
      <w:r>
        <w:rPr>
          <w:b/>
          <w:bCs/>
          <w:color w:val="0B5394"/>
          <w:sz w:val="48"/>
          <w:szCs w:val="48"/>
        </w:rPr>
        <w:t>Data</w:t>
      </w:r>
      <w:r w:rsidR="00000000">
        <w:rPr>
          <w:b/>
          <w:bCs/>
          <w:color w:val="0B5394"/>
          <w:sz w:val="48"/>
          <w:szCs w:val="48"/>
        </w:rPr>
        <w:t xml:space="preserve"> Analysis of EGX 30 Stock Trends (2021–2026)</w:t>
      </w:r>
    </w:p>
    <w:p w14:paraId="0564AB3C" w14:textId="77777777" w:rsidR="00660CB1" w:rsidRDefault="00000000">
      <w:pPr>
        <w:pStyle w:val="Subtitle"/>
        <w:jc w:val="center"/>
        <w:rPr>
          <w:b/>
          <w:bCs/>
          <w:i w:val="0"/>
          <w:iCs w:val="0"/>
          <w:color w:val="0B5394"/>
          <w:sz w:val="44"/>
          <w:szCs w:val="44"/>
        </w:rPr>
      </w:pPr>
      <w:bookmarkStart w:id="1" w:name="_lj82f149y2is" w:colFirst="0" w:colLast="0"/>
      <w:bookmarkEnd w:id="1"/>
      <w:r>
        <w:rPr>
          <w:b/>
          <w:bCs/>
          <w:i w:val="0"/>
          <w:iCs w:val="0"/>
          <w:color w:val="0B5394"/>
          <w:sz w:val="44"/>
          <w:szCs w:val="44"/>
        </w:rPr>
        <w:t xml:space="preserve">    Project 3: Data Analysis Proposal </w:t>
      </w:r>
    </w:p>
    <w:p w14:paraId="0209D23A" w14:textId="77777777" w:rsidR="00660CB1" w:rsidRDefault="00660CB1"/>
    <w:p w14:paraId="4DD29BBD" w14:textId="77777777" w:rsidR="00660CB1" w:rsidRDefault="00660CB1"/>
    <w:tbl>
      <w:tblPr>
        <w:tblStyle w:val="a"/>
        <w:tblpPr w:leftFromText="180" w:rightFromText="180" w:topFromText="180" w:bottomFromText="180" w:vertAnchor="text" w:tblpX="161"/>
        <w:tblW w:w="9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35"/>
        <w:gridCol w:w="4935"/>
      </w:tblGrid>
      <w:tr w:rsidR="00660CB1" w14:paraId="5287393E" w14:textId="77777777">
        <w:trPr>
          <w:trHeight w:val="460"/>
          <w:tblHeader/>
        </w:trPr>
        <w:tc>
          <w:tcPr>
            <w:tcW w:w="9870" w:type="dxa"/>
            <w:gridSpan w:val="2"/>
            <w:tcBorders>
              <w:top w:val="single" w:sz="8" w:space="0" w:color="BDC1C6"/>
              <w:left w:val="nil"/>
              <w:bottom w:val="single" w:sz="8" w:space="0" w:color="BDC1C6"/>
              <w:right w:val="single" w:sz="8" w:space="0" w:color="BDC1C6"/>
            </w:tcBorders>
            <w:shd w:val="clear" w:color="auto" w:fill="F1F3F4"/>
          </w:tcPr>
          <w:p w14:paraId="23AD82FF" w14:textId="77777777" w:rsidR="00660CB1" w:rsidRDefault="00000000" w:rsidP="007647B6">
            <w:pPr>
              <w:pStyle w:val="Heading2"/>
              <w:widowControl w:val="0"/>
              <w:spacing w:before="120" w:after="120"/>
              <w:rPr>
                <w:sz w:val="24"/>
                <w:szCs w:val="24"/>
              </w:rPr>
            </w:pPr>
            <w:bookmarkStart w:id="2" w:name="_s94hb4wj26r3" w:colFirst="0" w:colLast="0"/>
            <w:bookmarkEnd w:id="2"/>
            <w:r>
              <w:rPr>
                <w:sz w:val="24"/>
                <w:szCs w:val="24"/>
              </w:rPr>
              <w:t>Team:</w:t>
            </w:r>
          </w:p>
        </w:tc>
      </w:tr>
      <w:tr w:rsidR="00660CB1" w14:paraId="48FEF159" w14:textId="77777777">
        <w:trPr>
          <w:tblHeader/>
        </w:trPr>
        <w:tc>
          <w:tcPr>
            <w:tcW w:w="4935" w:type="dxa"/>
            <w:tcBorders>
              <w:top w:val="single" w:sz="8" w:space="0" w:color="BDC1C6"/>
              <w:left w:val="single" w:sz="8" w:space="0" w:color="BDC1C6"/>
              <w:bottom w:val="single" w:sz="8" w:space="0" w:color="BDC1C6"/>
              <w:right w:val="single" w:sz="8" w:space="0" w:color="BDC1C6"/>
            </w:tcBorders>
            <w:shd w:val="clear" w:color="auto" w:fill="F1F3F4"/>
            <w:vAlign w:val="bottom"/>
          </w:tcPr>
          <w:p w14:paraId="28ABD9BD" w14:textId="77777777" w:rsidR="00660CB1" w:rsidRPr="007647B6" w:rsidRDefault="00000000" w:rsidP="007647B6">
            <w:pPr>
              <w:widowControl w:val="0"/>
              <w:rPr>
                <w:sz w:val="20"/>
                <w:szCs w:val="20"/>
              </w:rPr>
            </w:pPr>
            <w:r>
              <w:rPr>
                <w:noProof/>
              </w:rPr>
              <w:drawing>
                <wp:inline distT="19050" distB="19050" distL="19050" distR="19050" wp14:anchorId="40EC8FAD" wp14:editId="4E50A96D">
                  <wp:extent cx="190500" cy="152400"/>
                  <wp:effectExtent l="0" t="0" r="0" b="0"/>
                  <wp:docPr id="2" name="image1.png" descr="People"/>
                  <wp:cNvGraphicFramePr/>
                  <a:graphic xmlns:a="http://schemas.openxmlformats.org/drawingml/2006/main">
                    <a:graphicData uri="http://schemas.openxmlformats.org/drawingml/2006/picture">
                      <pic:pic xmlns:pic="http://schemas.openxmlformats.org/drawingml/2006/picture">
                        <pic:nvPicPr>
                          <pic:cNvPr id="0" name="image1.png" descr="People"/>
                          <pic:cNvPicPr preferRelativeResize="0"/>
                        </pic:nvPicPr>
                        <pic:blipFill>
                          <a:blip r:embed="rId7"/>
                          <a:srcRect/>
                          <a:stretch>
                            <a:fillRect/>
                          </a:stretch>
                        </pic:blipFill>
                        <pic:spPr>
                          <a:xfrm>
                            <a:off x="0" y="0"/>
                            <a:ext cx="190500" cy="152400"/>
                          </a:xfrm>
                          <a:prstGeom prst="rect">
                            <a:avLst/>
                          </a:prstGeom>
                          <a:ln/>
                        </pic:spPr>
                      </pic:pic>
                    </a:graphicData>
                  </a:graphic>
                </wp:inline>
              </w:drawing>
            </w:r>
            <w:r w:rsidRPr="007647B6">
              <w:rPr>
                <w:sz w:val="20"/>
                <w:szCs w:val="20"/>
              </w:rPr>
              <w:t xml:space="preserve"> Name</w:t>
            </w:r>
          </w:p>
        </w:tc>
        <w:tc>
          <w:tcPr>
            <w:tcW w:w="4935" w:type="dxa"/>
            <w:tcBorders>
              <w:top w:val="single" w:sz="8" w:space="0" w:color="BDC1C6"/>
              <w:left w:val="single" w:sz="8" w:space="0" w:color="BDC1C6"/>
              <w:bottom w:val="single" w:sz="8" w:space="0" w:color="BDC1C6"/>
              <w:right w:val="single" w:sz="8" w:space="0" w:color="BDC1C6"/>
            </w:tcBorders>
            <w:shd w:val="clear" w:color="auto" w:fill="F1F3F4"/>
            <w:vAlign w:val="bottom"/>
          </w:tcPr>
          <w:p w14:paraId="63CCF5CF" w14:textId="77777777" w:rsidR="00660CB1" w:rsidRPr="007647B6" w:rsidRDefault="00000000" w:rsidP="007647B6">
            <w:pPr>
              <w:widowControl w:val="0"/>
              <w:rPr>
                <w:sz w:val="20"/>
                <w:szCs w:val="20"/>
              </w:rPr>
            </w:pPr>
            <w:r w:rsidRPr="007647B6">
              <w:rPr>
                <w:sz w:val="20"/>
                <w:szCs w:val="20"/>
              </w:rPr>
              <w:t>ID</w:t>
            </w:r>
          </w:p>
        </w:tc>
      </w:tr>
      <w:tr w:rsidR="00660CB1" w14:paraId="7C49CAA2" w14:textId="77777777">
        <w:tc>
          <w:tcPr>
            <w:tcW w:w="4935" w:type="dxa"/>
            <w:tcBorders>
              <w:top w:val="single" w:sz="8" w:space="0" w:color="BDC1C6"/>
              <w:left w:val="single" w:sz="8" w:space="0" w:color="BDC1C6"/>
              <w:bottom w:val="single" w:sz="8" w:space="0" w:color="BDC1C6"/>
              <w:right w:val="single" w:sz="8" w:space="0" w:color="BDC1C6"/>
            </w:tcBorders>
          </w:tcPr>
          <w:p w14:paraId="777DB36D" w14:textId="77777777" w:rsidR="00660CB1" w:rsidRPr="007647B6" w:rsidRDefault="00000000" w:rsidP="007647B6">
            <w:pPr>
              <w:spacing w:before="60" w:after="60"/>
              <w:rPr>
                <w:sz w:val="22"/>
                <w:szCs w:val="22"/>
              </w:rPr>
            </w:pPr>
            <w:r w:rsidRPr="007647B6">
              <w:rPr>
                <w:sz w:val="22"/>
                <w:szCs w:val="22"/>
              </w:rPr>
              <w:t>Mohamed Reda</w:t>
            </w:r>
          </w:p>
        </w:tc>
        <w:tc>
          <w:tcPr>
            <w:tcW w:w="4935" w:type="dxa"/>
            <w:tcBorders>
              <w:top w:val="single" w:sz="8" w:space="0" w:color="BDC1C6"/>
              <w:left w:val="single" w:sz="8" w:space="0" w:color="BDC1C6"/>
              <w:bottom w:val="single" w:sz="8" w:space="0" w:color="BDC1C6"/>
              <w:right w:val="single" w:sz="8" w:space="0" w:color="BDC1C6"/>
            </w:tcBorders>
          </w:tcPr>
          <w:p w14:paraId="2C596378" w14:textId="77777777" w:rsidR="00660CB1" w:rsidRPr="007647B6" w:rsidRDefault="00000000" w:rsidP="007647B6">
            <w:pPr>
              <w:spacing w:before="60" w:after="60"/>
              <w:rPr>
                <w:sz w:val="22"/>
                <w:szCs w:val="22"/>
              </w:rPr>
            </w:pPr>
            <w:r w:rsidRPr="007647B6">
              <w:rPr>
                <w:sz w:val="22"/>
                <w:szCs w:val="22"/>
              </w:rPr>
              <w:t>24-101232</w:t>
            </w:r>
          </w:p>
        </w:tc>
      </w:tr>
      <w:tr w:rsidR="00660CB1" w14:paraId="4FB02CA4" w14:textId="77777777">
        <w:tc>
          <w:tcPr>
            <w:tcW w:w="4935" w:type="dxa"/>
            <w:tcBorders>
              <w:top w:val="single" w:sz="8" w:space="0" w:color="BDC1C6"/>
              <w:left w:val="single" w:sz="8" w:space="0" w:color="BDC1C6"/>
              <w:bottom w:val="single" w:sz="8" w:space="0" w:color="BDC1C6"/>
              <w:right w:val="single" w:sz="8" w:space="0" w:color="BDC1C6"/>
            </w:tcBorders>
          </w:tcPr>
          <w:p w14:paraId="35EF931A" w14:textId="0E8B6E3E" w:rsidR="00660CB1" w:rsidRPr="007647B6" w:rsidRDefault="00000000" w:rsidP="007647B6">
            <w:pPr>
              <w:spacing w:before="60" w:after="60"/>
              <w:rPr>
                <w:sz w:val="22"/>
                <w:szCs w:val="22"/>
              </w:rPr>
            </w:pPr>
            <w:r w:rsidRPr="007647B6">
              <w:rPr>
                <w:sz w:val="22"/>
                <w:szCs w:val="22"/>
              </w:rPr>
              <w:t xml:space="preserve">Yousef </w:t>
            </w:r>
            <w:r w:rsidR="007647B6">
              <w:rPr>
                <w:sz w:val="22"/>
                <w:szCs w:val="22"/>
              </w:rPr>
              <w:t>M</w:t>
            </w:r>
            <w:r w:rsidRPr="007647B6">
              <w:rPr>
                <w:sz w:val="22"/>
                <w:szCs w:val="22"/>
              </w:rPr>
              <w:t>ohamed</w:t>
            </w:r>
          </w:p>
        </w:tc>
        <w:tc>
          <w:tcPr>
            <w:tcW w:w="4935" w:type="dxa"/>
            <w:tcBorders>
              <w:top w:val="single" w:sz="8" w:space="0" w:color="BDC1C6"/>
              <w:left w:val="single" w:sz="8" w:space="0" w:color="BDC1C6"/>
              <w:bottom w:val="single" w:sz="8" w:space="0" w:color="BDC1C6"/>
              <w:right w:val="single" w:sz="8" w:space="0" w:color="BDC1C6"/>
            </w:tcBorders>
          </w:tcPr>
          <w:p w14:paraId="42EB15CD" w14:textId="77777777" w:rsidR="00660CB1" w:rsidRPr="007647B6" w:rsidRDefault="00000000" w:rsidP="007647B6">
            <w:pPr>
              <w:spacing w:before="60" w:after="60"/>
              <w:rPr>
                <w:sz w:val="22"/>
                <w:szCs w:val="22"/>
              </w:rPr>
            </w:pPr>
            <w:r w:rsidRPr="007647B6">
              <w:rPr>
                <w:sz w:val="22"/>
                <w:szCs w:val="22"/>
              </w:rPr>
              <w:t>24-101174</w:t>
            </w:r>
          </w:p>
        </w:tc>
      </w:tr>
      <w:tr w:rsidR="00660CB1" w14:paraId="721CDA1D" w14:textId="77777777">
        <w:tc>
          <w:tcPr>
            <w:tcW w:w="4935" w:type="dxa"/>
            <w:tcBorders>
              <w:top w:val="single" w:sz="8" w:space="0" w:color="BDC1C6"/>
              <w:left w:val="single" w:sz="8" w:space="0" w:color="BDC1C6"/>
              <w:bottom w:val="single" w:sz="8" w:space="0" w:color="BDC1C6"/>
              <w:right w:val="single" w:sz="8" w:space="0" w:color="BDC1C6"/>
            </w:tcBorders>
          </w:tcPr>
          <w:p w14:paraId="34AD813F" w14:textId="77777777" w:rsidR="00660CB1" w:rsidRPr="007647B6" w:rsidRDefault="00000000" w:rsidP="007647B6">
            <w:pPr>
              <w:spacing w:before="60" w:after="60"/>
              <w:rPr>
                <w:sz w:val="22"/>
                <w:szCs w:val="22"/>
              </w:rPr>
            </w:pPr>
            <w:r w:rsidRPr="007647B6">
              <w:rPr>
                <w:sz w:val="22"/>
                <w:szCs w:val="22"/>
              </w:rPr>
              <w:t>Taha Ahmed</w:t>
            </w:r>
          </w:p>
        </w:tc>
        <w:tc>
          <w:tcPr>
            <w:tcW w:w="4935" w:type="dxa"/>
            <w:tcBorders>
              <w:top w:val="single" w:sz="8" w:space="0" w:color="BDC1C6"/>
              <w:left w:val="single" w:sz="8" w:space="0" w:color="BDC1C6"/>
              <w:bottom w:val="single" w:sz="8" w:space="0" w:color="BDC1C6"/>
              <w:right w:val="single" w:sz="8" w:space="0" w:color="BDC1C6"/>
            </w:tcBorders>
          </w:tcPr>
          <w:p w14:paraId="7F44166A" w14:textId="77777777" w:rsidR="00660CB1" w:rsidRPr="007647B6" w:rsidRDefault="00000000" w:rsidP="007647B6">
            <w:pPr>
              <w:spacing w:before="60" w:after="60"/>
              <w:rPr>
                <w:sz w:val="22"/>
                <w:szCs w:val="22"/>
              </w:rPr>
            </w:pPr>
            <w:r w:rsidRPr="007647B6">
              <w:rPr>
                <w:sz w:val="22"/>
                <w:szCs w:val="22"/>
              </w:rPr>
              <w:t>24-101520</w:t>
            </w:r>
          </w:p>
        </w:tc>
      </w:tr>
      <w:tr w:rsidR="007647B6" w14:paraId="1AE0B65B" w14:textId="77777777">
        <w:tc>
          <w:tcPr>
            <w:tcW w:w="4935" w:type="dxa"/>
            <w:tcBorders>
              <w:top w:val="single" w:sz="8" w:space="0" w:color="BDC1C6"/>
              <w:left w:val="single" w:sz="8" w:space="0" w:color="BDC1C6"/>
              <w:bottom w:val="single" w:sz="8" w:space="0" w:color="BDC1C6"/>
              <w:right w:val="single" w:sz="8" w:space="0" w:color="BDC1C6"/>
            </w:tcBorders>
          </w:tcPr>
          <w:p w14:paraId="7FC420D4" w14:textId="7F177A02" w:rsidR="007647B6" w:rsidRPr="007647B6" w:rsidRDefault="007647B6" w:rsidP="007647B6">
            <w:pPr>
              <w:spacing w:before="60" w:after="60"/>
              <w:rPr>
                <w:sz w:val="22"/>
                <w:szCs w:val="22"/>
              </w:rPr>
            </w:pPr>
            <w:r>
              <w:rPr>
                <w:sz w:val="22"/>
                <w:szCs w:val="22"/>
              </w:rPr>
              <w:t>Adham Abdo</w:t>
            </w:r>
          </w:p>
        </w:tc>
        <w:tc>
          <w:tcPr>
            <w:tcW w:w="4935" w:type="dxa"/>
            <w:tcBorders>
              <w:top w:val="single" w:sz="8" w:space="0" w:color="BDC1C6"/>
              <w:left w:val="single" w:sz="8" w:space="0" w:color="BDC1C6"/>
              <w:bottom w:val="single" w:sz="8" w:space="0" w:color="BDC1C6"/>
              <w:right w:val="single" w:sz="8" w:space="0" w:color="BDC1C6"/>
            </w:tcBorders>
          </w:tcPr>
          <w:p w14:paraId="222C5C61" w14:textId="1AE5D902" w:rsidR="007647B6" w:rsidRPr="007647B6" w:rsidRDefault="007647B6" w:rsidP="007647B6">
            <w:pPr>
              <w:spacing w:before="60" w:after="60"/>
              <w:rPr>
                <w:sz w:val="22"/>
                <w:szCs w:val="22"/>
              </w:rPr>
            </w:pPr>
            <w:r>
              <w:rPr>
                <w:sz w:val="22"/>
                <w:szCs w:val="22"/>
              </w:rPr>
              <w:t>24-101016</w:t>
            </w:r>
          </w:p>
        </w:tc>
      </w:tr>
    </w:tbl>
    <w:p w14:paraId="57E8833E" w14:textId="77777777" w:rsidR="00660CB1" w:rsidRDefault="00660CB1">
      <w:pPr>
        <w:rPr>
          <w:sz w:val="22"/>
          <w:szCs w:val="22"/>
        </w:rPr>
      </w:pPr>
    </w:p>
    <w:p w14:paraId="0DFFD358" w14:textId="77777777" w:rsidR="00660CB1" w:rsidRDefault="00000000">
      <w:r>
        <w:tab/>
      </w:r>
      <w:r>
        <w:tab/>
      </w:r>
      <w:r>
        <w:tab/>
      </w:r>
      <w:r>
        <w:tab/>
      </w:r>
    </w:p>
    <w:p w14:paraId="2A5B8713" w14:textId="77777777" w:rsidR="00660CB1" w:rsidRDefault="00000000">
      <w:r>
        <w:rPr>
          <w:b/>
          <w:bCs/>
          <w:color w:val="073763"/>
          <w:sz w:val="32"/>
          <w:szCs w:val="32"/>
        </w:rPr>
        <w:t xml:space="preserve"> </w:t>
      </w:r>
    </w:p>
    <w:p w14:paraId="1459AEE9" w14:textId="2A5326BB" w:rsidR="00660CB1" w:rsidRDefault="00000000">
      <w:pPr>
        <w:keepNext/>
        <w:pBdr>
          <w:top w:val="nil"/>
          <w:left w:val="nil"/>
          <w:bottom w:val="nil"/>
          <w:right w:val="nil"/>
          <w:between w:val="nil"/>
        </w:pBdr>
        <w:spacing w:before="480" w:after="240"/>
        <w:rPr>
          <w:b/>
          <w:bCs/>
          <w:color w:val="45818E"/>
          <w:sz w:val="36"/>
          <w:szCs w:val="36"/>
        </w:rPr>
      </w:pPr>
      <w:r>
        <w:rPr>
          <w:b/>
          <w:bCs/>
          <w:color w:val="45818E"/>
          <w:sz w:val="36"/>
          <w:szCs w:val="36"/>
        </w:rPr>
        <w:lastRenderedPageBreak/>
        <w:t xml:space="preserve">Project Proposal: </w:t>
      </w:r>
      <w:r w:rsidR="007647B6">
        <w:rPr>
          <w:b/>
          <w:bCs/>
          <w:color w:val="45818E"/>
          <w:sz w:val="36"/>
          <w:szCs w:val="36"/>
        </w:rPr>
        <w:t>Data</w:t>
      </w:r>
      <w:r>
        <w:rPr>
          <w:b/>
          <w:bCs/>
          <w:color w:val="45818E"/>
          <w:sz w:val="36"/>
          <w:szCs w:val="36"/>
        </w:rPr>
        <w:t xml:space="preserve"> Analysis of EGX30 Blue-Chip Stocks</w:t>
      </w:r>
    </w:p>
    <w:p w14:paraId="4F97CD4D" w14:textId="77777777" w:rsidR="00660CB1" w:rsidRDefault="00000000">
      <w:pPr>
        <w:keepNext/>
        <w:pBdr>
          <w:top w:val="nil"/>
          <w:left w:val="nil"/>
          <w:bottom w:val="nil"/>
          <w:right w:val="nil"/>
          <w:between w:val="nil"/>
        </w:pBdr>
        <w:spacing w:before="400" w:after="200"/>
        <w:rPr>
          <w:color w:val="000000"/>
        </w:rPr>
      </w:pPr>
      <w:r>
        <w:rPr>
          <w:b/>
          <w:bCs/>
          <w:color w:val="073763"/>
          <w:sz w:val="32"/>
          <w:szCs w:val="32"/>
        </w:rPr>
        <w:t>1. Project Overview</w:t>
      </w:r>
    </w:p>
    <w:p w14:paraId="0DABE6B5" w14:textId="01EC66C7" w:rsidR="00660CB1" w:rsidRDefault="00000000">
      <w:pPr>
        <w:spacing w:after="120"/>
      </w:pPr>
      <w:r>
        <w:rPr>
          <w:rFonts w:ascii="Arial" w:eastAsia="Arial" w:hAnsi="Arial" w:cs="Arial"/>
          <w:sz w:val="22"/>
          <w:szCs w:val="22"/>
        </w:rPr>
        <w:t xml:space="preserve">This project investigates the historical trends, volatility patterns, and future price trajectory of the </w:t>
      </w:r>
      <w:r>
        <w:rPr>
          <w:rFonts w:ascii="Arial" w:eastAsia="Arial" w:hAnsi="Arial" w:cs="Arial"/>
          <w:b/>
          <w:bCs/>
          <w:sz w:val="22"/>
          <w:szCs w:val="22"/>
        </w:rPr>
        <w:t xml:space="preserve">EGX30 </w:t>
      </w:r>
      <w:r>
        <w:rPr>
          <w:rFonts w:ascii="Arial" w:eastAsia="Arial" w:hAnsi="Arial" w:cs="Arial"/>
          <w:sz w:val="22"/>
          <w:szCs w:val="22"/>
        </w:rPr>
        <w:t>index. The benchmark index of the Egyptian Exchange (EGX) comprising the top 30 most liquid stocks.</w:t>
      </w:r>
      <w:r>
        <w:t>We will explore market volatility, sector correlations, and the effectiveness of technical indicators in the Egyptian market context.</w:t>
      </w:r>
      <w:r w:rsidR="007647B6">
        <w:t xml:space="preserve"> W</w:t>
      </w:r>
      <w:r>
        <w:t xml:space="preserve">e are performing a time-series analysis to identify if the EGX30 follows an </w:t>
      </w:r>
      <w:r>
        <w:rPr>
          <w:b/>
          <w:bCs/>
        </w:rPr>
        <w:t>Efficient Market Hypothesis</w:t>
      </w:r>
      <w:r>
        <w:t xml:space="preserve"> or if patterns like </w:t>
      </w:r>
      <w:r>
        <w:rPr>
          <w:b/>
          <w:bCs/>
        </w:rPr>
        <w:t xml:space="preserve">Mean Reversion </w:t>
      </w:r>
      <w:r>
        <w:t>exist.</w:t>
      </w:r>
    </w:p>
    <w:p w14:paraId="16BE582B" w14:textId="77777777" w:rsidR="00660CB1" w:rsidRDefault="00000000" w:rsidP="007647B6">
      <w:pPr>
        <w:keepNext/>
        <w:pBdr>
          <w:top w:val="nil"/>
          <w:left w:val="nil"/>
          <w:bottom w:val="nil"/>
          <w:right w:val="nil"/>
          <w:between w:val="nil"/>
        </w:pBdr>
        <w:spacing w:before="400" w:after="200"/>
        <w:rPr>
          <w:b/>
          <w:bCs/>
          <w:color w:val="073763"/>
          <w:sz w:val="32"/>
          <w:szCs w:val="32"/>
        </w:rPr>
      </w:pPr>
      <w:r>
        <w:rPr>
          <w:b/>
          <w:bCs/>
          <w:color w:val="073763"/>
          <w:sz w:val="32"/>
          <w:szCs w:val="32"/>
        </w:rPr>
        <w:t>2. Dataset Description</w:t>
      </w:r>
    </w:p>
    <w:p w14:paraId="1F4915C2" w14:textId="77777777" w:rsidR="00660CB1" w:rsidRDefault="00000000" w:rsidP="007647B6">
      <w:pPr>
        <w:pBdr>
          <w:top w:val="nil"/>
          <w:left w:val="nil"/>
          <w:bottom w:val="nil"/>
          <w:right w:val="nil"/>
          <w:between w:val="nil"/>
        </w:pBdr>
        <w:spacing w:before="120" w:after="120"/>
        <w:rPr>
          <w:rFonts w:ascii="Arial" w:eastAsia="Arial" w:hAnsi="Arial" w:cs="Arial"/>
        </w:rPr>
      </w:pPr>
      <w:r>
        <w:rPr>
          <w:color w:val="000000"/>
        </w:rPr>
        <w:t xml:space="preserve">We will use the </w:t>
      </w:r>
      <w:r>
        <w:rPr>
          <w:rFonts w:ascii="Arial" w:eastAsia="Arial" w:hAnsi="Arial" w:cs="Arial"/>
          <w:b/>
          <w:bCs/>
          <w:color w:val="202124"/>
        </w:rPr>
        <w:t>EGX Egyptian Stocks Historical Data</w:t>
      </w:r>
      <w:r>
        <w:rPr>
          <w:color w:val="000000"/>
        </w:rPr>
        <w:t xml:space="preserve"> dataset sourced from Kaggle. This dataset provides comprehensive daily OHLCV data for over 200 Egyptian publicly traded companies, including market leaders like Commercial International Bank (COMI), EFG Hermes (HRHO), and Talaat Moustafa Group (TMGH). </w:t>
      </w:r>
      <w:r>
        <w:t xml:space="preserve">We will analyze the OHLCV data (Open, High, Low, Close, Volume). </w:t>
      </w:r>
      <w:r>
        <w:rPr>
          <w:rFonts w:ascii="Arial" w:eastAsia="Arial" w:hAnsi="Arial" w:cs="Arial"/>
        </w:rPr>
        <w:t xml:space="preserve">Using Pandas we will create Daily Returns =  </w:t>
      </w:r>
      <m:oMath>
        <m:f>
          <m:fPr>
            <m:ctrlPr>
              <w:rPr>
                <w:rFonts w:ascii="Arial" w:eastAsia="Arial" w:hAnsi="Arial" w:cs="Arial"/>
              </w:rPr>
            </m:ctrlPr>
          </m:fPr>
          <m:num>
            <m:r>
              <w:rPr>
                <w:rFonts w:ascii="Arial" w:eastAsia="Arial" w:hAnsi="Arial" w:cs="Arial"/>
              </w:rPr>
              <m:t>PRICE t - PRICE t-1</m:t>
            </m:r>
          </m:num>
          <m:den>
            <m:r>
              <w:rPr>
                <w:rFonts w:ascii="Arial" w:eastAsia="Arial" w:hAnsi="Arial" w:cs="Arial"/>
              </w:rPr>
              <m:t>PRICE t-1</m:t>
            </m:r>
          </m:den>
        </m:f>
      </m:oMath>
      <w:r>
        <w:rPr>
          <w:rFonts w:ascii="Arial" w:eastAsia="Arial" w:hAnsi="Arial" w:cs="Arial"/>
        </w:rPr>
        <w:t xml:space="preserve"> and Volatility to serve as our primary metrics for analysis.</w:t>
      </w:r>
    </w:p>
    <w:p w14:paraId="51D4666D" w14:textId="77777777" w:rsidR="00660CB1" w:rsidRDefault="00660CB1" w:rsidP="007647B6">
      <w:pPr>
        <w:pBdr>
          <w:top w:val="nil"/>
          <w:left w:val="nil"/>
          <w:bottom w:val="nil"/>
          <w:right w:val="nil"/>
          <w:between w:val="nil"/>
        </w:pBdr>
        <w:spacing w:before="120" w:after="120"/>
      </w:pPr>
    </w:p>
    <w:p w14:paraId="5C6A5137" w14:textId="77777777" w:rsidR="00660CB1" w:rsidRDefault="00660CB1" w:rsidP="007647B6">
      <w:pPr>
        <w:pBdr>
          <w:top w:val="nil"/>
          <w:left w:val="nil"/>
          <w:bottom w:val="nil"/>
          <w:right w:val="nil"/>
          <w:between w:val="nil"/>
        </w:pBdr>
        <w:spacing w:after="60"/>
        <w:rPr>
          <w:color w:val="000000"/>
          <w:sz w:val="12"/>
          <w:szCs w:val="12"/>
        </w:rPr>
      </w:pPr>
    </w:p>
    <w:p w14:paraId="75BAA137" w14:textId="77777777" w:rsidR="00660CB1" w:rsidRDefault="00000000" w:rsidP="007647B6">
      <w:pPr>
        <w:pBdr>
          <w:top w:val="nil"/>
          <w:left w:val="nil"/>
          <w:bottom w:val="nil"/>
          <w:right w:val="nil"/>
          <w:between w:val="nil"/>
        </w:pBdr>
        <w:spacing w:before="60" w:after="60"/>
        <w:rPr>
          <w:color w:val="000000"/>
        </w:rPr>
      </w:pPr>
      <w:r>
        <w:rPr>
          <w:b/>
          <w:bCs/>
          <w:color w:val="000000"/>
        </w:rPr>
        <w:t>Source:</w:t>
      </w:r>
      <w:r>
        <w:rPr>
          <w:color w:val="000000"/>
        </w:rPr>
        <w:t xml:space="preserve"> </w:t>
      </w:r>
      <w:hyperlink r:id="rId8">
        <w:r>
          <w:rPr>
            <w:color w:val="1155CC"/>
            <w:u w:val="single"/>
          </w:rPr>
          <w:t>Dataset link</w:t>
        </w:r>
      </w:hyperlink>
    </w:p>
    <w:p w14:paraId="13C7ACF3" w14:textId="77777777" w:rsidR="00660CB1" w:rsidRDefault="00000000" w:rsidP="007647B6">
      <w:pPr>
        <w:pBdr>
          <w:top w:val="nil"/>
          <w:left w:val="nil"/>
          <w:bottom w:val="nil"/>
          <w:right w:val="nil"/>
          <w:between w:val="nil"/>
        </w:pBdr>
        <w:spacing w:before="60" w:after="60"/>
        <w:rPr>
          <w:color w:val="000000"/>
        </w:rPr>
      </w:pPr>
      <w:r>
        <w:rPr>
          <w:b/>
          <w:bCs/>
          <w:color w:val="000000"/>
        </w:rPr>
        <w:t>Time Range:</w:t>
      </w:r>
      <w:r>
        <w:rPr>
          <w:color w:val="000000"/>
        </w:rPr>
        <w:t xml:space="preserve"> January 2021 to February 2026</w:t>
      </w:r>
    </w:p>
    <w:p w14:paraId="6E42A464" w14:textId="77777777" w:rsidR="00660CB1" w:rsidRDefault="00000000" w:rsidP="007647B6">
      <w:pPr>
        <w:pBdr>
          <w:top w:val="nil"/>
          <w:left w:val="nil"/>
          <w:bottom w:val="nil"/>
          <w:right w:val="nil"/>
          <w:between w:val="nil"/>
        </w:pBdr>
        <w:spacing w:before="60" w:after="60"/>
      </w:pPr>
      <w:r>
        <w:rPr>
          <w:b/>
          <w:bCs/>
          <w:color w:val="000000"/>
        </w:rPr>
        <w:t>Format:</w:t>
      </w:r>
      <w:r>
        <w:rPr>
          <w:color w:val="000000"/>
        </w:rPr>
        <w:t xml:space="preserve"> CSV files for each stock symbol</w:t>
      </w:r>
    </w:p>
    <w:p w14:paraId="0DA9806D" w14:textId="77777777" w:rsidR="00660CB1" w:rsidRDefault="00660CB1" w:rsidP="007647B6">
      <w:pPr>
        <w:pBdr>
          <w:top w:val="nil"/>
          <w:left w:val="nil"/>
          <w:bottom w:val="nil"/>
          <w:right w:val="nil"/>
          <w:between w:val="nil"/>
        </w:pBdr>
        <w:spacing w:before="60" w:after="60"/>
      </w:pPr>
    </w:p>
    <w:p w14:paraId="3AB07EE2" w14:textId="77777777" w:rsidR="00660CB1" w:rsidRDefault="00000000" w:rsidP="007647B6">
      <w:pPr>
        <w:pStyle w:val="Heading2"/>
        <w:spacing w:before="240" w:after="120"/>
        <w:rPr>
          <w:rFonts w:ascii="Arial" w:eastAsia="Arial" w:hAnsi="Arial" w:cs="Arial"/>
          <w:b/>
          <w:bCs/>
          <w:color w:val="073763"/>
          <w:sz w:val="32"/>
          <w:szCs w:val="32"/>
        </w:rPr>
      </w:pPr>
      <w:r>
        <w:rPr>
          <w:rFonts w:ascii="Arial" w:eastAsia="Arial" w:hAnsi="Arial" w:cs="Arial"/>
          <w:b/>
          <w:bCs/>
          <w:color w:val="073763"/>
          <w:sz w:val="32"/>
          <w:szCs w:val="32"/>
        </w:rPr>
        <w:t>3.</w:t>
      </w:r>
      <w:r>
        <w:rPr>
          <w:rFonts w:ascii="Arial" w:eastAsia="Arial" w:hAnsi="Arial" w:cs="Arial"/>
          <w:b/>
          <w:bCs/>
          <w:color w:val="2E75B6"/>
          <w:sz w:val="32"/>
          <w:szCs w:val="32"/>
        </w:rPr>
        <w:t xml:space="preserve"> </w:t>
      </w:r>
      <w:r>
        <w:rPr>
          <w:rFonts w:ascii="Arial" w:eastAsia="Arial" w:hAnsi="Arial" w:cs="Arial"/>
          <w:b/>
          <w:bCs/>
          <w:color w:val="073763"/>
          <w:sz w:val="32"/>
          <w:szCs w:val="32"/>
        </w:rPr>
        <w:t>Data Quality Plan</w:t>
      </w:r>
    </w:p>
    <w:p w14:paraId="4E67F2A9" w14:textId="5E406EA2" w:rsidR="00660CB1" w:rsidRPr="007647B6" w:rsidRDefault="00000000" w:rsidP="007647B6">
      <w:pPr>
        <w:numPr>
          <w:ilvl w:val="0"/>
          <w:numId w:val="1"/>
        </w:numPr>
        <w:rPr>
          <w:rFonts w:ascii="Arial" w:eastAsia="Arial" w:hAnsi="Arial" w:cs="Arial"/>
          <w:sz w:val="22"/>
          <w:szCs w:val="22"/>
        </w:rPr>
      </w:pPr>
      <w:r>
        <w:rPr>
          <w:rFonts w:ascii="Arial" w:eastAsia="Arial" w:hAnsi="Arial" w:cs="Arial"/>
          <w:sz w:val="22"/>
          <w:szCs w:val="22"/>
        </w:rPr>
        <w:t>Handle missing trading days via forward-fill</w:t>
      </w:r>
    </w:p>
    <w:p w14:paraId="4E48C619" w14:textId="108F5317" w:rsidR="00660CB1" w:rsidRPr="007647B6" w:rsidRDefault="00000000" w:rsidP="007647B6">
      <w:pPr>
        <w:numPr>
          <w:ilvl w:val="0"/>
          <w:numId w:val="1"/>
        </w:numPr>
        <w:spacing w:line="276" w:lineRule="auto"/>
        <w:rPr>
          <w:rFonts w:ascii="Arial" w:eastAsia="Arial" w:hAnsi="Arial" w:cs="Arial"/>
          <w:sz w:val="22"/>
          <w:szCs w:val="22"/>
        </w:rPr>
      </w:pPr>
      <w:r>
        <w:rPr>
          <w:rFonts w:ascii="Arial" w:eastAsia="Arial" w:hAnsi="Arial" w:cs="Arial"/>
          <w:sz w:val="22"/>
          <w:szCs w:val="22"/>
        </w:rPr>
        <w:t>Handling Missingness</w:t>
      </w:r>
      <w:r>
        <w:rPr>
          <w:rFonts w:ascii="Arial" w:eastAsia="Arial" w:hAnsi="Arial" w:cs="Arial"/>
          <w:b/>
          <w:bCs/>
          <w:sz w:val="22"/>
          <w:szCs w:val="22"/>
        </w:rPr>
        <w:t>:</w:t>
      </w:r>
      <w:r>
        <w:rPr>
          <w:rFonts w:ascii="Arial" w:eastAsia="Arial" w:hAnsi="Arial" w:cs="Arial"/>
          <w:sz w:val="22"/>
          <w:szCs w:val="22"/>
        </w:rPr>
        <w:t xml:space="preserve"> We will identify null values using </w:t>
      </w:r>
      <w:r>
        <w:rPr>
          <w:rFonts w:ascii="Arial" w:eastAsia="Arial" w:hAnsi="Arial" w:cs="Arial"/>
          <w:b/>
          <w:bCs/>
          <w:sz w:val="22"/>
          <w:szCs w:val="22"/>
        </w:rPr>
        <w:t>.isnull().sum()</w:t>
      </w:r>
      <w:r>
        <w:rPr>
          <w:rFonts w:ascii="Arial" w:eastAsia="Arial" w:hAnsi="Arial" w:cs="Arial"/>
          <w:sz w:val="22"/>
          <w:szCs w:val="22"/>
        </w:rPr>
        <w:t xml:space="preserve"> and apply a Forward-Fill</w:t>
      </w:r>
      <w:r>
        <w:rPr>
          <w:rFonts w:ascii="Arial" w:eastAsia="Arial" w:hAnsi="Arial" w:cs="Arial"/>
          <w:b/>
          <w:bCs/>
          <w:sz w:val="22"/>
          <w:szCs w:val="22"/>
        </w:rPr>
        <w:t xml:space="preserve"> ffill</w:t>
      </w:r>
      <w:r>
        <w:rPr>
          <w:rFonts w:ascii="Arial" w:eastAsia="Arial" w:hAnsi="Arial" w:cs="Arial"/>
          <w:sz w:val="22"/>
          <w:szCs w:val="22"/>
        </w:rPr>
        <w:t xml:space="preserve"> strategy to ensure continuity in time-series data without introducing "look-ahead" bias.</w:t>
      </w:r>
    </w:p>
    <w:p w14:paraId="58E4790F" w14:textId="77777777" w:rsidR="00660CB1" w:rsidRDefault="00000000">
      <w:pPr>
        <w:keepNext/>
        <w:pBdr>
          <w:top w:val="nil"/>
          <w:left w:val="nil"/>
          <w:bottom w:val="nil"/>
          <w:right w:val="nil"/>
          <w:between w:val="nil"/>
        </w:pBdr>
        <w:spacing w:before="400" w:after="200"/>
        <w:rPr>
          <w:b/>
          <w:bCs/>
          <w:color w:val="073763"/>
          <w:sz w:val="32"/>
          <w:szCs w:val="32"/>
        </w:rPr>
      </w:pPr>
      <w:r>
        <w:rPr>
          <w:b/>
          <w:bCs/>
          <w:color w:val="073763"/>
          <w:sz w:val="32"/>
          <w:szCs w:val="32"/>
        </w:rPr>
        <w:t>4. Research Question &amp; Hypothesis</w:t>
      </w:r>
    </w:p>
    <w:p w14:paraId="2D484932" w14:textId="77777777" w:rsidR="007647B6" w:rsidRDefault="00000000" w:rsidP="007647B6">
      <w:pPr>
        <w:pBdr>
          <w:top w:val="nil"/>
          <w:left w:val="nil"/>
          <w:bottom w:val="nil"/>
          <w:right w:val="nil"/>
          <w:between w:val="nil"/>
        </w:pBdr>
        <w:spacing w:before="120" w:after="120"/>
        <w:rPr>
          <w:color w:val="000000"/>
        </w:rPr>
      </w:pPr>
      <w:r>
        <w:rPr>
          <w:b/>
          <w:bCs/>
          <w:color w:val="000000"/>
        </w:rPr>
        <w:t>Research Question:</w:t>
      </w:r>
      <w:r>
        <w:rPr>
          <w:color w:val="000000"/>
        </w:rPr>
        <w:t xml:space="preserve"> </w:t>
      </w:r>
      <w:r w:rsidR="007647B6" w:rsidRPr="007647B6">
        <w:rPr>
          <w:color w:val="000000"/>
        </w:rPr>
        <w:t>How do historical price trends influence the short-term price movements of EGX30 stocks?</w:t>
      </w:r>
    </w:p>
    <w:p w14:paraId="6E103265" w14:textId="1116A86E" w:rsidR="00660CB1" w:rsidRDefault="00000000" w:rsidP="007647B6">
      <w:pPr>
        <w:pBdr>
          <w:top w:val="nil"/>
          <w:left w:val="nil"/>
          <w:bottom w:val="nil"/>
          <w:right w:val="nil"/>
          <w:between w:val="nil"/>
        </w:pBdr>
        <w:spacing w:before="120" w:after="120"/>
        <w:rPr>
          <w:b/>
          <w:bCs/>
          <w:color w:val="000000"/>
        </w:rPr>
      </w:pPr>
      <w:r>
        <w:rPr>
          <w:b/>
          <w:bCs/>
          <w:color w:val="000000"/>
        </w:rPr>
        <w:t>Hypotheses:</w:t>
      </w:r>
    </w:p>
    <w:p w14:paraId="7E6A48B2" w14:textId="77777777" w:rsidR="00660CB1" w:rsidRDefault="00000000">
      <w:pPr>
        <w:numPr>
          <w:ilvl w:val="0"/>
          <w:numId w:val="3"/>
        </w:numPr>
        <w:spacing w:line="276" w:lineRule="auto"/>
        <w:rPr>
          <w:rFonts w:ascii="Arial" w:eastAsia="Arial" w:hAnsi="Arial" w:cs="Arial"/>
        </w:rPr>
      </w:pPr>
      <w:r>
        <w:rPr>
          <w:rFonts w:ascii="Arial" w:eastAsia="Arial" w:hAnsi="Arial" w:cs="Arial"/>
        </w:rPr>
        <w:t>H_0 (Null)</w:t>
      </w:r>
      <m:oMath>
        <m:r>
          <w:rPr>
            <w:rFonts w:ascii="Arial" w:eastAsia="Arial" w:hAnsi="Arial" w:cs="Arial"/>
          </w:rPr>
          <m:t xml:space="preserve"> μ </m:t>
        </m:r>
      </m:oMath>
      <w:r>
        <w:rPr>
          <w:rFonts w:ascii="Arial" w:eastAsia="Arial" w:hAnsi="Arial" w:cs="Arial"/>
        </w:rPr>
        <w:t>: = 0 (The market is a random walk, no consistent gains).</w:t>
      </w:r>
    </w:p>
    <w:p w14:paraId="4E73C62E" w14:textId="77777777" w:rsidR="00660CB1" w:rsidRDefault="00000000">
      <w:pPr>
        <w:numPr>
          <w:ilvl w:val="0"/>
          <w:numId w:val="3"/>
        </w:numPr>
        <w:spacing w:line="276" w:lineRule="auto"/>
        <w:rPr>
          <w:rFonts w:ascii="Arial" w:eastAsia="Arial" w:hAnsi="Arial" w:cs="Arial"/>
        </w:rPr>
      </w:pPr>
      <w:r>
        <w:rPr>
          <w:rFonts w:ascii="Arial" w:eastAsia="Arial" w:hAnsi="Arial" w:cs="Arial"/>
        </w:rPr>
        <w:t xml:space="preserve">H_1 (Alternative): </w:t>
      </w:r>
      <m:oMath>
        <m:r>
          <w:rPr>
            <w:rFonts w:ascii="Cambria Math" w:hAnsi="Cambria Math"/>
          </w:rPr>
          <m:t>μ</m:t>
        </m:r>
        <m:r>
          <w:rPr>
            <w:rFonts w:ascii="Arial" w:eastAsia="Arial" w:hAnsi="Arial" w:cs="Arial"/>
          </w:rPr>
          <m:t xml:space="preserve"> </m:t>
        </m:r>
        <m:r>
          <w:rPr>
            <w:rFonts w:ascii="Cambria Math" w:hAnsi="Cambria Math"/>
          </w:rPr>
          <m:t>≠</m:t>
        </m:r>
      </m:oMath>
      <w:r>
        <w:rPr>
          <w:rFonts w:ascii="Arial" w:eastAsia="Arial" w:hAnsi="Arial" w:cs="Arial"/>
        </w:rPr>
        <w:t xml:space="preserve"> 0 (There is a statistically significant trend).</w:t>
      </w:r>
    </w:p>
    <w:p w14:paraId="0E0CF951" w14:textId="254353A9" w:rsidR="007647B6" w:rsidRDefault="00000000" w:rsidP="007647B6">
      <w:pPr>
        <w:keepNext/>
        <w:pBdr>
          <w:top w:val="nil"/>
          <w:left w:val="nil"/>
          <w:bottom w:val="nil"/>
          <w:right w:val="nil"/>
          <w:between w:val="nil"/>
        </w:pBdr>
        <w:spacing w:before="400" w:after="200"/>
        <w:rPr>
          <w:color w:val="000000"/>
        </w:rPr>
      </w:pPr>
      <w:r w:rsidRPr="007647B6">
        <w:rPr>
          <w:b/>
          <w:bCs/>
          <w:color w:val="000000"/>
        </w:rPr>
        <w:t>Volatility Hypothesis:</w:t>
      </w:r>
      <w:r w:rsidRPr="007647B6">
        <w:rPr>
          <w:color w:val="000000"/>
        </w:rPr>
        <w:t xml:space="preserve"> </w:t>
      </w:r>
      <w:r w:rsidR="007647B6" w:rsidRPr="007647B6">
        <w:rPr>
          <w:color w:val="000000"/>
        </w:rPr>
        <w:t>Major macroeconomic shifts in Egypt (e.g., currency devaluations) lead to identifiable clusters of high volatility in the banking and real estate sectors</w:t>
      </w:r>
      <w:r w:rsidR="007647B6">
        <w:rPr>
          <w:color w:val="000000"/>
        </w:rPr>
        <w:t>.</w:t>
      </w:r>
    </w:p>
    <w:p w14:paraId="1F90D616" w14:textId="0EA293CE" w:rsidR="00660CB1" w:rsidRPr="007647B6" w:rsidRDefault="00000000" w:rsidP="007647B6">
      <w:pPr>
        <w:keepNext/>
        <w:pBdr>
          <w:top w:val="nil"/>
          <w:left w:val="nil"/>
          <w:bottom w:val="nil"/>
          <w:right w:val="nil"/>
          <w:between w:val="nil"/>
        </w:pBdr>
        <w:spacing w:before="400" w:after="200"/>
        <w:rPr>
          <w:color w:val="000000"/>
        </w:rPr>
      </w:pPr>
      <w:r w:rsidRPr="007647B6">
        <w:rPr>
          <w:b/>
          <w:bCs/>
          <w:color w:val="073763"/>
          <w:sz w:val="32"/>
          <w:szCs w:val="32"/>
        </w:rPr>
        <w:t>5. Analysis Plan</w:t>
      </w:r>
    </w:p>
    <w:p w14:paraId="1271D5D3" w14:textId="77777777" w:rsidR="00660CB1" w:rsidRDefault="00000000">
      <w:pPr>
        <w:pBdr>
          <w:top w:val="nil"/>
          <w:left w:val="nil"/>
          <w:bottom w:val="nil"/>
          <w:right w:val="nil"/>
          <w:between w:val="nil"/>
        </w:pBdr>
        <w:spacing w:before="120" w:after="120"/>
        <w:rPr>
          <w:color w:val="000000"/>
        </w:rPr>
      </w:pPr>
      <w:r>
        <w:rPr>
          <w:color w:val="000000"/>
        </w:rPr>
        <w:t>Our analysis will follow these key steps:</w:t>
      </w:r>
    </w:p>
    <w:p w14:paraId="3424AC3C" w14:textId="77777777" w:rsidR="00660CB1" w:rsidRDefault="00000000">
      <w:pPr>
        <w:numPr>
          <w:ilvl w:val="0"/>
          <w:numId w:val="4"/>
        </w:numPr>
        <w:pBdr>
          <w:top w:val="nil"/>
          <w:left w:val="nil"/>
          <w:bottom w:val="nil"/>
          <w:right w:val="nil"/>
          <w:between w:val="nil"/>
        </w:pBdr>
        <w:spacing w:before="60"/>
        <w:rPr>
          <w:color w:val="000000"/>
        </w:rPr>
      </w:pPr>
      <w:r>
        <w:rPr>
          <w:b/>
          <w:bCs/>
          <w:color w:val="000000"/>
        </w:rPr>
        <w:lastRenderedPageBreak/>
        <w:t>Data Preprocessing:</w:t>
      </w:r>
      <w:r>
        <w:rPr>
          <w:color w:val="000000"/>
        </w:rPr>
        <w:t xml:space="preserve"> Cleaning the dataset, handling missing values, and aligning dates across different stock symbols.</w:t>
      </w:r>
    </w:p>
    <w:p w14:paraId="7DF0568E" w14:textId="77777777" w:rsidR="00660CB1" w:rsidRDefault="00000000">
      <w:pPr>
        <w:numPr>
          <w:ilvl w:val="0"/>
          <w:numId w:val="4"/>
        </w:numPr>
      </w:pPr>
      <w:r>
        <w:rPr>
          <w:b/>
          <w:bCs/>
        </w:rPr>
        <w:t>Correlation Heatmaps:</w:t>
      </w:r>
      <w:r>
        <w:t xml:space="preserve"> Using </w:t>
      </w:r>
      <w:r>
        <w:rPr>
          <w:rFonts w:ascii="Roboto Mono" w:eastAsia="Roboto Mono" w:hAnsi="Roboto Mono" w:cs="Roboto Mono"/>
        </w:rPr>
        <w:t>sns.heatmap()</w:t>
      </w:r>
      <w:r>
        <w:t>, we will visualize the correlation between the top 10 stocks in the EGX30 to find Sector Clusters (e.g , do Banking and Real Estate move together?).</w:t>
      </w:r>
    </w:p>
    <w:p w14:paraId="083580D9" w14:textId="77777777" w:rsidR="00660CB1" w:rsidRDefault="00000000">
      <w:pPr>
        <w:numPr>
          <w:ilvl w:val="0"/>
          <w:numId w:val="4"/>
        </w:numPr>
        <w:pBdr>
          <w:top w:val="nil"/>
          <w:left w:val="nil"/>
          <w:bottom w:val="nil"/>
          <w:right w:val="nil"/>
          <w:between w:val="nil"/>
        </w:pBdr>
        <w:rPr>
          <w:color w:val="000000"/>
        </w:rPr>
      </w:pPr>
      <w:r>
        <w:rPr>
          <w:b/>
          <w:bCs/>
          <w:color w:val="000000"/>
        </w:rPr>
        <w:t>Exploratory Data Analysis (EDA):</w:t>
      </w:r>
      <w:r>
        <w:rPr>
          <w:color w:val="000000"/>
        </w:rPr>
        <w:t xml:space="preserve"> Visualizing price trends, volume spikes, and calculating daily returns for the top 5 EGX30 companies.</w:t>
      </w:r>
    </w:p>
    <w:p w14:paraId="079CB0AB" w14:textId="77777777" w:rsidR="00660CB1" w:rsidRDefault="00000000">
      <w:pPr>
        <w:numPr>
          <w:ilvl w:val="0"/>
          <w:numId w:val="4"/>
        </w:numPr>
        <w:pBdr>
          <w:top w:val="nil"/>
          <w:left w:val="nil"/>
          <w:bottom w:val="nil"/>
          <w:right w:val="nil"/>
          <w:between w:val="nil"/>
        </w:pBdr>
        <w:rPr>
          <w:color w:val="000000"/>
        </w:rPr>
      </w:pPr>
      <w:r>
        <w:rPr>
          <w:b/>
          <w:bCs/>
          <w:color w:val="000000"/>
        </w:rPr>
        <w:t>Sector Correlation:</w:t>
      </w:r>
      <w:r>
        <w:rPr>
          <w:color w:val="000000"/>
        </w:rPr>
        <w:t xml:space="preserve"> Analyzing how different sectors (Banking, Real Estate, Telecom) move in relation to each other.</w:t>
      </w:r>
    </w:p>
    <w:p w14:paraId="737169A4" w14:textId="497F1BB5" w:rsidR="007647B6" w:rsidRPr="007647B6" w:rsidRDefault="007647B6" w:rsidP="007647B6">
      <w:pPr>
        <w:numPr>
          <w:ilvl w:val="0"/>
          <w:numId w:val="4"/>
        </w:numPr>
        <w:pBdr>
          <w:top w:val="nil"/>
          <w:left w:val="nil"/>
          <w:bottom w:val="nil"/>
          <w:right w:val="nil"/>
          <w:between w:val="nil"/>
        </w:pBdr>
        <w:rPr>
          <w:color w:val="000000"/>
        </w:rPr>
      </w:pPr>
      <w:r w:rsidRPr="007647B6">
        <w:rPr>
          <w:b/>
          <w:bCs/>
          <w:color w:val="000000"/>
        </w:rPr>
        <w:t>Hypothesis Testing:</w:t>
      </w:r>
      <w:r w:rsidRPr="007647B6">
        <w:rPr>
          <w:color w:val="000000"/>
        </w:rPr>
        <w:t xml:space="preserve"> Using a 1-sample t-test to verify whether stock price growth is statistically significant, and a 2-sample t-test to compare whether sectors behave differently from each other. </w:t>
      </w:r>
    </w:p>
    <w:p w14:paraId="60EEAB37" w14:textId="2895BE72" w:rsidR="007647B6" w:rsidRPr="007647B6" w:rsidRDefault="007647B6" w:rsidP="007647B6">
      <w:pPr>
        <w:numPr>
          <w:ilvl w:val="0"/>
          <w:numId w:val="4"/>
        </w:numPr>
        <w:pBdr>
          <w:top w:val="nil"/>
          <w:left w:val="nil"/>
          <w:bottom w:val="nil"/>
          <w:right w:val="nil"/>
          <w:between w:val="nil"/>
        </w:pBdr>
        <w:rPr>
          <w:color w:val="000000"/>
        </w:rPr>
      </w:pPr>
      <w:r w:rsidRPr="007647B6">
        <w:rPr>
          <w:b/>
          <w:bCs/>
          <w:color w:val="000000"/>
        </w:rPr>
        <w:t>Descriptive Statistics &amp; Risk vs Return:</w:t>
      </w:r>
      <w:r w:rsidRPr="007647B6">
        <w:rPr>
          <w:color w:val="000000"/>
        </w:rPr>
        <w:t xml:space="preserve"> Calculating mean, standard deviation, skewness, and kurtosis for each stock, and plotting a Risk vs Return scatter to compare reward against volatility across all 10 stocks. </w:t>
      </w:r>
    </w:p>
    <w:p w14:paraId="132E5E79" w14:textId="426CF008" w:rsidR="007647B6" w:rsidRDefault="007647B6" w:rsidP="007647B6">
      <w:pPr>
        <w:numPr>
          <w:ilvl w:val="0"/>
          <w:numId w:val="4"/>
        </w:numPr>
        <w:pBdr>
          <w:top w:val="nil"/>
          <w:left w:val="nil"/>
          <w:bottom w:val="nil"/>
          <w:right w:val="nil"/>
          <w:between w:val="nil"/>
        </w:pBdr>
        <w:rPr>
          <w:color w:val="000000"/>
        </w:rPr>
      </w:pPr>
      <w:r w:rsidRPr="007647B6">
        <w:rPr>
          <w:b/>
          <w:bCs/>
          <w:color w:val="000000"/>
        </w:rPr>
        <w:t>Volatility Event Study:</w:t>
      </w:r>
      <w:r w:rsidRPr="007647B6">
        <w:rPr>
          <w:color w:val="000000"/>
        </w:rPr>
        <w:t xml:space="preserve"> Comparing 30-day volatility windows before and after each of the three EGP devaluation events (March 2022, October 2022, January 2024) to measure the market impact of macroeconomic shocks.</w:t>
      </w:r>
    </w:p>
    <w:p w14:paraId="38EF9876" w14:textId="77777777" w:rsidR="00660CB1" w:rsidRDefault="00660CB1">
      <w:pPr>
        <w:pBdr>
          <w:top w:val="nil"/>
          <w:left w:val="nil"/>
          <w:bottom w:val="nil"/>
          <w:right w:val="nil"/>
          <w:between w:val="nil"/>
        </w:pBdr>
        <w:spacing w:after="60"/>
        <w:rPr>
          <w:color w:val="000000"/>
          <w:sz w:val="12"/>
          <w:szCs w:val="12"/>
        </w:rPr>
      </w:pPr>
    </w:p>
    <w:p w14:paraId="5AB8C08E" w14:textId="77777777" w:rsidR="00660CB1" w:rsidRDefault="00000000">
      <w:pPr>
        <w:keepNext/>
        <w:pBdr>
          <w:top w:val="nil"/>
          <w:left w:val="nil"/>
          <w:bottom w:val="nil"/>
          <w:right w:val="nil"/>
          <w:between w:val="nil"/>
        </w:pBdr>
        <w:spacing w:before="400" w:after="200"/>
        <w:rPr>
          <w:b/>
          <w:bCs/>
          <w:color w:val="073763"/>
          <w:sz w:val="32"/>
          <w:szCs w:val="32"/>
        </w:rPr>
      </w:pPr>
      <w:r>
        <w:rPr>
          <w:b/>
          <w:bCs/>
          <w:color w:val="073763"/>
          <w:sz w:val="32"/>
          <w:szCs w:val="32"/>
        </w:rPr>
        <w:t>6. Expected Outcomes</w:t>
      </w:r>
    </w:p>
    <w:p w14:paraId="7CBFF1AE" w14:textId="7D7B49BD" w:rsidR="00660CB1" w:rsidRDefault="00000000">
      <w:pPr>
        <w:numPr>
          <w:ilvl w:val="0"/>
          <w:numId w:val="2"/>
        </w:numPr>
        <w:pBdr>
          <w:top w:val="nil"/>
          <w:left w:val="nil"/>
          <w:bottom w:val="nil"/>
          <w:right w:val="nil"/>
          <w:between w:val="nil"/>
        </w:pBdr>
        <w:spacing w:before="60" w:after="60"/>
      </w:pPr>
      <w:r>
        <w:rPr>
          <w:color w:val="000000"/>
        </w:rPr>
        <w:t>A comprehensive Python notebook demonstrating data cleaning</w:t>
      </w:r>
      <w:r w:rsidR="007647B6">
        <w:rPr>
          <w:color w:val="000000"/>
        </w:rPr>
        <w:t xml:space="preserve"> and</w:t>
      </w:r>
      <w:r>
        <w:rPr>
          <w:color w:val="000000"/>
        </w:rPr>
        <w:t xml:space="preserve"> visualization</w:t>
      </w:r>
      <w:r w:rsidR="007647B6">
        <w:rPr>
          <w:color w:val="000000"/>
        </w:rPr>
        <w:t>s</w:t>
      </w:r>
      <w:r>
        <w:rPr>
          <w:color w:val="000000"/>
        </w:rPr>
        <w:t>.</w:t>
      </w:r>
    </w:p>
    <w:p w14:paraId="6AA7A834" w14:textId="77777777" w:rsidR="00660CB1" w:rsidRDefault="00000000">
      <w:pPr>
        <w:numPr>
          <w:ilvl w:val="0"/>
          <w:numId w:val="2"/>
        </w:numPr>
        <w:pBdr>
          <w:top w:val="nil"/>
          <w:left w:val="nil"/>
          <w:bottom w:val="nil"/>
          <w:right w:val="nil"/>
          <w:between w:val="nil"/>
        </w:pBdr>
        <w:spacing w:before="60" w:after="60"/>
      </w:pPr>
      <w:r>
        <w:rPr>
          <w:color w:val="000000"/>
        </w:rPr>
        <w:t>A set of visualizations highlighting the most influential trends in the EGX over the last 5 years.</w:t>
      </w:r>
    </w:p>
    <w:p w14:paraId="3CECC6CE" w14:textId="77777777" w:rsidR="00660CB1" w:rsidRDefault="00000000">
      <w:pPr>
        <w:numPr>
          <w:ilvl w:val="0"/>
          <w:numId w:val="2"/>
        </w:numPr>
        <w:spacing w:after="80"/>
      </w:pPr>
      <w:r>
        <w:rPr>
          <w:rFonts w:ascii="Arial" w:eastAsia="Arial" w:hAnsi="Arial" w:cs="Arial"/>
          <w:sz w:val="22"/>
          <w:szCs w:val="22"/>
        </w:rPr>
        <w:t>Poster / PowerPoint. visual summary of key findings and prediction results</w:t>
      </w:r>
    </w:p>
    <w:p w14:paraId="6293A699" w14:textId="1F38A65C" w:rsidR="00660CB1" w:rsidRDefault="00000000">
      <w:pPr>
        <w:numPr>
          <w:ilvl w:val="0"/>
          <w:numId w:val="2"/>
        </w:numPr>
        <w:pBdr>
          <w:top w:val="nil"/>
          <w:left w:val="nil"/>
          <w:bottom w:val="nil"/>
          <w:right w:val="nil"/>
          <w:between w:val="nil"/>
        </w:pBdr>
        <w:spacing w:before="60" w:after="60"/>
      </w:pPr>
      <w:r>
        <w:rPr>
          <w:color w:val="000000"/>
        </w:rPr>
        <w:t>A final report summarizing our findings.</w:t>
      </w:r>
    </w:p>
    <w:p w14:paraId="556B2CA6" w14:textId="77777777" w:rsidR="00660CB1" w:rsidRDefault="00660CB1">
      <w:pPr>
        <w:spacing w:after="80"/>
        <w:ind w:left="720"/>
      </w:pPr>
    </w:p>
    <w:sectPr w:rsidR="00660CB1">
      <w:pgSz w:w="11906" w:h="16838"/>
      <w:pgMar w:top="1152" w:right="1008" w:bottom="1152"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1" w:fontKey="{173BE232-7CE1-4CC8-94F3-F8E9B4651521}"/>
    <w:embedItalic r:id="rId2" w:fontKey="{351DFB71-C15A-4F95-932A-7F91654C71AA}"/>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3" w:fontKey="{96CC628E-AEE2-4447-8DE7-C17C2EDE7ED6}"/>
  </w:font>
  <w:font w:name="Roboto Mono">
    <w:charset w:val="00"/>
    <w:family w:val="modern"/>
    <w:pitch w:val="fixed"/>
    <w:sig w:usb0="E00002FF" w:usb1="1000205B" w:usb2="00000020" w:usb3="00000000" w:csb0="0000019F" w:csb1="00000000"/>
    <w:embedRegular r:id="rId4" w:fontKey="{BCF62610-3DE0-478D-897D-16E7426E3A76}"/>
  </w:font>
  <w:font w:name="Calibri">
    <w:panose1 w:val="020F0502020204030204"/>
    <w:charset w:val="00"/>
    <w:family w:val="swiss"/>
    <w:pitch w:val="variable"/>
    <w:sig w:usb0="E4002EFF" w:usb1="C200247B" w:usb2="00000009" w:usb3="00000000" w:csb0="000001FF" w:csb1="00000000"/>
    <w:embedRegular r:id="rId5" w:fontKey="{B607193C-352D-4C26-863E-20901DECF42A}"/>
  </w:font>
  <w:font w:name="Cambria">
    <w:panose1 w:val="02040503050406030204"/>
    <w:charset w:val="00"/>
    <w:family w:val="roman"/>
    <w:pitch w:val="variable"/>
    <w:sig w:usb0="E00006FF" w:usb1="420024FF" w:usb2="02000000" w:usb3="00000000" w:csb0="0000019F" w:csb1="00000000"/>
    <w:embedRegular r:id="rId6" w:fontKey="{8048109D-3437-431F-A060-122DF81AA4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227B"/>
    <w:multiLevelType w:val="multilevel"/>
    <w:tmpl w:val="0D7A4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FE0B87"/>
    <w:multiLevelType w:val="multilevel"/>
    <w:tmpl w:val="C6D21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91240A"/>
    <w:multiLevelType w:val="multilevel"/>
    <w:tmpl w:val="938290C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2CC2790"/>
    <w:multiLevelType w:val="multilevel"/>
    <w:tmpl w:val="E44C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403901"/>
    <w:multiLevelType w:val="hybridMultilevel"/>
    <w:tmpl w:val="1B8C5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9962979">
    <w:abstractNumId w:val="1"/>
  </w:num>
  <w:num w:numId="2" w16cid:durableId="1653562144">
    <w:abstractNumId w:val="2"/>
  </w:num>
  <w:num w:numId="3" w16cid:durableId="1449546114">
    <w:abstractNumId w:val="3"/>
  </w:num>
  <w:num w:numId="4" w16cid:durableId="198055055">
    <w:abstractNumId w:val="0"/>
  </w:num>
  <w:num w:numId="5" w16cid:durableId="961113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B1"/>
    <w:rsid w:val="00124740"/>
    <w:rsid w:val="00402F28"/>
    <w:rsid w:val="00660CB1"/>
    <w:rsid w:val="007647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2863"/>
  <w15:docId w15:val="{ED2BC4B6-03C2-4748-9AB3-16D102B1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764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hmoudalrefaey/egx-egyptian-stocks-2021-2026?resource=downloa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Yousef Mohamed</cp:lastModifiedBy>
  <cp:revision>3</cp:revision>
  <dcterms:created xsi:type="dcterms:W3CDTF">2026-05-03T12:28:00Z</dcterms:created>
  <dcterms:modified xsi:type="dcterms:W3CDTF">2026-05-03T12:38:00Z</dcterms:modified>
</cp:coreProperties>
</file>