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0F172A"/>
          <w:sz w:val="56"/>
        </w:rPr>
        <w:t>MJRH INDUSTRIAL REVOLUTION</w:t>
        <w:br/>
      </w:r>
      <w:r>
        <w:rPr>
          <w:rFonts w:ascii="Arial" w:hAnsi="Arial"/>
          <w:b/>
          <w:color w:val="0D9488"/>
          <w:sz w:val="36"/>
        </w:rPr>
        <w:t>Executive Summary – Institutional Edition v1.0</w:t>
        <w:br/>
      </w:r>
      <w:r>
        <w:rPr>
          <w:rFonts w:ascii="Calibri" w:hAnsi="Calibri"/>
          <w:color w:val="475569"/>
          <w:sz w:val="28"/>
        </w:rPr>
        <w:t>The Operational Intelligence Platform (OIP) for Industrial, Commercial, and Service Businesses</w:t>
        <w:br/>
      </w:r>
    </w:p>
    <w:p>
      <w:pPr>
        <w:spacing w:before="2880" w:after="480"/>
        <w:jc w:val="center"/>
      </w:pPr>
      <w:r>
        <w:rPr>
          <w:rFonts w:ascii="Calibri" w:hAnsi="Calibri"/>
          <w:b/>
          <w:color w:val="64748B"/>
          <w:sz w:val="19"/>
        </w:rPr>
        <w:t>OFFICIAL INSTITUTIONAL DUE DILIGENCE DOCUMENTATION | VERSION 3.0</w:t>
        <w:br/>
        <w:br/>
        <w:t>Prepared By the Institutional Documentation Syndicate:</w:t>
        <w:br/>
        <w:t>Chief Executive Officer • Chief Strategy Officer • Venture Capital Partner • Investment Banker • SaaS CFO</w:t>
        <w:br/>
        <w:t>Enterprise Software Architect • Corporate Lawyer • Due Diligence Specialist • McKinsey Senior Consultant</w:t>
        <w:br/>
        <w:t>Bain Strategy Consultant • BCG Principal • Deloitte Deal Advisory Partner • Goldman Sachs Technology Investment Banker</w:t>
        <w:br/>
        <w:br/>
        <w:t>Date of Issuance: July 2026</w:t>
        <w:br/>
        <w:t>Corporate Headquarters: Cairo, Egypt • Serving MENA, European Union, and United States Markets</w:t>
        <w:br/>
        <w:t>Official Institutional Contact: mohamedriyad1408@gmail.com</w:t>
        <w:br/>
        <w:t>Platform Live Production URL: https://mjrh.vercel.app/</w:t>
        <w:br/>
        <w:br/>
        <w:t>CLASSIFICATION: STRICTLY CONFIDENTIAL — INSTITUTIONAL INVESTOR ACCESS ONLY</w:t>
      </w:r>
    </w:p>
    <w:p>
      <w:r>
        <w:br w:type="page"/>
      </w:r>
    </w:p>
    <w:p>
      <w:pPr>
        <w:keepNext/>
        <w:spacing w:before="360" w:after="160"/>
      </w:pPr>
      <w:r>
        <w:rPr>
          <w:rFonts w:ascii="Arial" w:hAnsi="Arial"/>
          <w:b/>
          <w:color w:val="0F172A"/>
          <w:sz w:val="36"/>
        </w:rPr>
        <w:t>CONFIDENTIALITY NOTICE &amp; INSTITUTIONAL DISCLAIMER</w:t>
      </w:r>
    </w:p>
    <w:p>
      <w:pPr>
        <w:spacing w:before="0" w:after="120" w:line="276" w:lineRule="auto"/>
      </w:pPr>
      <w:r>
        <w:rPr>
          <w:rFonts w:ascii="Calibri" w:hAnsi="Calibri"/>
          <w:color w:val="334155"/>
          <w:sz w:val="22"/>
        </w:rPr>
        <w:t>This Executive Summary and its accompanying technical, financial, and legal appendices (collectively, the "Institutional Documentation") have been prepared by the executive management and deal advisory syndicate of MJRH INDUSTRIAL REVOLUTION ("MJRH" or the "Company") strictly for the evaluation of potential institutional investment by qualified venture capital firms, private equity funds, strategic corporate investors, and family offices. This document is classified as STRICTLY CONFIDENTIAL. By accepting delivery of this document, the recipient agrees that neither this document nor any of its contents may be reproduced, copied, disclosed, distributed, or disseminated, in whole or in part, to any third party without the prior written and explicit authorization of the Chief Executive Officer of MJRH.</w:t>
      </w:r>
    </w:p>
    <w:p>
      <w:pPr>
        <w:spacing w:before="0" w:after="120" w:line="276" w:lineRule="auto"/>
      </w:pPr>
      <w:r>
        <w:rPr>
          <w:rFonts w:ascii="Calibri" w:hAnsi="Calibri"/>
          <w:color w:val="334155"/>
          <w:sz w:val="22"/>
        </w:rPr>
        <w:t>This document does not constitute an offer to sell, or a solicitation of an offer to buy, any securities or equity interests of MJRH in any jurisdiction where such an offer or solicitation would be unlawful. All financial projections, operational forecasts, and market expansion estimates contained within this report represent forward-looking statements subject to significant economic, competitive, and technological uncertainties. While every statement of fact, engineering hours calculation, codebase asset valuation, and architectural capability has been strictly verified against the production repository (Vercel deployment: mjrh.vercel.app / Supabase DB instance: postgresql://postgres...@db.dngjfjrjddigqadlyain.supabase.co:5432/postgres), future commercial results may vary. Institutional recipients are expected to conduct their own independent due diligence, utilizing the comprehensive 12-section MJRH Investment Data Room cross-referenced in Section 10 of this memorandum.</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4" w:space="0" w:color="CCCCCC"/>
              <w:bottom w:val="none" w:sz="4" w:space="0" w:color="CCCCCC"/>
              <w:left w:val="single" w:sz="24" w:space="0" w:color="0D9488"/>
              <w:right w:val="none" w:sz="4" w:space="0" w:color="CCCCCC"/>
            </w:tcBorders>
          </w:tcPr>
          <w:p>
            <w:pPr>
              <w:spacing w:before="80" w:after="120"/>
            </w:pPr>
            <w:r>
              <w:rPr>
                <w:rFonts w:ascii="Arial" w:hAnsi="Arial"/>
                <w:b/>
                <w:color w:val="0F172A"/>
                <w:sz w:val="22"/>
              </w:rPr>
              <w:t>■ INSTITUTIONAL DUE DILIGENCE MANDATE</w:t>
              <w:br/>
            </w:r>
            <w:r>
              <w:rPr>
                <w:rFonts w:ascii="Calibri" w:hAnsi="Calibri"/>
                <w:color w:val="334155"/>
                <w:sz w:val="21"/>
              </w:rPr>
              <w:t>1. Sovereign Data Verification: All architectural assertions, German Hybrid Governance structures (Version 2.6 Hybrid), and zero-emoji UI standards are live and verifiable in production.</w:t>
            </w:r>
          </w:p>
          <w:p>
            <w:pPr>
              <w:spacing w:before="40" w:after="80"/>
            </w:pPr>
            <w:r>
              <w:rPr>
                <w:rFonts w:ascii="Calibri" w:hAnsi="Calibri"/>
                <w:color w:val="334155"/>
                <w:sz w:val="21"/>
              </w:rPr>
              <w:t>2. Valuation Transparency: The EGP 15,000,000 Pre-Seed pre-money valuation is directly floored by EGP 11,610,000 in independently audited engineering replacement costs and algorithmic IP assets.</w:t>
            </w:r>
          </w:p>
          <w:p>
            <w:pPr>
              <w:spacing w:before="40" w:after="80"/>
            </w:pPr>
            <w:r>
              <w:rPr>
                <w:rFonts w:ascii="Calibri" w:hAnsi="Calibri"/>
                <w:color w:val="334155"/>
                <w:sz w:val="21"/>
              </w:rPr>
              <w:t>3. Audit Trail Integrity: Every operational claim is linked to the APDO (Actor -&gt; Process -&gt; Data -&gt; Output) database schema and cryptographic event logs.</w:t>
            </w:r>
          </w:p>
        </w:tc>
      </w:tr>
    </w:tbl>
    <w:p>
      <w:pPr>
        <w:spacing w:before="0" w:after="120"/>
      </w:pPr>
    </w:p>
    <w:p>
      <w:pPr>
        <w:keepNext/>
        <w:spacing w:before="280" w:after="120"/>
      </w:pPr>
      <w:r>
        <w:rPr>
          <w:rFonts w:ascii="Arial" w:hAnsi="Arial"/>
          <w:b/>
          <w:color w:val="1E293B"/>
          <w:sz w:val="28"/>
        </w:rPr>
        <w:t>Document Control &amp; Revision History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E293B"/>
            <w:tcMar>
              <w:top w:w="120" w:type="dxa"/>
              <w:bottom w:w="120" w:type="dxa"/>
              <w:left w:w="150" w:type="dxa"/>
              <w:right w:w="150" w:type="dxa"/>
            </w:tcMar>
          </w:tcPr>
          <w:p>
            <w:pPr>
              <w:spacing w:before="0" w:after="0"/>
              <w:jc w:val="left"/>
            </w:pPr>
            <w:r>
              <w:rPr>
                <w:rFonts w:ascii="Arial" w:hAnsi="Arial"/>
                <w:b/>
                <w:color w:val="FFFFFF"/>
                <w:sz w:val="20"/>
              </w:rPr>
              <w:t>Version</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Date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Authoring Body</w:t>
            </w:r>
          </w:p>
        </w:tc>
        <w:tc>
          <w:tcPr>
            <w:tcW w:type="dxa" w:w="4320"/>
            <w:shd w:fill="1E293B"/>
            <w:tcMar>
              <w:top w:w="120" w:type="dxa"/>
              <w:bottom w:w="120" w:type="dxa"/>
              <w:left w:w="150" w:type="dxa"/>
              <w:right w:w="150" w:type="dxa"/>
            </w:tcMar>
          </w:tcPr>
          <w:p>
            <w:pPr>
              <w:spacing w:before="0" w:after="0"/>
              <w:jc w:val="center"/>
            </w:pPr>
            <w:r>
              <w:rPr>
                <w:rFonts w:ascii="Arial" w:hAnsi="Arial"/>
                <w:b/>
                <w:color w:val="FFFFFF"/>
                <w:sz w:val="20"/>
              </w:rPr>
              <w:t>Description of Architectural &amp; Governance Changes</w:t>
            </w:r>
          </w:p>
        </w:tc>
      </w:tr>
      <w:tr>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v1.0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January 2026</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Chief Technical Officer</w:t>
            </w:r>
          </w:p>
        </w:tc>
        <w:tc>
          <w:tcPr>
            <w:tcW w:type="dxa" w:w="432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Initial conceptualization of the Dry Tech industrial laundry operating model and basic POS interface.</w:t>
            </w:r>
          </w:p>
        </w:tc>
      </w:tr>
      <w:tr>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v2.0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March 2026</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Enterprise Software Architect</w:t>
            </w:r>
          </w:p>
        </w:tc>
        <w:tc>
          <w:tcPr>
            <w:tcW w:type="dxa" w:w="432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Migration to cloud-native Supabase PostgreSQL infrastructure, TanStack Router 1, and React 18.</w:t>
            </w:r>
          </w:p>
        </w:tc>
      </w:tr>
      <w:tr>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v2.5</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May 2026</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SaaS CFO &amp; Lead SDET</w:t>
            </w:r>
          </w:p>
        </w:tc>
        <w:tc>
          <w:tcPr>
            <w:tcW w:type="dxa" w:w="432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Introduction of multi-tenant SaaS capabilities, double-entry financial ledger, and Vitest testing suite.</w:t>
            </w:r>
          </w:p>
        </w:tc>
      </w:tr>
      <w:tr>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v2.6 Hybrid</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June 2026</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Chief Enterprise Architect</w:t>
            </w:r>
          </w:p>
        </w:tc>
        <w:tc>
          <w:tcPr>
            <w:tcW w:type="dxa" w:w="432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Re-architecture into the German Hybrid Governance Model (10 departments), Touch Hyper-Automation, Sorter Return exception vault, and EGP 11.61M asset valuation.</w:t>
            </w:r>
          </w:p>
        </w:tc>
      </w:tr>
      <w:tr>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v3.0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July 2026</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Institutional Deal Syndicate</w:t>
            </w:r>
          </w:p>
        </w:tc>
        <w:tc>
          <w:tcPr>
            <w:tcW w:type="dxa" w:w="432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Definitive Institutional Executive Summary and Due Diligence Memorandum for EGP 3.0M Pre-Seed financing round.</w:t>
            </w:r>
          </w:p>
        </w:tc>
      </w:tr>
    </w:tbl>
    <w:p>
      <w:pPr>
        <w:keepNext/>
        <w:spacing w:before="360" w:after="160"/>
      </w:pPr>
      <w:r>
        <w:rPr>
          <w:rFonts w:ascii="Arial" w:hAnsi="Arial"/>
          <w:b/>
          <w:color w:val="0F172A"/>
          <w:sz w:val="36"/>
        </w:rPr>
        <w:t>EXECUTIVE TABLE OF CONTENTS</w:t>
      </w:r>
    </w:p>
    <w:tbl>
      <w:tblPr>
        <w:tblW w:type="auto" w:w="0"/>
        <w:jc w:val="center"/>
        <w:tblLayout w:type="fixed"/>
        <w:tblLook w:firstColumn="1" w:firstRow="1" w:lastColumn="0" w:lastRow="0" w:noHBand="0" w:noVBand="1" w:val="04A0"/>
      </w:tblPr>
      <w:tblGrid>
        <w:gridCol w:w="4680"/>
        <w:gridCol w:w="4680"/>
      </w:tblGrid>
      <w:tr>
        <w:tc>
          <w:tcPr>
            <w:tcW w:type="dxa" w:w="3600"/>
            <w:shd w:fill="1E293B"/>
            <w:tcMar>
              <w:top w:w="120" w:type="dxa"/>
              <w:bottom w:w="120" w:type="dxa"/>
              <w:left w:w="150" w:type="dxa"/>
              <w:right w:w="150" w:type="dxa"/>
            </w:tcMar>
          </w:tcPr>
          <w:p>
            <w:pPr>
              <w:spacing w:before="0" w:after="0"/>
              <w:jc w:val="left"/>
            </w:pPr>
            <w:r>
              <w:rPr>
                <w:rFonts w:ascii="Arial" w:hAnsi="Arial"/>
                <w:b/>
                <w:color w:val="FFFFFF"/>
                <w:sz w:val="20"/>
              </w:rPr>
              <w:t>Section Title &amp; Reference</w:t>
            </w:r>
          </w:p>
        </w:tc>
        <w:tc>
          <w:tcPr>
            <w:tcW w:type="dxa" w:w="5760"/>
            <w:shd w:fill="1E293B"/>
            <w:tcMar>
              <w:top w:w="120" w:type="dxa"/>
              <w:bottom w:w="120" w:type="dxa"/>
              <w:left w:w="150" w:type="dxa"/>
              <w:right w:w="150" w:type="dxa"/>
            </w:tcMar>
          </w:tcPr>
          <w:p>
            <w:pPr>
              <w:spacing w:before="0" w:after="0"/>
              <w:jc w:val="center"/>
            </w:pPr>
            <w:r>
              <w:rPr>
                <w:rFonts w:ascii="Arial" w:hAnsi="Arial"/>
                <w:b/>
                <w:color w:val="FFFFFF"/>
                <w:sz w:val="20"/>
              </w:rPr>
              <w:t>Institutional Focus &amp; Due Diligence Scope</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EXECUTIVE SUMMARY &amp; CORE INVESTMENT PROPOSITION</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The OIP Thesis, Pre-Seed Transaction Parameters, and Asset Coverage Floor</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1: OFFICIAL CORPORATE POSITIONING &amp; THE OIP CATEGORY</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Defining the Operational Intelligence Platform vs. Legacy ERP, POS, and Horizontal SaaS</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2: MARKET OPPORTUNITY &amp; INITIAL VALIDATION VERTICAL</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MENA Commercial Laundry Economics, TAM/SAM/SOM, and Horizontal Expansion Thesis</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3: THE GERMAN HYBRID GOVERNANCE ARCHITECTURE (V2.6 HYBRID)</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Decentralized Execution with Centralized Treasury across 10 Synchronized Corporate Departments</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4: PROPRIETARY TECHNOLOGY ARCHITECTURE &amp; CORE IP ENGINES</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Full-Stack Specification and Technical Deep-Dive into the 6 Algorithmic IP Engines</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5: VERIFIED CODEBASE VALUATION &amp; ASSET APPRAISAL REPORT</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Independent Appraisal of EGP 5.61M Replacement Cost and EGP 6.00M IP Valuation (EGP 11.61M Total)</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6: PRE-SEED INVESTMENT MEMORANDUM &amp; DEAL STRUCTURE</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3M Target Raise, Use of Funds Allocation, 18-Month Runway, and Cap Table Governance</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7: UNIT ECONOMICS, SAAS METRICS &amp; 5-YEAR PROjections</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ARPU, LTV/CAC, Rule of 40, Pricing Tiers, and 2026–2030 Pro Forma Income Statement</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8: INSTITUTIONAL RISK MITIGATION MATRIX</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Comprehensive Due Diligence across Technical, Commercial, Execution, and Regulatory Dimensions</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9: STRATEGIC ROADMAP &amp; HORIZONTAL EXPANSION PLAN</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Phase 1 Laundry Domination, Phase 2 Adjacent Industrials, Phase 3 Universal Service OS</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10: INSTITUTIONAL DUE DILIGENCE INDEX &amp; DATA ROOM CROSS-REFERENCE</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Mapping the 12-Section Data Room and Audit Cross-Reference Ledger</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CLOSING STATEMENT, CONTACT PROTOCOL &amp; GLOSSARY</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Formal Executive Sign-Off, Institutional Contact Protocol, and Technical Glossary</w:t>
            </w:r>
          </w:p>
        </w:tc>
      </w:tr>
    </w:tbl>
    <w:p>
      <w:pPr>
        <w:keepNext/>
        <w:spacing w:before="360" w:after="160"/>
      </w:pPr>
      <w:r>
        <w:rPr>
          <w:rFonts w:ascii="Arial" w:hAnsi="Arial"/>
          <w:b/>
          <w:color w:val="0F172A"/>
          <w:sz w:val="36"/>
        </w:rPr>
        <w:t>EXECUTIVE SUMMARY &amp; CORE INVESTMENT PROPOSITION</w:t>
      </w:r>
    </w:p>
    <w:p>
      <w:pPr>
        <w:spacing w:before="0" w:after="120" w:line="276" w:lineRule="auto"/>
      </w:pPr>
      <w:r>
        <w:rPr>
          <w:rFonts w:ascii="Calibri" w:hAnsi="Calibri"/>
          <w:b/>
          <w:color w:val="0F172A"/>
          <w:sz w:val="22"/>
        </w:rPr>
        <w:t xml:space="preserve">The Operational Crisis in Physical Service Industries: </w:t>
      </w:r>
      <w:r>
        <w:rPr>
          <w:rFonts w:ascii="Calibri" w:hAnsi="Calibri"/>
          <w:color w:val="334155"/>
          <w:sz w:val="22"/>
        </w:rPr>
        <w:t>MJRH INDUSTRIAL REVOLUTION ("MJRH") is an enterprise-grade Operational Intelligence Platform (OIP) engineered to solve the fundamental governance, financial tracking, and workflow execution crises plaguing physical service and multi-station industrial businesses. Across emerging and developed markets alike, traditional service industries—beginning with commercial and industrial laundry—operate in a state of severe operational opacity. Multi-branch enterprises suffer from untracked inventory shrinkage (linen and garment loss averaging 12% to 18% annually), pervasive cash leakage at reception desks, uncoordinated manual sorting, arbitrary labor scheduling, and a complete absence of real-time unit economics. Legacy software solutions —ranging from generic horizontal ERPs (e.g., SAP, Oracle, Odoo) to basic vertical point-of-sale (POS) systems—have failed to bridge the gap between financial ledgers and physical shop-floor workflows. Generic ERPs lack touch-based, station-specific workstation interfaces required by blue-collar technicians, while vertical POS tools merely record retail cash receipts without governing plant production, station balancing, fleet telemetry, or B2B contract compliance.</w:t>
      </w:r>
    </w:p>
    <w:p>
      <w:pPr>
        <w:spacing w:before="0" w:after="120" w:line="276" w:lineRule="auto"/>
      </w:pPr>
      <w:r>
        <w:rPr>
          <w:rFonts w:ascii="Calibri" w:hAnsi="Calibri"/>
          <w:b/>
          <w:color w:val="0F172A"/>
          <w:sz w:val="22"/>
        </w:rPr>
        <w:t xml:space="preserve">The OIP Solution &amp; Category Creation: </w:t>
      </w:r>
      <w:r>
        <w:rPr>
          <w:rFonts w:ascii="Calibri" w:hAnsi="Calibri"/>
          <w:color w:val="334155"/>
          <w:sz w:val="22"/>
        </w:rPr>
        <w:t>MJRH bridges this structural divide by establishing a new category of enterprise software: the Operational Intelligence Platform (OIP). Unlike passive systems of record, MJRH acts as an active, algorithmic system of execution and governance. Built on a cloud-native, multi-tenant architecture (React 18, Vite 6, TypeScript 5, Supabase PostgreSQL 15), the platform synchronizes every physical garment, technician touchpoint, courier GPS coordinate, and cash movement into a unified, tamper-proof operational ledger. By enforcing the German Hybrid Governance Architecture (Version 2.6 Hybrid)—which empowers branch-level operational agility while maintaining absolute, centralized financial treasury control across 10 synchronized corporate departments—MJRH eliminates operational leakage and guarantees 100% data integrity from customer intake to final delivery.</w:t>
      </w:r>
    </w:p>
    <w:p>
      <w:pPr>
        <w:spacing w:before="0" w:after="120" w:line="276" w:lineRule="auto"/>
      </w:pPr>
      <w:r>
        <w:rPr>
          <w:rFonts w:ascii="Calibri" w:hAnsi="Calibri"/>
          <w:b/>
          <w:color w:val="0F172A"/>
          <w:sz w:val="22"/>
        </w:rPr>
        <w:t xml:space="preserve">Commercial Laundry as the Strategic Proving Ground: </w:t>
      </w:r>
      <w:r>
        <w:rPr>
          <w:rFonts w:ascii="Calibri" w:hAnsi="Calibri"/>
          <w:color w:val="334155"/>
          <w:sz w:val="22"/>
        </w:rPr>
        <w:t>Commercial laundry serves as the Company's rigorous, highly complex validation vertical. Industrial laundry processing represents one of the most operationally demanding physical workflows in existence: orders must be disassembled into individual pieces, tagged, sorted across specialized wet/dry cleaning and steam ironing lines, subjected to multi-stage quality control (QC), reassembled without error, and dispatched via dynamic logistics fleets under strict Service Level Agreements (SLAs). By mastering and dominating the commercial laundry vertical in Egypt and the broader Middle East &amp; North Africa (MENA) region—a Total Addressable Market (TAM) exceeding EGP 45 Billion annually—MJRH proves the scalability of its 6 proprietary IP engines. These core algorithmic engines (APDO Verification, Touch Hyper-Automation, Surge Scheduling, Double-Entry Accounting, Sovereign RBAC, and Autonomous Telemetry) are vertically agnostic and designed for rapid horizontal deployment into adjacent physical industries, including industrial textile manufacturing, food processing uniform management, hospitality facility maintenance, and complex field logistics.</w:t>
      </w:r>
    </w:p>
    <w:p>
      <w:pPr>
        <w:spacing w:before="0" w:after="120" w:line="276" w:lineRule="auto"/>
      </w:pPr>
      <w:r>
        <w:rPr>
          <w:rFonts w:ascii="Calibri" w:hAnsi="Calibri"/>
          <w:b/>
          <w:color w:val="0F172A"/>
          <w:sz w:val="22"/>
        </w:rPr>
        <w:t xml:space="preserve">The Pre-Seed Transaction &amp; Unprecedented Asset Coverage: </w:t>
      </w:r>
      <w:r>
        <w:rPr>
          <w:rFonts w:ascii="Calibri" w:hAnsi="Calibri"/>
          <w:color w:val="334155"/>
          <w:sz w:val="22"/>
        </w:rPr>
        <w:t>To fund its aggressive commercial go-to-market (GTM) expansion, accelerate enterprise B2B sales onboarding, and scale its engineering infrastructure, MJRH is raising EGP 3,000,000 in Pre-Seed institutional financing. This transaction is structured at a highly attractive Pre-Money Valuation of EGP 15,000,000 (resulting in an EGP 18,000,000 Post-Money Valuation and exactly 16.67% investor equity dilution). What distinguishes MJRH from typical early-stage SaaS opportunities is its extraordinary, independently verified asset backing. An exhaustive technical and financial appraisal of the live production codebase (documented in Section 5) confirms a Replacement Engineering Cost of EGP 5,610,000 (representing 5,250 hours of highly specialized engineering across 8 roles) and a Proprietary Intellectual Property (IP) Valuation of EGP 6,000,000 for its 6 algorithmic engines. Together, these assets provide an EGP 11,610,000 verified asset floor—offering institutional investors an unprecedented 77.4% tangible and intangible asset coverage ratio before capturing future commercial SaaS growth.</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sz="4" w:space="0" w:color="CCCCCC"/>
              <w:bottom w:val="none" w:sz="4" w:space="0" w:color="CCCCCC"/>
              <w:left w:val="single" w:sz="24" w:space="0" w:color="1E293B"/>
              <w:right w:val="none" w:sz="4" w:space="0" w:color="CCCCCC"/>
            </w:tcBorders>
          </w:tcPr>
          <w:p>
            <w:pPr>
              <w:spacing w:before="80" w:after="120"/>
            </w:pPr>
            <w:r>
              <w:rPr>
                <w:rFonts w:ascii="Arial" w:hAnsi="Arial"/>
                <w:b/>
                <w:color w:val="1E293B"/>
                <w:sz w:val="22"/>
              </w:rPr>
              <w:t>■ CORE TRANSACTION PARAMETERS &amp; ASSET COVERAGE SUMMARY</w:t>
              <w:br/>
            </w:r>
            <w:r>
              <w:rPr>
                <w:rFonts w:ascii="Calibri" w:hAnsi="Calibri"/>
                <w:color w:val="334155"/>
                <w:sz w:val="21"/>
              </w:rPr>
              <w:t>• Funding Round &amp; Target Raise: Pre-Seed Institutional Financing | Target Raise: EGP 3,000,000 (US ~ $62,500 at prevailing institutional parity).</w:t>
            </w:r>
          </w:p>
          <w:p>
            <w:pPr>
              <w:spacing w:before="40" w:after="80"/>
            </w:pPr>
            <w:r>
              <w:rPr>
                <w:rFonts w:ascii="Calibri" w:hAnsi="Calibri"/>
                <w:color w:val="334155"/>
                <w:sz w:val="21"/>
              </w:rPr>
              <w:t>• Enterprise Valuation Structure: Pre-Money Valuation: EGP 15,000,000 | Post-Money Valuation: EGP 18,000,000 | Investor Equity Dilution: Exactly 16.67%.</w:t>
            </w:r>
          </w:p>
          <w:p>
            <w:pPr>
              <w:spacing w:before="40" w:after="80"/>
            </w:pPr>
            <w:r>
              <w:rPr>
                <w:rFonts w:ascii="Calibri" w:hAnsi="Calibri"/>
                <w:color w:val="334155"/>
                <w:sz w:val="21"/>
              </w:rPr>
              <w:t>• Verified Codebase &amp; IP Asset Floor: Replacement Engineering Cost: EGP 5,610,000 | Proprietary Algorithmic IP Valuation: EGP 6,000,000 | Total Asset Backing: EGP 11,610,000 (77.4% Coverage Ratio).</w:t>
            </w:r>
          </w:p>
          <w:p>
            <w:pPr>
              <w:spacing w:before="40" w:after="80"/>
            </w:pPr>
            <w:r>
              <w:rPr>
                <w:rFonts w:ascii="Calibri" w:hAnsi="Calibri"/>
                <w:color w:val="334155"/>
                <w:sz w:val="21"/>
              </w:rPr>
              <w:t>• Capital Allocation &amp; Runway: 18 Months of fully funded operational runway designed to reach EGP 3.6M+ ARR and achieve institutional Series A readiness.</w:t>
            </w:r>
          </w:p>
        </w:tc>
      </w:tr>
    </w:tbl>
    <w:p>
      <w:pPr>
        <w:spacing w:before="0" w:after="120"/>
      </w:pP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Institutional Evaluation Metric</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MJRH Verified Platform Parameter</w:t>
            </w:r>
          </w:p>
        </w:tc>
        <w:tc>
          <w:tcPr>
            <w:tcW w:type="dxa" w:w="2880"/>
            <w:shd w:fill="1E293B"/>
            <w:tcMar>
              <w:top w:w="120" w:type="dxa"/>
              <w:bottom w:w="120" w:type="dxa"/>
              <w:left w:w="150" w:type="dxa"/>
              <w:right w:w="150" w:type="dxa"/>
            </w:tcMar>
          </w:tcPr>
          <w:p>
            <w:pPr>
              <w:spacing w:before="0" w:after="0"/>
              <w:jc w:val="center"/>
            </w:pPr>
            <w:r>
              <w:rPr>
                <w:rFonts w:ascii="Arial" w:hAnsi="Arial"/>
                <w:b/>
                <w:color w:val="FFFFFF"/>
                <w:sz w:val="20"/>
              </w:rPr>
              <w:t>Strategic Due Diligence Significance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Platform Category &amp; Architecture</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Operational Intelligence Platform (OIP)</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Creates a defensible new category replacing legacy ERP and retail POS tools.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 Validation Vertical</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Commercial &amp; Industrial Laundry (MENA)</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High-complexity workflow proving algorithmic engine scalability and robustness.</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Verified Asset Backing Floor</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11,610,000 (EGP 5.61M Code + EGP 6.00M IP)</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Provides 77.4% tangible/intangible asset coverage against pre-money valuation.</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Pre-Seed Deal Structure</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3.0M Raise at EGP 15.0M Pre-Money Val.</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Clean equity structure (16.67% dilution) providing 18 months of growth runway.</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SaaS Unit Economics &amp; Efficiency</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LTV/CAC: 13.5x | NRR: 118% | Rule of 40: 58%</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Top-decile capital efficiency driven by automated touch workflows and zero churn.</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Governance &amp; Compliance</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German Version 2.6 Hybrid | GDPR &amp; CCPA Ready</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Institutional-grade RBAC and PII anonymization enabling enterprise B2B adoption.</w:t>
            </w:r>
          </w:p>
        </w:tc>
      </w:tr>
    </w:tbl>
    <w:p>
      <w:pPr>
        <w:keepNext/>
        <w:spacing w:before="360" w:after="160"/>
      </w:pPr>
      <w:r>
        <w:rPr>
          <w:rFonts w:ascii="Arial" w:hAnsi="Arial"/>
          <w:b/>
          <w:color w:val="0F172A"/>
          <w:sz w:val="36"/>
        </w:rPr>
        <w:t>SECTION 1: OFFICIAL CORPORATE POSITIONING &amp; THE OIP CATEGORY</w:t>
      </w:r>
    </w:p>
    <w:p>
      <w:pPr>
        <w:spacing w:before="0" w:after="120" w:line="276" w:lineRule="auto"/>
      </w:pPr>
      <w:r>
        <w:rPr>
          <w:rFonts w:ascii="Calibri" w:hAnsi="Calibri"/>
          <w:b/>
          <w:color w:val="0F172A"/>
          <w:sz w:val="22"/>
        </w:rPr>
        <w:t xml:space="preserve">The Strategic Imperative of Category Definition: </w:t>
      </w:r>
      <w:r>
        <w:rPr>
          <w:rFonts w:ascii="Calibri" w:hAnsi="Calibri"/>
          <w:color w:val="334155"/>
          <w:sz w:val="22"/>
        </w:rPr>
        <w:t>In institutional enterprise software analysis, category positioning is not a marketing exercise; it is an architectural and strategic imperative that defines pricing power, competitive defensibility, and long-term valuation multiples. MJRH INDUSTRIAL REVOLUTION must always be classified and evaluated as an Operational Intelligence Platform (OIP). An Operational Intelligence Platform is a specialized class of cloud-native enterprise software engineered to bridge the physical-digital divide by digitizing, governing, measuring, and continuously optimizing operational execution across multi-station, labor-intensive physical businesses. Unlike passive systems of record that rely on retrospective human data entry, an OIP functions as an active system of execution—embeded directly into shop-floor workstations, automated production queues, logistics dispatch engines, and real-time financial ledgers.</w:t>
      </w:r>
    </w:p>
    <w:p>
      <w:pPr>
        <w:spacing w:before="0" w:after="120" w:line="276" w:lineRule="auto"/>
      </w:pPr>
      <w:r>
        <w:rPr>
          <w:rFonts w:ascii="Calibri" w:hAnsi="Calibri"/>
          <w:b/>
          <w:color w:val="0F172A"/>
          <w:sz w:val="22"/>
        </w:rPr>
        <w:t xml:space="preserve">Prohibition of Legacy Category Misclassification: </w:t>
      </w:r>
      <w:r>
        <w:rPr>
          <w:rFonts w:ascii="Calibri" w:hAnsi="Calibri"/>
          <w:color w:val="334155"/>
          <w:sz w:val="22"/>
        </w:rPr>
        <w:t>To properly evaluate MJRH during institutional due diligence, analysts must strictly avoid misclassifying the platform within legacy software paradigms. MJRH is NOT a 'Laundry Software', nor is it a simple vertical 'Point of Sale (POS)' system, nor a generic horizontal 'Enterprise Resource Planning (ERP)' tool—unless explicitly conducting a comparative benchmarking analysis against those legacy categories. Defining MJRH as laundry software or a POS tool fundamentally misrepresents its technical architecture, undervalues its proprietary algorithmic IP, and ignores its horizontal scalability across adjacent industrial sectors.</w:t>
      </w:r>
    </w:p>
    <w:p>
      <w:pPr>
        <w:spacing w:before="0" w:after="120" w:line="276" w:lineRule="auto"/>
      </w:pPr>
      <w:r>
        <w:rPr>
          <w:rFonts w:ascii="Calibri" w:hAnsi="Calibri"/>
          <w:b/>
          <w:color w:val="0F172A"/>
          <w:sz w:val="22"/>
        </w:rPr>
        <w:t xml:space="preserve">The Economics of Category Creation: </w:t>
      </w:r>
      <w:r>
        <w:rPr>
          <w:rFonts w:ascii="Calibri" w:hAnsi="Calibri"/>
          <w:color w:val="334155"/>
          <w:sz w:val="22"/>
        </w:rPr>
        <w:t>The strategic value of category creation in enterprise software cannot be overstated. When Datadog created the unified cloud observability category, or when Snowflake established the cloud data warehouse category, they decoupled their valuations from commodity SaaS multiples by demonstrating that no existing horizontal tool could solve their customers' structural problems. Similarly, physical service businesses—characterized by high labor intensity, rapid physical unit velocity, complex multi-station assembly, and severe margin compression—cannot be governed by tools built for retail checkout desks or corporate cubicles. The OIP category represents the inevitable evolution of enterprise software into physical, blue-collar operational environments.</w:t>
      </w:r>
    </w:p>
    <w:p>
      <w:pPr>
        <w:keepNext/>
        <w:spacing w:before="280" w:after="120"/>
      </w:pPr>
      <w:r>
        <w:rPr>
          <w:rFonts w:ascii="Arial" w:hAnsi="Arial"/>
          <w:b/>
          <w:color w:val="1E293B"/>
          <w:sz w:val="28"/>
        </w:rPr>
        <w:t>1.1 Structural Limitations of Legacy Enterprise Software in Physical Services</w:t>
      </w:r>
    </w:p>
    <w:p>
      <w:pPr>
        <w:spacing w:before="0" w:after="120" w:line="276" w:lineRule="auto"/>
      </w:pPr>
      <w:r>
        <w:rPr>
          <w:rFonts w:ascii="Calibri" w:hAnsi="Calibri"/>
          <w:b/>
          <w:color w:val="0F172A"/>
          <w:sz w:val="22"/>
        </w:rPr>
        <w:t xml:space="preserve">The Horizontal ERP Failure Mode: </w:t>
      </w:r>
      <w:r>
        <w:rPr>
          <w:rFonts w:ascii="Calibri" w:hAnsi="Calibri"/>
          <w:color w:val="334155"/>
          <w:sz w:val="22"/>
        </w:rPr>
        <w:t>Legacy horizontal ERP systems (such as SAP, Oracle, Odoo, and Microsoft Dynamics) were historically designed for corporate finance departments, large-scale supply chain procurement, and static inventory accounting. When deployed in fast-paced, multi-station physical service environments like commercial laundry, these systems exhibit fatal structural deficiencies. First, they lack workstation-specific, touch-optimized interfaces designed for blue-collar floor technicians; requiring plant workers to navigate complex ERP drop-down menus or scan cumbersome barcodes creates severe operational bottlenecks and high error rates. Second, legacy ERPs operate on periodic batch accounting rather than real-time transactional unit economics, rendering plant managers blind to intra-day bottleneck build-ups, utility overconsumption, or employee fatigue until end-of-month accounting closes.</w:t>
      </w:r>
    </w:p>
    <w:p>
      <w:pPr>
        <w:spacing w:before="0" w:after="120" w:line="276" w:lineRule="auto"/>
      </w:pPr>
      <w:r>
        <w:rPr>
          <w:rFonts w:ascii="Calibri" w:hAnsi="Calibri"/>
          <w:b/>
          <w:color w:val="0F172A"/>
          <w:sz w:val="22"/>
        </w:rPr>
        <w:t xml:space="preserve">The Vertical POS Failure Mode: </w:t>
      </w:r>
      <w:r>
        <w:rPr>
          <w:rFonts w:ascii="Calibri" w:hAnsi="Calibri"/>
          <w:color w:val="334155"/>
          <w:sz w:val="22"/>
        </w:rPr>
        <w:t>Conversely, vertical Point-of-Sale (POS) systems and basic laundry management tools suffer from the opposite architectural flaw: they are exclusively retail-front-end focused. A standard laundry POS merely records cash intake at the reception desk and issues a paper receipt. It possesses zero visibility into plant floor production queues, station balancing, quality control quarantine workflows, driver GPS dispatch routing, or double-entry accounting ledgers. Consequently, laundry plant owners are forced to operate a fragmented IT landscape—combining a retail POS, an external accounting package (e.g., QuickBooks or Excel), a third-party logistics app, and manual paper notebooks—resulting in massive data silos, unverified cash drawer shrinkage, and untracked garment losses.</w:t>
      </w:r>
    </w:p>
    <w:p>
      <w:pPr>
        <w:spacing w:before="0" w:after="120" w:line="276" w:lineRule="auto"/>
      </w:pPr>
      <w:r>
        <w:rPr>
          <w:rFonts w:ascii="Calibri" w:hAnsi="Calibri"/>
          <w:b/>
          <w:color w:val="0F172A"/>
          <w:sz w:val="22"/>
        </w:rPr>
        <w:t xml:space="preserve">The Multi-Branch Scaling Collapse: </w:t>
      </w:r>
      <w:r>
        <w:rPr>
          <w:rFonts w:ascii="Calibri" w:hAnsi="Calibri"/>
          <w:color w:val="334155"/>
          <w:sz w:val="22"/>
        </w:rPr>
        <w:t>Furthermore, neither horizontal ERPs nor vertical POS tools address the critical requirement of multi-tenant data governance paired with branch-level autonomy. When traditional retail chains attempt to scale into multi-plant industrial operations, their IT systems collapse under the weight of conflicting database schemas, manual spreadsheet consolidations, and arbitrary local pricing overrides. Without an underlying Operational Intelligence Platform that enforces kernel-level database rules and unified state machines, enterprise scaling becomes an exercise in margin dilution and operational chaos.</w:t>
      </w:r>
    </w:p>
    <w:p>
      <w:pPr>
        <w:keepNext/>
        <w:spacing w:before="280" w:after="120"/>
      </w:pPr>
      <w:r>
        <w:rPr>
          <w:rFonts w:ascii="Arial" w:hAnsi="Arial"/>
          <w:b/>
          <w:color w:val="1E293B"/>
          <w:sz w:val="28"/>
        </w:rPr>
        <w:t>1.2 The Operational Intelligence Platform (OIP) Architectural Superiority</w:t>
      </w:r>
    </w:p>
    <w:p>
      <w:pPr>
        <w:spacing w:before="0" w:after="120" w:line="276" w:lineRule="auto"/>
      </w:pPr>
      <w:r>
        <w:rPr>
          <w:rFonts w:ascii="Calibri" w:hAnsi="Calibri"/>
          <w:b/>
          <w:color w:val="0F172A"/>
          <w:sz w:val="22"/>
        </w:rPr>
        <w:t xml:space="preserve">The Three Pillars of OIP Superiority: </w:t>
      </w:r>
      <w:r>
        <w:rPr>
          <w:rFonts w:ascii="Calibri" w:hAnsi="Calibri"/>
          <w:color w:val="334155"/>
          <w:sz w:val="22"/>
        </w:rPr>
        <w:t>MJRH replaces this fragmented legacy stack with a unified Operational Intelligence Platform. The architectural superiority of the OIP rests on three foundational design pillars: First, Touch Hyper-Automation without Barcode Dependency—enabling floor technicians to sort, process, and pack dozens of garments per minute with 1-click touch execution (`fastTrackSortAll` and `fastTrackPackAndReady`) while algorithmic engines maintain piece-level traceability. Second, Closed-Loop Financial and Operational Governance—where every physical action on the plant floor automatically triggers an immutable double-entry ledger journal, ensuring that operational work cannot occur without financial accountability. Third, Autonomous Telemetry and Self-Healing—where built-in monitoring engines continuously audit SLA compliance, equipment health, and data consistency, automatically resolving bottlenecks before they impact customer delivery.</w:t>
      </w:r>
    </w:p>
    <w:p>
      <w:pPr>
        <w:spacing w:before="0" w:after="120" w:line="276" w:lineRule="auto"/>
      </w:pPr>
      <w:r>
        <w:rPr>
          <w:rFonts w:ascii="Calibri" w:hAnsi="Calibri"/>
          <w:b/>
          <w:color w:val="0F172A"/>
          <w:sz w:val="22"/>
        </w:rPr>
        <w:t xml:space="preserve">Operational Transformation in Practice: </w:t>
      </w:r>
      <w:r>
        <w:rPr>
          <w:rFonts w:ascii="Calibri" w:hAnsi="Calibri"/>
          <w:color w:val="334155"/>
          <w:sz w:val="22"/>
        </w:rPr>
        <w:t>By enforcing these three pillars, MJRH transforms plant operations from a reactive cost center into an active, data-driven profit generator. Floor technicians no longer spend hours logging numbers or searching for missing tags; managers no longer wait for delayed financial reconciliations; and corporate owners retain absolute, sovereign control over cash flow, labor productivity, and customer SLAs from a single executive dashboard.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Evaluation Dimension</w:t>
            </w:r>
          </w:p>
        </w:tc>
        <w:tc>
          <w:tcPr>
            <w:tcW w:type="dxa" w:w="2304"/>
            <w:shd w:fill="1E293B"/>
            <w:tcMar>
              <w:top w:w="120" w:type="dxa"/>
              <w:bottom w:w="120" w:type="dxa"/>
              <w:left w:w="150" w:type="dxa"/>
              <w:right w:w="150" w:type="dxa"/>
            </w:tcMar>
          </w:tcPr>
          <w:p>
            <w:pPr>
              <w:spacing w:before="0" w:after="0"/>
              <w:jc w:val="center"/>
            </w:pPr>
            <w:r>
              <w:rPr>
                <w:rFonts w:ascii="Arial" w:hAnsi="Arial"/>
                <w:b/>
                <w:color w:val="FFFFFF"/>
                <w:sz w:val="20"/>
              </w:rPr>
              <w:t>Legacy Horizontal ERPs (SAP / Oracle / Odoo)</w:t>
            </w:r>
          </w:p>
        </w:tc>
        <w:tc>
          <w:tcPr>
            <w:tcW w:type="dxa" w:w="2304"/>
            <w:shd w:fill="1E293B"/>
            <w:tcMar>
              <w:top w:w="120" w:type="dxa"/>
              <w:bottom w:w="120" w:type="dxa"/>
              <w:left w:w="150" w:type="dxa"/>
              <w:right w:w="150" w:type="dxa"/>
            </w:tcMar>
          </w:tcPr>
          <w:p>
            <w:pPr>
              <w:spacing w:before="0" w:after="0"/>
              <w:jc w:val="center"/>
            </w:pPr>
            <w:r>
              <w:rPr>
                <w:rFonts w:ascii="Arial" w:hAnsi="Arial"/>
                <w:b/>
                <w:color w:val="FFFFFF"/>
                <w:sz w:val="20"/>
              </w:rPr>
              <w:t>Vertical Retail POS &amp; Laundry Tools</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MJRH OIP (Operational Intelligence Platform)</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Primary Architectural Focus</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Corporate Finance &amp; Back-Office Accounting.</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Retail Reception Desk &amp; Cash Collection.</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End-to-End Operational Execution &amp; Governance.</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Workstation User Experience</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Complex desktop forms; unsuited for floor techs.</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Basic cashier touch screen; zero plant visibility.</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1-Click Touch Hyper-Automation across 10 stations.</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Financial Ledger Integration</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Periodic batch posting; disconnected from ops.</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No double-entry ledger; exports basic sales CSV.</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Real-time automated double-entry ledger per touch.</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Logistics &amp; Fleet Dispatch</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Requires third-party TMS integration &amp; licensing.</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Basic manual address text; no GPS routing.</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Native algorithmic GPS auto-dispatch &amp; driver telemetry.</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Quality Control &amp; Exception Vault</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Manual discrepancy notes; no quarantine routing.</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No QC tracking; customer complaints untracked.</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APDO Sorter Return vault with structured exception logs.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Scalability &amp; Expansion</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Highly scalable but cost-prohibitive (&gt;EGP 2M set-up).</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Unscalable beyond single retail shops.</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Cloud-native multi-tenant SaaS; horizontal expansion ready.</w:t>
            </w:r>
          </w:p>
        </w:tc>
      </w:tr>
    </w:tbl>
    <w:p>
      <w:pPr>
        <w:keepNext/>
        <w:spacing w:before="360" w:after="160"/>
      </w:pPr>
      <w:r>
        <w:rPr>
          <w:rFonts w:ascii="Arial" w:hAnsi="Arial"/>
          <w:b/>
          <w:color w:val="0F172A"/>
          <w:sz w:val="36"/>
        </w:rPr>
        <w:t>SECTION 2: MARKET OPPORTUNITY &amp; INITIAL VALIDATION VERTICAL</w:t>
      </w:r>
    </w:p>
    <w:p>
      <w:pPr>
        <w:spacing w:before="0" w:after="120" w:line="276" w:lineRule="auto"/>
      </w:pPr>
      <w:r>
        <w:rPr>
          <w:rFonts w:ascii="Calibri" w:hAnsi="Calibri"/>
          <w:b/>
          <w:color w:val="0F172A"/>
          <w:sz w:val="22"/>
        </w:rPr>
        <w:t xml:space="preserve">Macroeconomic Tailwinds &amp; Structural Timing: </w:t>
      </w:r>
      <w:r>
        <w:rPr>
          <w:rFonts w:ascii="Calibri" w:hAnsi="Calibri"/>
          <w:color w:val="334155"/>
          <w:sz w:val="22"/>
        </w:rPr>
        <w:t>Institutional venture evaluation requires a rigorous analysis of market size, structural timing, and macroeconomic tailwinds. MJRH launches into a highly lucrative, structurally underserved commercial market at an exceptional inflection point. Across Egypt, the MENA region, the European Union, and the United States, physical service industries are experiencing intense operational pressure. Rapid minimum wage inflation, escalating utility and energy tariffs, and stringent government mandates for financial formalization and electronic payment adoption (such as Egypt's e-invoice and InstaPay integration requirements) are forcing traditional business owners to abandon manual paper ledgers and fragmented retail tools. Modern commercial operations require cloud-native operating systems capable of automating labor, minimizing waste, and guaranteeing tax compliance.</w:t>
      </w:r>
    </w:p>
    <w:p>
      <w:pPr>
        <w:keepNext/>
        <w:spacing w:before="280" w:after="120"/>
      </w:pPr>
      <w:r>
        <w:rPr>
          <w:rFonts w:ascii="Arial" w:hAnsi="Arial"/>
          <w:b/>
          <w:color w:val="1E293B"/>
          <w:sz w:val="28"/>
        </w:rPr>
        <w:t>2.1 Why Commercial Laundry is the Optimal Validation Vertical</w:t>
      </w:r>
    </w:p>
    <w:p>
      <w:pPr>
        <w:spacing w:before="0" w:after="120" w:line="276" w:lineRule="auto"/>
      </w:pPr>
      <w:r>
        <w:rPr>
          <w:rFonts w:ascii="Calibri" w:hAnsi="Calibri"/>
          <w:b/>
          <w:color w:val="0F172A"/>
          <w:sz w:val="22"/>
        </w:rPr>
        <w:t xml:space="preserve">The Rigor of Industrial Laundry Workflows: </w:t>
      </w:r>
      <w:r>
        <w:rPr>
          <w:rFonts w:ascii="Calibri" w:hAnsi="Calibri"/>
          <w:color w:val="334155"/>
          <w:sz w:val="22"/>
        </w:rPr>
        <w:t>MJRH has intentionally selected commercial and industrial laundry as its initial validation vertical before executing its horizontal expansion strategy. From a software engineering and operational governance perspective, commercial laundry processing is one of the most rigorous, complex, and unforgiving workflows in the physical business world. When a commercial laundry plant receives a bulk hospitality order or a VIP residential shipment (such as demo sales order #ORD-2026-995 for Dr. Sherif Al-Alfy in the Fifth Settlement), the incoming batch must be broken down into individual items. Each garment undergoes a complex, multi-stage rotational journey: reception inspection, barcode/touch label coding, automated sorting by fabric and chemical requirement, specialized wet cleaning or dry solvent remediation, high-temperature drying, steam pressing and ironing line balancing, rigorous quality control (QC) inspection, precision assembly back into the original customer order, protective packaging, and GPS-tracked courier dispatch.</w:t>
      </w:r>
    </w:p>
    <w:p>
      <w:pPr>
        <w:spacing w:before="0" w:after="120" w:line="276" w:lineRule="auto"/>
      </w:pPr>
      <w:r>
        <w:rPr>
          <w:rFonts w:ascii="Calibri" w:hAnsi="Calibri"/>
          <w:b/>
          <w:color w:val="0F172A"/>
          <w:sz w:val="22"/>
        </w:rPr>
        <w:t xml:space="preserve">The Validation Proof Point: </w:t>
      </w:r>
      <w:r>
        <w:rPr>
          <w:rFonts w:ascii="Calibri" w:hAnsi="Calibri"/>
          <w:color w:val="334155"/>
          <w:sz w:val="22"/>
        </w:rPr>
        <w:t>If an enterprise operating platform can successfully digitize, govern, and optimize a commercial laundry plant—handling thousands of disparate physical items daily while maintaining zero piece loss, real-time double-entry financial accounting, and strict SLA delivery windows—it can seamlessly govern virtually any physical service or industrial manufacturing workflow. By dominating laundry, MJRH validates its 6 core algorithmic engines under extreme operational stress, creating an unassailable technical moat.</w:t>
      </w:r>
    </w:p>
    <w:p>
      <w:pPr>
        <w:keepNext/>
        <w:spacing w:before="280" w:after="120"/>
      </w:pPr>
      <w:r>
        <w:rPr>
          <w:rFonts w:ascii="Arial" w:hAnsi="Arial"/>
          <w:b/>
          <w:color w:val="1E293B"/>
          <w:sz w:val="28"/>
        </w:rPr>
        <w:t>2.2 Structural Inefficiencies of Legacy Commercial Laundry Operations</w:t>
      </w:r>
    </w:p>
    <w:p>
      <w:pPr>
        <w:spacing w:before="0" w:after="120" w:line="276" w:lineRule="auto"/>
      </w:pPr>
      <w:r>
        <w:rPr>
          <w:rFonts w:ascii="Calibri" w:hAnsi="Calibri"/>
          <w:b/>
          <w:color w:val="0F172A"/>
          <w:sz w:val="22"/>
        </w:rPr>
        <w:t xml:space="preserve">The Four Chronic Crises of Traditional Laundry Plants: </w:t>
      </w:r>
      <w:r>
        <w:rPr>
          <w:rFonts w:ascii="Calibri" w:hAnsi="Calibri"/>
          <w:color w:val="334155"/>
          <w:sz w:val="22"/>
        </w:rPr>
        <w:t>Extensive empirical due diligence across commercial laundry plants in Egypt and MENA reveals four chronic operational crises that destroy plant profitability and depress industry valuation multiples: First, Untracked Garment Shrinkage and Linen Loss—traditional plants lose between 12% and 18% of processed items annually due to manual sorting errors, missing garment tags, and uncoordinated workstation handoffs, resulting in severe customer churn and expensive liability compensation. Second, Reception Cash Leakage—without automated double-entry ledger synchronization, reception cashiers routinely manipulate manual invoices, misreport courier tips, and delay cash drawer reconciliations, causing an estimated 8% to 14% revenue leakage. Third, Ironing Line Bottlenecks and Technician Fatigue—ironing is the primary labor bottleneck in laundry production; assigning complex, high-effort garments (e.g., silk dresses or 3-piece suits) arbitrarily without algorithmic fatigue balancing leads to severe quality failures and SLA delivery breaches. Fourth, Complete Blindness to Unit Economics—plant owners operate without knowing their true cost per kilogram or piece, making it impossible to optimize commercial pricing or B2B enterprise contracts.</w:t>
      </w:r>
    </w:p>
    <w:p>
      <w:pPr>
        <w:keepNext/>
        <w:spacing w:before="280" w:after="120"/>
      </w:pPr>
      <w:r>
        <w:rPr>
          <w:rFonts w:ascii="Arial" w:hAnsi="Arial"/>
          <w:b/>
          <w:color w:val="1E293B"/>
          <w:sz w:val="28"/>
        </w:rPr>
        <w:t>2.3 Total Addressable Market (TAM), SAM, and SOM Analysis</w:t>
      </w:r>
    </w:p>
    <w:p>
      <w:pPr>
        <w:spacing w:before="0" w:after="120" w:line="276" w:lineRule="auto"/>
      </w:pPr>
      <w:r>
        <w:rPr>
          <w:rFonts w:ascii="Calibri" w:hAnsi="Calibri"/>
          <w:b/>
          <w:color w:val="0F172A"/>
          <w:sz w:val="22"/>
        </w:rPr>
        <w:t xml:space="preserve">The MENA Commercial Laundry Opportunity: </w:t>
      </w:r>
      <w:r>
        <w:rPr>
          <w:rFonts w:ascii="Calibri" w:hAnsi="Calibri"/>
          <w:color w:val="334155"/>
          <w:sz w:val="22"/>
        </w:rPr>
        <w:t>The market opportunity for MJRH is structured across a three-tiered expansion model, initiating within the regional commercial laundry sector and rapidly scaling into global horizontal service industries. In the Middle East &amp; North Africa (MENA) region alone, the commercial, industrial, and retail laundry processing sector represents a massive Total Addressable Market (TAM) exceeding EGP 45 Billion annually, driven by booming hospitality, healthcare, and urban residential sectors in Egypt, Saudi Arabia, and the UAE. Within this universe, the Serviceable Addressable Market (SAM)—comprising multi-branch commercial laundry enterprises, institutional hospitality plants, and premium dry cleaning chains requiring automated SaaS operating systems—is valued at EGP 12 Billion annually. MJRH's 36-month Serviceable Obtainable Market (SOM) targets capturing 15% of the premium MENA commercial laundry sector, representing EGP 1.8 Billion in annual software subscriptions and payment processing volume.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Market Tier</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Geographic &amp; Industry Scope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Annual Market Value (EGP)</w:t>
            </w:r>
          </w:p>
        </w:tc>
        <w:tc>
          <w:tcPr>
            <w:tcW w:type="dxa" w:w="2880"/>
            <w:shd w:fill="1E293B"/>
            <w:tcMar>
              <w:top w:w="120" w:type="dxa"/>
              <w:bottom w:w="120" w:type="dxa"/>
              <w:left w:w="150" w:type="dxa"/>
              <w:right w:w="150" w:type="dxa"/>
            </w:tcMar>
          </w:tcPr>
          <w:p>
            <w:pPr>
              <w:spacing w:before="0" w:after="0"/>
              <w:jc w:val="center"/>
            </w:pPr>
            <w:r>
              <w:rPr>
                <w:rFonts w:ascii="Arial" w:hAnsi="Arial"/>
                <w:b/>
                <w:color w:val="FFFFFF"/>
                <w:sz w:val="20"/>
              </w:rPr>
              <w:t>MJRH Strategic Capture Strategy</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Total Addressable Market (TAM)</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MENA Commercial, Industrial &amp; Retail Laundry Processing.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45,000,000,000+ (EGP 45B)</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Establish brand dominance as the standard OIP for commercial laundry.</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Serviceable Addressable Market (SAM)</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MENA Multi-Branch Laundry Chains &amp; Hospitality Plants.</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12,000,000,000 (EGP 12B)</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Target enterprise B2B onboarding via automated migration tools.</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Serviceable Obtainable Market (SOM)</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15% Capture of Premium MENA Commercial Laundry by 2029.</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1,800,000,000 (EGP 1.8B)</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Direct sales, enterprise deals, and institutional channel partnerships.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Horizontal Expansion Market (TAM+)</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Global OIP for Physical Service &amp; Industrial Businesses.</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500,000,000,000+ (EGP 500B+)</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Deploy the 6 core IP engines into textiles, food processing &amp; field logistics.</w:t>
            </w:r>
          </w:p>
        </w:tc>
      </w:tr>
    </w:tbl>
    <w:p>
      <w:pPr>
        <w:keepNext/>
        <w:spacing w:before="360" w:after="160"/>
      </w:pPr>
      <w:r>
        <w:rPr>
          <w:rFonts w:ascii="Arial" w:hAnsi="Arial"/>
          <w:b/>
          <w:color w:val="0F172A"/>
          <w:sz w:val="36"/>
        </w:rPr>
        <w:t>SECTION 3: THE GERMAN HYBRID GOVERNANCE ARCHITECTURE (V2.6 HYBRID)</w:t>
      </w:r>
    </w:p>
    <w:p>
      <w:pPr>
        <w:spacing w:before="0" w:after="120" w:line="276" w:lineRule="auto"/>
      </w:pPr>
      <w:r>
        <w:rPr>
          <w:rFonts w:ascii="Calibri" w:hAnsi="Calibri"/>
          <w:b/>
          <w:color w:val="0F172A"/>
          <w:sz w:val="22"/>
        </w:rPr>
        <w:t xml:space="preserve">The Centralization vs. Decentralization Dilemma: </w:t>
      </w:r>
      <w:r>
        <w:rPr>
          <w:rFonts w:ascii="Calibri" w:hAnsi="Calibri"/>
          <w:color w:val="334155"/>
          <w:sz w:val="22"/>
        </w:rPr>
        <w:t>A critical breakthrough of MJRH Version 2.6 Hybrid is the implementation of the German Hybrid Governance Architecture. In traditional multi-branch enterprise management, corporate organizations struggle with an inherent structural tension: centralization versus decentralization. Purely centralized operating models paralyze branch-level execution, forcing local plant managers to wait for headquarters approval to adjust daily shift schedules, handle customer SLA exceptions, or rebalance workstation labor. Conversely, purely decentralized models result in severe corporate anarchy: local branches manipulate pricing, delay financial journal reporting, obscure cash drawer balances, and violate corporate legal standards.</w:t>
      </w:r>
    </w:p>
    <w:p>
      <w:pPr>
        <w:spacing w:before="0" w:after="120" w:line="276" w:lineRule="auto"/>
      </w:pPr>
      <w:r>
        <w:rPr>
          <w:rFonts w:ascii="Calibri" w:hAnsi="Calibri"/>
          <w:b/>
          <w:color w:val="0F172A"/>
          <w:sz w:val="22"/>
        </w:rPr>
        <w:t xml:space="preserve">The Hybrid Separation of Powers: </w:t>
      </w:r>
      <w:r>
        <w:rPr>
          <w:rFonts w:ascii="Calibri" w:hAnsi="Calibri"/>
          <w:color w:val="334155"/>
          <w:sz w:val="22"/>
        </w:rPr>
        <w:t>The German Hybrid Governance Architecture (modeled after advanced industrial engineering hierarchies in German manufacturing giants such as Siemens, Bosch, and BMW) resolves this dilemma by establishing a strict architectural separation of powers: Decentralized Operational Execution paired with Unconditional Centralized Financial and Legal Control. Under this model, branch laundries and plant production floors are granted full operational autonomy to manage intra-day workstation flow, touch sorting, automated WhatsApp customer verification, and local courier routing. Simultaneously, all financial ledgers, cash safe closes, B2B enterprise contracts, marketing cohort telemetry, and executive scorecards are strictly locked and governed by the C-Suite Super Admin Headquarters.</w:t>
      </w:r>
    </w:p>
    <w:p>
      <w:pPr>
        <w:keepNext/>
        <w:spacing w:before="280" w:after="120"/>
      </w:pPr>
      <w:r>
        <w:rPr>
          <w:rFonts w:ascii="Arial" w:hAnsi="Arial"/>
          <w:b/>
          <w:color w:val="1E293B"/>
          <w:sz w:val="28"/>
        </w:rPr>
        <w:t>3.1 Detailed Breakdown of the 10 Synchronized Corporate Departments</w:t>
      </w:r>
    </w:p>
    <w:p>
      <w:pPr>
        <w:spacing w:before="0" w:after="120" w:line="276" w:lineRule="auto"/>
      </w:pPr>
      <w:r>
        <w:rPr>
          <w:rFonts w:ascii="Calibri" w:hAnsi="Calibri"/>
          <w:b/>
          <w:color w:val="0F172A"/>
          <w:sz w:val="22"/>
        </w:rPr>
        <w:t xml:space="preserve">10 Synchronized Departments in Production Code: </w:t>
      </w:r>
      <w:r>
        <w:rPr>
          <w:rFonts w:ascii="Calibri" w:hAnsi="Calibri"/>
          <w:color w:val="334155"/>
          <w:sz w:val="22"/>
        </w:rPr>
        <w:t>To operationalize this governance model, the entire MJRH software ecosystem—from the C-Suite Super Admin portal (`/admin`) down to individual branch workstation screens (`/stations/*`)—is structured into exactly 10 synchronized corporate departments. Configured verbatim in `components/app-sidebar.tsx` and governed by the RBAC permission engine in `hooks/use-auth.tsx`, these departments ensure that every corporate officer and blue-collar technician operates within strict, auditable boundaries without UI visual clutter or non-professional emoji symbols:</w:t>
      </w:r>
    </w:p>
    <w:p>
      <w:pPr>
        <w:keepNext/>
        <w:spacing w:before="200" w:after="80"/>
      </w:pPr>
      <w:r>
        <w:rPr>
          <w:rFonts w:ascii="Arial" w:hAnsi="Arial"/>
          <w:b/>
          <w:color w:val="0D9488"/>
          <w:sz w:val="24"/>
        </w:rPr>
        <w:t>1. Vorstand (Executive Ownership &amp; C-Suite Board)</w:t>
      </w:r>
    </w:p>
    <w:p>
      <w:pPr>
        <w:spacing w:before="0" w:after="120" w:line="276" w:lineRule="auto"/>
      </w:pPr>
      <w:r>
        <w:rPr>
          <w:rFonts w:ascii="Calibri" w:hAnsi="Calibri"/>
          <w:color w:val="334155"/>
          <w:sz w:val="22"/>
        </w:rPr>
        <w:t>Represents the supreme corporate headquarters of the SaaS company. Governs overall strategic direction, C-suite executive scorecards (`/executive`), live system video showcase and Fifth Settlement sales verification (`/demo`), and unconditional owner RBAC sovereignty. The Vorstand department retains exclusive override capabilities over corporate cap table structures, institutional pricing models, and enterprise valuation reporting.</w:t>
      </w:r>
    </w:p>
    <w:p>
      <w:pPr>
        <w:keepNext/>
        <w:spacing w:before="200" w:after="80"/>
      </w:pPr>
      <w:r>
        <w:rPr>
          <w:rFonts w:ascii="Arial" w:hAnsi="Arial"/>
          <w:b/>
          <w:color w:val="0D9488"/>
          <w:sz w:val="24"/>
        </w:rPr>
        <w:t>2. Betriebsleitung (Production &amp; Daily Plant Operations)</w:t>
      </w:r>
    </w:p>
    <w:p>
      <w:pPr>
        <w:spacing w:before="0" w:after="120" w:line="276" w:lineRule="auto"/>
      </w:pPr>
      <w:r>
        <w:rPr>
          <w:rFonts w:ascii="Calibri" w:hAnsi="Calibri"/>
          <w:color w:val="334155"/>
          <w:sz w:val="22"/>
        </w:rPr>
        <w:t>Controls the live industrial heart of the laundry enterprise. Governs the Chief Operating Officer dashboard (`/ops`), the daily operational command center (`/today`), and the 10 rotational workstation screens (`/stations/reception`, `/sorting`, `/cleaning`, `/drying-assembly`, `/ironing`, `/packing`, `/qc`, `/intake`, `/delivery`, `/cs`). Enforces touch hyper-automation and single-actor order ownership, ensuring that production flow never stalls due to bureaucratic bottlenecks.</w:t>
      </w:r>
    </w:p>
    <w:p>
      <w:pPr>
        <w:keepNext/>
        <w:spacing w:before="200" w:after="80"/>
      </w:pPr>
      <w:r>
        <w:rPr>
          <w:rFonts w:ascii="Arial" w:hAnsi="Arial"/>
          <w:b/>
          <w:color w:val="0D9488"/>
          <w:sz w:val="24"/>
        </w:rPr>
        <w:t>3. Vertrieb (Sales, B2B Enterprise Deals, &amp; Commercial Pipeline)</w:t>
      </w:r>
    </w:p>
    <w:p>
      <w:pPr>
        <w:spacing w:before="0" w:after="120" w:line="276" w:lineRule="auto"/>
      </w:pPr>
      <w:r>
        <w:rPr>
          <w:rFonts w:ascii="Calibri" w:hAnsi="Calibri"/>
          <w:color w:val="334155"/>
          <w:sz w:val="22"/>
        </w:rPr>
        <w:t>Manages commercial revenue generation and customer acquisition. Governs new order intake (`/orders/new`), unified order tracking (`/orders`), multi-parameter customer database (`/customers`), corporate CRM &amp; loyalty programs (`/crm`), and B2B enterprise contract pipeline management (`/admin/biz-dev` linked directly to `enterprise_deals` table). Vertrieb officers utilize automated B2B quoting and contract generation tools to secure commercial hotel and hospital accounts.</w:t>
      </w:r>
    </w:p>
    <w:p>
      <w:pPr>
        <w:keepNext/>
        <w:spacing w:before="200" w:after="80"/>
      </w:pPr>
      <w:r>
        <w:rPr>
          <w:rFonts w:ascii="Arial" w:hAnsi="Arial"/>
          <w:b/>
          <w:color w:val="0D9488"/>
          <w:sz w:val="24"/>
        </w:rPr>
        <w:t>4. Marketing &amp; Analytik (Marketing Telemetry &amp; BI)</w:t>
      </w:r>
    </w:p>
    <w:p>
      <w:pPr>
        <w:spacing w:before="0" w:after="120" w:line="276" w:lineRule="auto"/>
      </w:pPr>
      <w:r>
        <w:rPr>
          <w:rFonts w:ascii="Calibri" w:hAnsi="Calibri"/>
          <w:color w:val="334155"/>
          <w:sz w:val="22"/>
        </w:rPr>
        <w:t>Delivers advanced corporate business intelligence and campaign telemetry. Governs real-time marketing analytics (`/marketing`), peak intake/delivery hour visualization (10:00–12:00 AM peak tracking), campaign ROAS, Net Revenue Retention (NRR %), Churn rate %, SaaS Rule of 40 %, and EU GDPR / US CCPA PII anonymization toggles (`anonymizePII`). By analyzing customer ordering cadence and geographic density, Marketing &amp; Analytik optimizes customer acquisition spend.</w:t>
      </w:r>
    </w:p>
    <w:p>
      <w:pPr>
        <w:keepNext/>
        <w:spacing w:before="200" w:after="80"/>
      </w:pPr>
      <w:r>
        <w:rPr>
          <w:rFonts w:ascii="Arial" w:hAnsi="Arial"/>
          <w:b/>
          <w:color w:val="0D9488"/>
          <w:sz w:val="24"/>
        </w:rPr>
        <w:t>5. Kundenservice (Customer Care &amp; SLA Governance)</w:t>
      </w:r>
    </w:p>
    <w:p>
      <w:pPr>
        <w:spacing w:before="0" w:after="120" w:line="276" w:lineRule="auto"/>
      </w:pPr>
      <w:r>
        <w:rPr>
          <w:rFonts w:ascii="Calibri" w:hAnsi="Calibri"/>
          <w:color w:val="334155"/>
          <w:sz w:val="22"/>
        </w:rPr>
        <w:t>Ensures institutional service quality and customer retention. Governs customer support dispatch (`/cs`), customer portal interface (`/customer-portal`), SLA breach monitoring, and formal exception dispute compensation and settlement workflows (`/customer-care` and `/stations/cs`). Kundenservice officers possess structured authority to issue instant digital refunds or reclean vouchers, resolving customer grievances within minutes.</w:t>
      </w:r>
    </w:p>
    <w:p>
      <w:pPr>
        <w:keepNext/>
        <w:spacing w:before="200" w:after="80"/>
      </w:pPr>
      <w:r>
        <w:rPr>
          <w:rFonts w:ascii="Arial" w:hAnsi="Arial"/>
          <w:b/>
          <w:color w:val="0D9488"/>
          <w:sz w:val="24"/>
        </w:rPr>
        <w:t>6. Logistik &amp; Fuhrpark (Transport, Logistics &amp; Fleet Management)</w:t>
      </w:r>
    </w:p>
    <w:p>
      <w:pPr>
        <w:spacing w:before="0" w:after="120" w:line="276" w:lineRule="auto"/>
      </w:pPr>
      <w:r>
        <w:rPr>
          <w:rFonts w:ascii="Calibri" w:hAnsi="Calibri"/>
          <w:color w:val="334155"/>
          <w:sz w:val="22"/>
        </w:rPr>
        <w:t>Controls external dispatch, delivery routing, and courier operations. Governs live interactive GPS courier telemetry (`/live-map`), dedicated courier mobile workstations (`/driver`), delivery station handoffs (`/stations/delivery`), and automated algorithmic driver assignment without manual scanning. Logistik managers monitor courier turnaround times, route efficiency, and fuel consumption across multi-branch logistics networks.</w:t>
      </w:r>
    </w:p>
    <w:p>
      <w:pPr>
        <w:keepNext/>
        <w:spacing w:before="200" w:after="80"/>
      </w:pPr>
      <w:r>
        <w:rPr>
          <w:rFonts w:ascii="Arial" w:hAnsi="Arial"/>
          <w:b/>
          <w:color w:val="0D9488"/>
          <w:sz w:val="24"/>
        </w:rPr>
        <w:t>7. Lager &amp; Lieferkette (Warehouse, Inventory &amp; Supply Chain)</w:t>
      </w:r>
    </w:p>
    <w:p>
      <w:pPr>
        <w:spacing w:before="0" w:after="120" w:line="276" w:lineRule="auto"/>
      </w:pPr>
      <w:r>
        <w:rPr>
          <w:rFonts w:ascii="Calibri" w:hAnsi="Calibri"/>
          <w:color w:val="334155"/>
          <w:sz w:val="22"/>
        </w:rPr>
        <w:t>Manages physical capital assets, consumables, and multi-branch infrastructure. Governs equipment maintenance logs, consumable chemical and spare part inventory (`/inventory`), branch enterprise configurations (`/branches`), and unit media storage buckets (`unit-media`). Lager officers establish automated reorder triggers for cleaning solvents and garment hangers, preventing production halts caused by stockouts.</w:t>
      </w:r>
    </w:p>
    <w:p>
      <w:pPr>
        <w:keepNext/>
        <w:spacing w:before="200" w:after="80"/>
      </w:pPr>
      <w:r>
        <w:rPr>
          <w:rFonts w:ascii="Arial" w:hAnsi="Arial"/>
          <w:b/>
          <w:color w:val="0D9488"/>
          <w:sz w:val="24"/>
        </w:rPr>
        <w:t>8. Rechtsabteilung (Legal Affairs, Contract Vault &amp; Dispute Litigation)</w:t>
      </w:r>
    </w:p>
    <w:p>
      <w:pPr>
        <w:spacing w:before="0" w:after="120" w:line="276" w:lineRule="auto"/>
      </w:pPr>
      <w:r>
        <w:rPr>
          <w:rFonts w:ascii="Calibri" w:hAnsi="Calibri"/>
          <w:color w:val="334155"/>
          <w:sz w:val="22"/>
        </w:rPr>
        <w:t>Safeguards corporate legal integrity and regulatory compliance. Governs the standalone legal department view (`/legal` and `/admin/legal`), persisting interactive records directly to `public.legal_contracts` and Supabase Storage (`legal-documents`). Manages Master Services Agreements (MSAs), vehicle operating licenses (`vehicle_license`), procurement contracts (`purchase_contract`), and active litigation claims (`litigation_dispute`).</w:t>
      </w:r>
    </w:p>
    <w:p>
      <w:pPr>
        <w:keepNext/>
        <w:spacing w:before="200" w:after="80"/>
      </w:pPr>
      <w:r>
        <w:rPr>
          <w:rFonts w:ascii="Arial" w:hAnsi="Arial"/>
          <w:b/>
          <w:color w:val="0D9488"/>
          <w:sz w:val="24"/>
        </w:rPr>
        <w:t>9. Personalwesen (Human Resources &amp; Workforce Governance)</w:t>
      </w:r>
    </w:p>
    <w:p>
      <w:pPr>
        <w:spacing w:before="0" w:after="120" w:line="276" w:lineRule="auto"/>
      </w:pPr>
      <w:r>
        <w:rPr>
          <w:rFonts w:ascii="Calibri" w:hAnsi="Calibri"/>
          <w:color w:val="334155"/>
          <w:sz w:val="22"/>
        </w:rPr>
        <w:t>Manages employee lifecycle, payroll, and productivity verification. Governs Mawared HR time &amp; attendance (`/staff/attendance`), Form 6 performance scorecards (`/staff/scorecard`), employee management with mandatory phone numbers and automated 1-click WhatsApp verification (`/staff/users`, `/staff/new`), daily shift schedules (`/staff/schedule`), leave requests, daily wages, and specialized ironing piece-rate payroll (`/staff/ironing-payroll`).</w:t>
      </w:r>
    </w:p>
    <w:p>
      <w:pPr>
        <w:keepNext/>
        <w:spacing w:before="200" w:after="80"/>
      </w:pPr>
      <w:r>
        <w:rPr>
          <w:rFonts w:ascii="Arial" w:hAnsi="Arial"/>
          <w:b/>
          <w:color w:val="0D9488"/>
          <w:sz w:val="24"/>
        </w:rPr>
        <w:t>10. Finanzwesen (Finance, Treasury &amp; Double-Entry Accounting)</w:t>
      </w:r>
    </w:p>
    <w:p>
      <w:pPr>
        <w:spacing w:before="0" w:after="120" w:line="276" w:lineRule="auto"/>
      </w:pPr>
      <w:r>
        <w:rPr>
          <w:rFonts w:ascii="Calibri" w:hAnsi="Calibri"/>
          <w:color w:val="334155"/>
          <w:sz w:val="22"/>
        </w:rPr>
        <w:t>Serves as the central financial treasury and accounting command center. Governs general ledger accounting (`/finance`), automated double-entry bookkeeping (`/accounting`), journal audit logs (`/ledger`), accounts receivable collections (`/receivables`), one-movement cash safe closing (`/cash-closing`), corporate budget forecasting (`/budgets`), platform subscription billing (`/billing`), and institutional pricing settings (`/settings`).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sz="4" w:space="0" w:color="CCCCCC"/>
              <w:bottom w:val="none" w:sz="4" w:space="0" w:color="CCCCCC"/>
              <w:left w:val="single" w:sz="24" w:space="0" w:color="1E293B"/>
              <w:right w:val="none" w:sz="4" w:space="0" w:color="CCCCCC"/>
            </w:tcBorders>
          </w:tcPr>
          <w:p>
            <w:pPr>
              <w:spacing w:before="80" w:after="120"/>
            </w:pPr>
            <w:r>
              <w:rPr>
                <w:rFonts w:ascii="Arial" w:hAnsi="Arial"/>
                <w:b/>
                <w:color w:val="1E293B"/>
                <w:sz w:val="22"/>
              </w:rPr>
              <w:t>■ GERMAN HYBRID GOVERNANCE DUE DILIGENCE SUMMARY</w:t>
              <w:br/>
            </w:r>
            <w:r>
              <w:rPr>
                <w:rFonts w:ascii="Calibri" w:hAnsi="Calibri"/>
                <w:color w:val="334155"/>
                <w:sz w:val="21"/>
              </w:rPr>
              <w:t>• Sovereign RBAC Enforcement: In hooks/use-auth.tsx, hasRole('owner') or isSuperAdmin grants unconditional modification authority across all 10 corporate departments.</w:t>
            </w:r>
          </w:p>
          <w:p>
            <w:pPr>
              <w:spacing w:before="40" w:after="80"/>
            </w:pPr>
            <w:r>
              <w:rPr>
                <w:rFonts w:ascii="Calibri" w:hAnsi="Calibri"/>
                <w:color w:val="334155"/>
                <w:sz w:val="21"/>
              </w:rPr>
              <w:t>• Departmental Isolation: Floor technicians in Betriebsleitung cannot view executive treasury in Finanzwesen or litigation disputes in Rechtsabteilung, guaranteeing strict data security.</w:t>
            </w:r>
          </w:p>
          <w:p>
            <w:pPr>
              <w:spacing w:before="40" w:after="80"/>
            </w:pPr>
            <w:r>
              <w:rPr>
                <w:rFonts w:ascii="Calibri" w:hAnsi="Calibri"/>
                <w:color w:val="334155"/>
                <w:sz w:val="21"/>
              </w:rPr>
              <w:t>• Zero-Emoji Professional UI: Every department heading, button label, and table header across all 10 screens relies strictly on clean Lucide icons and professional typography.</w:t>
            </w:r>
          </w:p>
        </w:tc>
      </w:tr>
    </w:tbl>
    <w:p>
      <w:pPr>
        <w:spacing w:before="0" w:after="120"/>
      </w:pPr>
    </w:p>
    <w:p>
      <w:pPr>
        <w:keepNext/>
        <w:spacing w:before="360" w:after="160"/>
      </w:pPr>
      <w:r>
        <w:rPr>
          <w:rFonts w:ascii="Arial" w:hAnsi="Arial"/>
          <w:b/>
          <w:color w:val="0F172A"/>
          <w:sz w:val="36"/>
        </w:rPr>
        <w:t>SECTION 4: PROPRIETARY TECHNOLOGY ARCHITECTURE &amp; CORE IP ENGINES</w:t>
      </w:r>
    </w:p>
    <w:p>
      <w:pPr>
        <w:spacing w:before="0" w:after="120" w:line="276" w:lineRule="auto"/>
      </w:pPr>
      <w:r>
        <w:rPr>
          <w:rFonts w:ascii="Calibri" w:hAnsi="Calibri"/>
          <w:b/>
          <w:color w:val="0F172A"/>
          <w:sz w:val="22"/>
        </w:rPr>
        <w:t xml:space="preserve">Cloud-Native Multi-Tenant Engineering Foundation: </w:t>
      </w:r>
      <w:r>
        <w:rPr>
          <w:rFonts w:ascii="Calibri" w:hAnsi="Calibri"/>
          <w:color w:val="334155"/>
          <w:sz w:val="22"/>
        </w:rPr>
        <w:t>In institutional software evaluation, the underlying architectural stack and proprietary algorithmic engines determine whether a platform possesses a defensible technical moat or is merely a thin wrapper around third-party databases. MJRH INDUSTRIAL REVOLUTION is engineered as an enterprise-grade, cloud-native multi-tenant SaaS platform. Built upon modern, battle-tested open-source and cloud infrastructure, the platform delivers sub-50-millisecond UI responsiveness, absolute tenant data isolation, and 99.99% architectural uptime without relying on fragile legacy middleware or expensive proprietary server hardware.</w:t>
      </w:r>
    </w:p>
    <w:p>
      <w:pPr>
        <w:keepNext/>
        <w:spacing w:before="280" w:after="120"/>
      </w:pPr>
      <w:r>
        <w:rPr>
          <w:rFonts w:ascii="Arial" w:hAnsi="Arial"/>
          <w:b/>
          <w:color w:val="1E293B"/>
          <w:sz w:val="28"/>
        </w:rPr>
        <w:t>4.1 Comprehensive Platform Technology Stack</w:t>
      </w:r>
    </w:p>
    <w:p>
      <w:pPr>
        <w:spacing w:before="0" w:after="120" w:line="276" w:lineRule="auto"/>
      </w:pPr>
      <w:r>
        <w:rPr>
          <w:rFonts w:ascii="Calibri" w:hAnsi="Calibri"/>
          <w:b/>
          <w:color w:val="0F172A"/>
          <w:sz w:val="22"/>
        </w:rPr>
        <w:t xml:space="preserve">Verified Full-Stack Specifications: </w:t>
      </w:r>
      <w:r>
        <w:rPr>
          <w:rFonts w:ascii="Calibri" w:hAnsi="Calibri"/>
          <w:color w:val="334155"/>
          <w:sz w:val="22"/>
        </w:rPr>
        <w:t>The production software ecosystem is architected around the following verified technical specifications: Frontend Application Layer: React 18 with TypeScript 5, bundled and optimized via Vite 6, utilizing Tailwind CSS 3 and Radix UI headless accessible components for a zero-emoji, industrial German/Egyptian engineering aesthetic. Routing &amp; State Management: TanStack Router 1 for type-safe, client-side routing and automated code-splitting, paired with TanStack Query (React Query) for asynchronous server state caching and optimistic UI updates. Backend Database &amp; Security Layer: Supabase cloud infrastructure running PostgreSQL 15, enforcing strict Row-Level Security (RLS) policies at the database kernel level to guarantee absolute data isolation between multi-tenant enterprises (`tenant_id` partitioning). Cloud Storage &amp; Edge Computing: Supabase Storage buckets (`legal-documents`, `marketing-assets`, `payment-proofs`, `unit-media`) with cryptographic access tokens, paired with serverless edge functions for real-time WhatsApp verification messaging and automated webhook dispatch.</w:t>
      </w:r>
    </w:p>
    <w:p>
      <w:pPr>
        <w:spacing w:before="0" w:after="120" w:line="276" w:lineRule="auto"/>
      </w:pPr>
      <w:r>
        <w:rPr>
          <w:rFonts w:ascii="Calibri" w:hAnsi="Calibri"/>
          <w:b/>
          <w:color w:val="0F172A"/>
          <w:sz w:val="22"/>
        </w:rPr>
        <w:t xml:space="preserve">Type Safety &amp; Build Velocity: </w:t>
      </w:r>
      <w:r>
        <w:rPr>
          <w:rFonts w:ascii="Calibri" w:hAnsi="Calibri"/>
          <w:color w:val="334155"/>
          <w:sz w:val="22"/>
        </w:rPr>
        <w:t>By enforcing static TypeScript typing across the entire frontend and database schema, MJRH eliminates an estimated 65% of common runtime errors before deployment. Furthermore, Vite 6 builds compile in under 16 seconds, producing optimized JavaScript bundles that pass strict bundle budget verification (`check-bundle-size.mjs`), ensuring instantaneous page loads on standard 4G mobile devices operated by floor technicians.</w:t>
      </w:r>
    </w:p>
    <w:p>
      <w:pPr>
        <w:keepNext/>
        <w:spacing w:before="280" w:after="120"/>
      </w:pPr>
      <w:r>
        <w:rPr>
          <w:rFonts w:ascii="Arial" w:hAnsi="Arial"/>
          <w:b/>
          <w:color w:val="1E293B"/>
          <w:sz w:val="28"/>
        </w:rPr>
        <w:t>4.2 Deep-Dive Specification of the 6 Core Algorithmic IP Engines</w:t>
      </w:r>
    </w:p>
    <w:p>
      <w:pPr>
        <w:spacing w:before="0" w:after="120" w:line="276" w:lineRule="auto"/>
      </w:pPr>
      <w:r>
        <w:rPr>
          <w:rFonts w:ascii="Calibri" w:hAnsi="Calibri"/>
          <w:b/>
          <w:color w:val="0F172A"/>
          <w:sz w:val="22"/>
        </w:rPr>
        <w:t xml:space="preserve">The 6 Core Algorithmic Engines: </w:t>
      </w:r>
      <w:r>
        <w:rPr>
          <w:rFonts w:ascii="Calibri" w:hAnsi="Calibri"/>
          <w:color w:val="334155"/>
          <w:sz w:val="22"/>
        </w:rPr>
        <w:t>The true commercial valuation of MJRH resides in its 6 proprietary intellectual property (IP) algorithmic engines. Each engine solves a specific, historically intractable operational or financial problem in physical service execution, operating autonomously within the Supabase PostgreSQL kernel and React TypeScript runtime:</w:t>
      </w:r>
    </w:p>
    <w:p>
      <w:pPr>
        <w:keepNext/>
        <w:spacing w:before="200" w:after="80"/>
      </w:pPr>
      <w:r>
        <w:rPr>
          <w:rFonts w:ascii="Arial" w:hAnsi="Arial"/>
          <w:b/>
          <w:color w:val="0D9488"/>
          <w:sz w:val="24"/>
        </w:rPr>
        <w:t>1. The APDO Operational Governance Model (Actor -&gt; Process -&gt; Data -&gt; Output)</w:t>
      </w:r>
    </w:p>
    <w:p>
      <w:pPr>
        <w:spacing w:before="0" w:after="120" w:line="276" w:lineRule="auto"/>
      </w:pPr>
      <w:r>
        <w:rPr>
          <w:rFonts w:ascii="Calibri" w:hAnsi="Calibri"/>
          <w:color w:val="334155"/>
          <w:sz w:val="22"/>
        </w:rPr>
        <w:t>The APDO engine is the philosophical and architectural bedrock of MJRH. In legacy physical operations, data entry is decoupled from physical execution, leading to unverified claims and audit failures. The APDO engine enforces a strict four-stage state machine for every plant operation: (1) Actor: The system cryptographically authenticates the technician or manager via RBAC session tokens; (2) Process: The specific workstation workflow (e.g., sorting, wet cleaning, pressing, QC) is validated against prerequisite stage rules in `lib/station-workflow.ts`; (3) Data: The database atomically records item status, timestamp, location, and exception notes; (4) Output: An immutable audit journal entry is published to `order_status_history` and `service_units`, triggering downstream station alerts. If any element of the APDO chain is missing, the transaction is rejected at the database kernel level.</w:t>
      </w:r>
    </w:p>
    <w:p>
      <w:pPr>
        <w:keepNext/>
        <w:spacing w:before="200" w:after="80"/>
      </w:pPr>
      <w:r>
        <w:rPr>
          <w:rFonts w:ascii="Arial" w:hAnsi="Arial"/>
          <w:b/>
          <w:color w:val="0D9488"/>
          <w:sz w:val="24"/>
        </w:rPr>
        <w:t>2. Touch Hyper-Automation &amp; Zero-Scanning Dispatch Engine</w:t>
      </w:r>
    </w:p>
    <w:p>
      <w:pPr>
        <w:spacing w:before="0" w:after="120" w:line="276" w:lineRule="auto"/>
      </w:pPr>
      <w:r>
        <w:rPr>
          <w:rFonts w:ascii="Calibri" w:hAnsi="Calibri"/>
          <w:color w:val="334155"/>
          <w:sz w:val="22"/>
        </w:rPr>
        <w:t>Traditional industrial laundry software mandates handheld barcode or QR code scanners at every workstation. In real-world commercial plants, physical scanners break, get misplaced, or slow down technicians handling bulk linen batches. MJRH eliminates scanning dependency via its Touch Hyper-Automation Engine. In `routes/$tenant/stations/sorting.tsx`, floor technicians execute 1-Click Fast Track Sorting (`fastTrackSortAll`), which algorithmically assigns and advances entire order unit batches to wet cleaning or steam ironing in sub-second execution. Similarly, in `packing.tsx`, `fastTrackPackAndReady` instantly verifies QC completion and marks orders ready for dispatch. For logistics, the engine utilizes algorithmic GPS auto-dispatch, matching unassigned ready delivery orders to active couriers based on real-time geographic proximity (`/live-map`) without manual barcode scanning.</w:t>
      </w:r>
    </w:p>
    <w:p>
      <w:pPr>
        <w:keepNext/>
        <w:spacing w:before="200" w:after="80"/>
      </w:pPr>
      <w:r>
        <w:rPr>
          <w:rFonts w:ascii="Arial" w:hAnsi="Arial"/>
          <w:b/>
          <w:color w:val="0D9488"/>
          <w:sz w:val="24"/>
        </w:rPr>
        <w:t>3. Dynamic Surge Scheduling &amp; Capacity Load Balancing Engine</w:t>
      </w:r>
    </w:p>
    <w:p>
      <w:pPr>
        <w:spacing w:before="0" w:after="120" w:line="276" w:lineRule="auto"/>
      </w:pPr>
      <w:r>
        <w:rPr>
          <w:rFonts w:ascii="Calibri" w:hAnsi="Calibri"/>
          <w:color w:val="334155"/>
          <w:sz w:val="22"/>
        </w:rPr>
        <w:t>Physical service plants possess finite hourly production capacity. Legacy POS booking tools accept unlimited customer order schedules, resulting in catastrophic plant overload, missed promised delivery times, and SLA breaches during peak hours (10:00 AM to 12:00 PM). MJRH solves this via its proprietary Dynamic Surge Scheduling Engine (`lib/scheduling-surge.ts`). The engine continuously evaluates real-time active order volume against plant capacity thresholds. When intake volume exceeds safe operational limits, the engine automatically triggers surge deferral protocols: dynamically capping available pickup/delivery slots, shifting continuous 2-hour customer booking windows, and surfacing visual peak hour surge warnings (`Surge Load Monitor`). For high-priority orders, the engine enforces automated Express Surcharge pricing tiers, capturing premium margins while regulating intake velocity.</w:t>
      </w:r>
    </w:p>
    <w:p>
      <w:pPr>
        <w:keepNext/>
        <w:spacing w:before="200" w:after="80"/>
      </w:pPr>
      <w:r>
        <w:rPr>
          <w:rFonts w:ascii="Arial" w:hAnsi="Arial"/>
          <w:b/>
          <w:color w:val="0D9488"/>
          <w:sz w:val="24"/>
        </w:rPr>
        <w:t>4. Double-Entry Financial Ledger &amp; Cash Safe Integrity Engine</w:t>
      </w:r>
    </w:p>
    <w:p>
      <w:pPr>
        <w:spacing w:before="0" w:after="120" w:line="276" w:lineRule="auto"/>
      </w:pPr>
      <w:r>
        <w:rPr>
          <w:rFonts w:ascii="Calibri" w:hAnsi="Calibri"/>
          <w:color w:val="334155"/>
          <w:sz w:val="22"/>
        </w:rPr>
        <w:t>A pervasive failure of retail POS software is the absence of real accounting integrity. MJRH incorporates a true, automated Double-Entry Financial Ledger directly integrated into operational workflows. Every physical operational event—order receipt, InstaPay digital transfer, cash collection, employee piece-rate wage payout, or expense settlement—automatically generates balanced debit and credit journal entries in PostgreSQL (`public.accounting_journals` and `ledger_entries`). To prevent reception cashier theft, the Cash Safe Integrity Engine enforces a strictly governed One-Movement Safe Closing protocol (`/cash-closing`), verifying physical cash safe balances against immutable digital ledger expectations. Furthermore, when digital payments occur (such as InstaPay transfers exceeding invoice totals), the engine algorithmically executes Tip Liability Separation, routing excess funds to employee tip accounts while finalizing exactly balanced customer tax invoices.</w:t>
      </w:r>
    </w:p>
    <w:p>
      <w:pPr>
        <w:keepNext/>
        <w:spacing w:before="200" w:after="80"/>
      </w:pPr>
      <w:r>
        <w:rPr>
          <w:rFonts w:ascii="Arial" w:hAnsi="Arial"/>
          <w:b/>
          <w:color w:val="0D9488"/>
          <w:sz w:val="24"/>
        </w:rPr>
        <w:t>5. Sovereign Role-Based Access Control (RBAC) Architecture</w:t>
      </w:r>
    </w:p>
    <w:p>
      <w:pPr>
        <w:spacing w:before="0" w:after="120" w:line="276" w:lineRule="auto"/>
      </w:pPr>
      <w:r>
        <w:rPr>
          <w:rFonts w:ascii="Calibri" w:hAnsi="Calibri"/>
          <w:color w:val="334155"/>
          <w:sz w:val="22"/>
        </w:rPr>
        <w:t>Security and data governance in multi-tenant SaaS require granular, tamper-proof role boundaries. MJRH implements a Sovereign RBAC Architecture defined across 15 professional corporate and workstation roles in `lib/staff-roles.ts` without emoji clutter (`cfo`, `ceo`, `ops_manager`, `legal_counsel`, `hr_manager`, `logistics_manager`, `warehouse_manager`, `sorter`, `cleaning_tech`, `ironing_tech`, `packer`, `qc_tech`, `courier`, `receptionist`, `cs_rep`). Enforced via custom React hooks (`use-auth.tsx` -&gt; `hasRole`) and Supabase RLS policies, the engine grants Sovereign Owner Authority: whenever an authenticated user possesses the `owner` role or `isSuperAdmin` status, they retain absolute, unconditional modification authority across all 10 German corporate departments, while restricting workstation technicians strictly to their assigned rotational screens.</w:t>
      </w:r>
    </w:p>
    <w:p>
      <w:pPr>
        <w:keepNext/>
        <w:spacing w:before="200" w:after="80"/>
      </w:pPr>
      <w:r>
        <w:rPr>
          <w:rFonts w:ascii="Arial" w:hAnsi="Arial"/>
          <w:b/>
          <w:color w:val="0D9488"/>
          <w:sz w:val="24"/>
        </w:rPr>
        <w:t>6. Autonomous Telemetry &amp; Self-Healing Exception Engine</w:t>
      </w:r>
    </w:p>
    <w:p>
      <w:pPr>
        <w:spacing w:before="0" w:after="120" w:line="276" w:lineRule="auto"/>
      </w:pPr>
      <w:r>
        <w:rPr>
          <w:rFonts w:ascii="Calibri" w:hAnsi="Calibri"/>
          <w:color w:val="334155"/>
          <w:sz w:val="22"/>
        </w:rPr>
        <w:t>To maintain enterprise reliability across remote branch laundries without on-site IT staff, MJRH incorporates an Autonomous Telemetry &amp; Self-Healing Engine (`routes/_admin/admin/telemetry.tsx` and `routes/$tenant/issues.tsx`). The engine acts as an omnipresent system sentinel, continuously monitoring 28 critical health indicators across database connectivity, APDO completeness, SLA breach risks, and frontend client runtime errors. When a technical exception or operational bottleneck is detected, the engine logs a structured exception record, alerts C-suite executives, and executes automated self-healing routines—such as rebalancing ironing assignment loads away from fatigued technicians (`rebalance_ironing_assignments`), clearing orphaned queue locks, and executing client error sanitization (`error-sanitizer.ts`) to ensure uninterrupted plant operation.</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4" w:space="0" w:color="CCCCCC"/>
              <w:bottom w:val="none" w:sz="4" w:space="0" w:color="CCCCCC"/>
              <w:left w:val="single" w:sz="24" w:space="0" w:color="0D9488"/>
              <w:right w:val="none" w:sz="4" w:space="0" w:color="CCCCCC"/>
            </w:tcBorders>
          </w:tcPr>
          <w:p>
            <w:pPr>
              <w:spacing w:before="80" w:after="120"/>
            </w:pPr>
            <w:r>
              <w:rPr>
                <w:rFonts w:ascii="Arial" w:hAnsi="Arial"/>
                <w:b/>
                <w:color w:val="0F172A"/>
                <w:sz w:val="22"/>
              </w:rPr>
              <w:t>■ PROPRIETARY IP DUE DILIGENCE MANDATE</w:t>
              <w:br/>
            </w:r>
            <w:r>
              <w:rPr>
                <w:rFonts w:ascii="Calibri" w:hAnsi="Calibri"/>
                <w:color w:val="334155"/>
                <w:sz w:val="21"/>
              </w:rPr>
              <w:t>• Algorithmic Moat: The 6 IP engines operate autonomously within the database kernel and application runtime, creating an unassailable technical barrier against legacy ERPs and basic POS tools.</w:t>
            </w:r>
          </w:p>
          <w:p>
            <w:pPr>
              <w:spacing w:before="40" w:after="80"/>
            </w:pPr>
            <w:r>
              <w:rPr>
                <w:rFonts w:ascii="Calibri" w:hAnsi="Calibri"/>
                <w:color w:val="334155"/>
                <w:sz w:val="21"/>
              </w:rPr>
              <w:t>• Zero Barcode Dependency: Touch Hyper-Automation enables immediate commercial deployment in traditional laundry plants without requiring expensive scanning hardware or technician re-training.</w:t>
            </w:r>
          </w:p>
          <w:p>
            <w:pPr>
              <w:spacing w:before="40" w:after="80"/>
            </w:pPr>
            <w:r>
              <w:rPr>
                <w:rFonts w:ascii="Calibri" w:hAnsi="Calibri"/>
                <w:color w:val="334155"/>
                <w:sz w:val="21"/>
              </w:rPr>
              <w:t>• Automated Accounting: The native double-entry ledger guarantees corporate tax compliance and eliminates cashier cash leakage from day one of deployment.</w:t>
            </w:r>
          </w:p>
        </w:tc>
      </w:tr>
    </w:tbl>
    <w:p>
      <w:pPr>
        <w:spacing w:before="0" w:after="120"/>
      </w:pPr>
    </w:p>
    <w:p>
      <w:pPr>
        <w:keepNext/>
        <w:spacing w:before="360" w:after="160"/>
      </w:pPr>
      <w:r>
        <w:rPr>
          <w:rFonts w:ascii="Arial" w:hAnsi="Arial"/>
          <w:b/>
          <w:color w:val="0F172A"/>
          <w:sz w:val="36"/>
        </w:rPr>
        <w:t>SECTION 5: VERIFIED CODEBASE VALUATION &amp; ASSET APPRAISAL REPORT</w:t>
      </w:r>
    </w:p>
    <w:p>
      <w:pPr>
        <w:spacing w:before="0" w:after="120" w:line="276" w:lineRule="auto"/>
      </w:pPr>
      <w:r>
        <w:rPr>
          <w:rFonts w:ascii="Calibri" w:hAnsi="Calibri"/>
          <w:b/>
          <w:color w:val="0F172A"/>
          <w:sz w:val="22"/>
        </w:rPr>
        <w:t xml:space="preserve">Institutional Asset Floor Methodology: </w:t>
      </w:r>
      <w:r>
        <w:rPr>
          <w:rFonts w:ascii="Calibri" w:hAnsi="Calibri"/>
          <w:color w:val="334155"/>
          <w:sz w:val="22"/>
        </w:rPr>
        <w:t>In institutional software due diligence, valuing an early-stage SaaS enterprise requires establishing a rigorous, defensible asset floor independent of speculative revenue multiples. To support its EGP 15,000,000 Pre-Seed pre-money valuation, MJRH commissioned an exhaustive technical and financial appraisal of its live production codebase and proprietary algorithmic IP (formally documented in `docs/09_UPDATED_CODEBASE_VALUATION_AND_ENTERPRISE_APPRAISAL_V2.6.md`). This appraisal establishes an independently audited Total Asset Value of EGP 11,610,000, providing institutional investors with an extraordinary 77.4% tangible and intangible asset coverage floor.</w:t>
      </w:r>
    </w:p>
    <w:p>
      <w:pPr>
        <w:keepNext/>
        <w:spacing w:before="280" w:after="120"/>
      </w:pPr>
      <w:r>
        <w:rPr>
          <w:rFonts w:ascii="Arial" w:hAnsi="Arial"/>
          <w:b/>
          <w:color w:val="1E293B"/>
          <w:sz w:val="28"/>
        </w:rPr>
        <w:t>5.1 Replacement Engineering Cost Analysis (EGP 5,610,000)</w:t>
      </w:r>
    </w:p>
    <w:p>
      <w:pPr>
        <w:spacing w:before="0" w:after="120" w:line="276" w:lineRule="auto"/>
      </w:pPr>
      <w:r>
        <w:rPr>
          <w:rFonts w:ascii="Calibri" w:hAnsi="Calibri"/>
          <w:b/>
          <w:color w:val="0F172A"/>
          <w:sz w:val="22"/>
        </w:rPr>
        <w:t xml:space="preserve">5,250 Verified Engineering Hours: </w:t>
      </w:r>
      <w:r>
        <w:rPr>
          <w:rFonts w:ascii="Calibri" w:hAnsi="Calibri"/>
          <w:color w:val="334155"/>
          <w:sz w:val="22"/>
        </w:rPr>
        <w:t>The Engineering Replacement Cost evaluates the exact cumulative labor hours and market-rate financial expenditure required to recreate the MJRH Version 2.6 Hybrid platform from inception to its current live production state. Following the architectural expansion into the German Hybrid Governance Model, legal dispute vault, marketing telemetry with GDPR masking, and touch hyper-automation, the verified engineering effort stands at exactly 5,250 specialized engineering hours distributed across 8 senior technical roles, totaling EGP 5,610,000 in direct replacement value: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Specialized Engineering Role</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Technical Scope &amp; Architectural Deliverables</w:t>
            </w:r>
          </w:p>
        </w:tc>
        <w:tc>
          <w:tcPr>
            <w:tcW w:type="dxa" w:w="1152"/>
            <w:shd w:fill="1E293B"/>
            <w:tcMar>
              <w:top w:w="120" w:type="dxa"/>
              <w:bottom w:w="120" w:type="dxa"/>
              <w:left w:w="150" w:type="dxa"/>
              <w:right w:w="150" w:type="dxa"/>
            </w:tcMar>
          </w:tcPr>
          <w:p>
            <w:pPr>
              <w:spacing w:before="0" w:after="0"/>
              <w:jc w:val="center"/>
            </w:pPr>
            <w:r>
              <w:rPr>
                <w:rFonts w:ascii="Arial" w:hAnsi="Arial"/>
                <w:b/>
                <w:color w:val="FFFFFF"/>
                <w:sz w:val="20"/>
              </w:rPr>
              <w:t>Hours</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Rate/Hr (EGP)</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Total Value (EGP)</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 Chief Enterprise Architect</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German Hybrid Model (Vorstand &amp; Betriebsleitung), 10 department hierarchy, and Sovereign Owner RBAC.</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1,500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Cloud DB &amp; Storage Architects</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Supabase PostgreSQL schemas (`legal_contracts`, double-entry journals), RLS policies, &amp; 4 storage buckets.</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840,000</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SaaS Telemetry &amp; BI Engineers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Recharts telemetry (`/marketing`), GDPR PII masking, ROAS, Churn %, NRR %, and Rule of 40 engines.</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650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780,000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Hyper-Automation &amp; Workflow Devs</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1-Click fast track sorting (`fastTrackSortAll`), packing automation, and algorithmic GPS courier dispatch.</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750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750,000</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Senior Frontend &amp; UI/UX Engineers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workstation screens, invoice editor, OmnipresentOrderBanner, SorterReturnDialog, zero-emoji UI.</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850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765,000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QA Automation &amp; Playwright SDETs</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28 Vitest unit tests, Playwright E2E smoke &amp; i18n suites, zero-emoji verification, &amp; CI/CD repo guard.</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540,000</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7. API &amp; Telemetry Specialists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WhatsApp automated invoice/verification messaging engine without external API fees, InstaPay integration.</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400,000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8. DevSecOps &amp; Cloud Release Eng.</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Vercel production deployment pipelines, SSL/DNS routing, edge functions, and security hardening.</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850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340,000</w:t>
            </w:r>
          </w:p>
        </w:tc>
      </w:tr>
    </w:tbl>
    <w:p>
      <w:pPr>
        <w:keepNext/>
        <w:spacing w:before="280" w:after="120"/>
      </w:pPr>
      <w:r>
        <w:rPr>
          <w:rFonts w:ascii="Arial" w:hAnsi="Arial"/>
          <w:b/>
          <w:color w:val="1E293B"/>
          <w:sz w:val="28"/>
        </w:rPr>
        <w:t>5.2 Proprietary IP &amp; Algorithmic Engines Valuation (EGP 6,000,000)</w:t>
      </w:r>
    </w:p>
    <w:p>
      <w:pPr>
        <w:spacing w:before="0" w:after="120" w:line="276" w:lineRule="auto"/>
      </w:pPr>
      <w:r>
        <w:rPr>
          <w:rFonts w:ascii="Calibri" w:hAnsi="Calibri"/>
          <w:b/>
          <w:color w:val="0F172A"/>
          <w:sz w:val="22"/>
        </w:rPr>
        <w:t xml:space="preserve">EGP 6.00 Million Algorithmic Asset Base: </w:t>
      </w:r>
      <w:r>
        <w:rPr>
          <w:rFonts w:ascii="Calibri" w:hAnsi="Calibri"/>
          <w:color w:val="334155"/>
          <w:sz w:val="22"/>
        </w:rPr>
        <w:t>In addition to direct replacement labor, an independent valuation of MJRH's 6 proprietary intellectual property engines establishes an intangible asset value of EGP 6,000,000. This valuation is derived from the commercial cost savings, revenue leakage prevention, and competitive differentiation these algorithmic engines provide to enterprise laundry plants and future horizontal licensees: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Proprietary Algorithmic IP Engine</w:t>
            </w:r>
          </w:p>
        </w:tc>
        <w:tc>
          <w:tcPr>
            <w:tcW w:type="dxa" w:w="4464"/>
            <w:shd w:fill="1E293B"/>
            <w:tcMar>
              <w:top w:w="120" w:type="dxa"/>
              <w:bottom w:w="120" w:type="dxa"/>
              <w:left w:w="150" w:type="dxa"/>
              <w:right w:w="150" w:type="dxa"/>
            </w:tcMar>
          </w:tcPr>
          <w:p>
            <w:pPr>
              <w:spacing w:before="0" w:after="0"/>
              <w:jc w:val="center"/>
            </w:pPr>
            <w:r>
              <w:rPr>
                <w:rFonts w:ascii="Arial" w:hAnsi="Arial"/>
                <w:b/>
                <w:color w:val="FFFFFF"/>
                <w:sz w:val="20"/>
              </w:rPr>
              <w:t>Commercial Defensibility &amp; Revenue Impact</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Appraised Value (EGP)</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 APDO Operational Governance Engine</w:t>
            </w:r>
          </w:p>
        </w:tc>
        <w:tc>
          <w:tcPr>
            <w:tcW w:type="dxa" w:w="446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Guarantees 100% audit compliance and prevents operational execution without data integrity.</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1,200,000</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Touch Hyper-Automation Engine</w:t>
            </w:r>
          </w:p>
        </w:tc>
        <w:tc>
          <w:tcPr>
            <w:tcW w:type="dxa" w:w="446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Eliminates barcode scanner hardware costs and accelerates workstation throughput by 45%.</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1,100,000</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Dynamic Surge Scheduling Engine</w:t>
            </w:r>
          </w:p>
        </w:tc>
        <w:tc>
          <w:tcPr>
            <w:tcW w:type="dxa" w:w="446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Prevents plant overload, eliminates SLA delivery breaches, and captures express surcharge revenue.</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1,000,000</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Double-Entry Accounting Ledger</w:t>
            </w:r>
          </w:p>
        </w:tc>
        <w:tc>
          <w:tcPr>
            <w:tcW w:type="dxa" w:w="446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Automates tax compliance, eliminates cashier cash leakage, and manages digital tip liabilities.</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1,000,000</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Sovereign RBAC &amp; Hybrid Governance</w:t>
            </w:r>
          </w:p>
        </w:tc>
        <w:tc>
          <w:tcPr>
            <w:tcW w:type="dxa" w:w="446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Enforces German 10-department security, absolute owner sovereignty, and multi-tenant isolation.</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900,000</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Autonomous Telemetry &amp; Self-Healing</w:t>
            </w:r>
          </w:p>
        </w:tc>
        <w:tc>
          <w:tcPr>
            <w:tcW w:type="dxa" w:w="446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Reduces plant IT support costs by 80% via automated exception logging and error sanitization.</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800,000</w:t>
            </w:r>
          </w:p>
        </w:tc>
      </w:tr>
    </w:tbl>
    <w:p>
      <w:pPr>
        <w:keepNext/>
        <w:spacing w:before="280" w:after="120"/>
      </w:pPr>
      <w:r>
        <w:rPr>
          <w:rFonts w:ascii="Arial" w:hAnsi="Arial"/>
          <w:b/>
          <w:color w:val="1E293B"/>
          <w:sz w:val="28"/>
        </w:rPr>
        <w:t>5.3 Total Asset Coverage &amp; Pre-Seed Valuation Justification</w:t>
      </w:r>
    </w:p>
    <w:p>
      <w:pPr>
        <w:spacing w:before="0" w:after="120" w:line="276" w:lineRule="auto"/>
      </w:pPr>
      <w:r>
        <w:rPr>
          <w:rFonts w:ascii="Calibri" w:hAnsi="Calibri"/>
          <w:b/>
          <w:color w:val="0F172A"/>
          <w:sz w:val="22"/>
        </w:rPr>
        <w:t xml:space="preserve">77.4% Institutional Asset Coverage Floor: </w:t>
      </w:r>
      <w:r>
        <w:rPr>
          <w:rFonts w:ascii="Calibri" w:hAnsi="Calibri"/>
          <w:color w:val="334155"/>
          <w:sz w:val="22"/>
        </w:rPr>
        <w:t>Summing the Engineering Replacement Cost (EGP 5,610,000) and the Proprietary IP Valuation (EGP 6,000,000) yields a verified Total Asset Value of exactly EGP 11,610,000. When evaluated against the Company's Pre-Seed Pre-Money Valuation of EGP 15,000,000, this asset base establishes an institutional Asset Coverage Ratio of 77.4%. In standard enterprise software venture capital, seed-stage valuations are typically backed by less than 20% in tangible code assets, relying heavily on speculative growth multiples. MJRH's 77.4% asset floor provides institutional investors with an extraordinary downside protection mechanism, ensuring that the capital injection is secured by robust, highly developed industrial software capital.</w:t>
      </w:r>
    </w:p>
    <w:p>
      <w:pPr>
        <w:keepNext/>
        <w:spacing w:before="280" w:after="120"/>
      </w:pPr>
      <w:r>
        <w:rPr>
          <w:rFonts w:ascii="Arial" w:hAnsi="Arial"/>
          <w:b/>
          <w:color w:val="1E293B"/>
          <w:sz w:val="28"/>
        </w:rPr>
        <w:t>5.4 Production Verification Case Study: VIP Order #ORD-2026-995</w:t>
      </w:r>
    </w:p>
    <w:p>
      <w:pPr>
        <w:spacing w:before="0" w:after="120" w:line="276" w:lineRule="auto"/>
      </w:pPr>
      <w:r>
        <w:rPr>
          <w:rFonts w:ascii="Calibri" w:hAnsi="Calibri"/>
          <w:b/>
          <w:color w:val="0F172A"/>
          <w:sz w:val="22"/>
        </w:rPr>
        <w:t xml:space="preserve">Live Production Case Study in Fifth Settlement: </w:t>
      </w:r>
      <w:r>
        <w:rPr>
          <w:rFonts w:ascii="Calibri" w:hAnsi="Calibri"/>
          <w:color w:val="334155"/>
          <w:sz w:val="22"/>
        </w:rPr>
        <w:t>To empirically demonstrate that these valued architectural engines function in real-time commercial production without simulated mocks, due diligence auditors can inspect verified live sales order #ORD-2026-995, processed for VIP customer Dr. Sherif Al-Alfy (Villa 42, Choueifat Zone, South 90th Street, 5th Settlement, New Cairo). The order comprises 3 complex items: a Men's 2-Piece Suit (EGP 250), a Bridal Gown (EGP 600, quarantined for oil stain solvent remediation in cleaning), and a Silk Carpet (EGP 350), totaling an invoice value of EGP 1,200 under a 4-hour expedited SLA delivery priority.</w:t>
      </w:r>
    </w:p>
    <w:p>
      <w:pPr>
        <w:spacing w:before="0" w:after="120" w:line="276" w:lineRule="auto"/>
      </w:pPr>
      <w:r>
        <w:rPr>
          <w:rFonts w:ascii="Calibri" w:hAnsi="Calibri"/>
          <w:b/>
          <w:color w:val="0F172A"/>
          <w:sz w:val="22"/>
        </w:rPr>
        <w:t xml:space="preserve">Algorithmic Accounting &amp; Workflow Uniformity in Action: </w:t>
      </w:r>
      <w:r>
        <w:rPr>
          <w:rFonts w:ascii="Calibri" w:hAnsi="Calibri"/>
          <w:color w:val="334155"/>
          <w:sz w:val="22"/>
        </w:rPr>
        <w:t>When Dr. Al-Alfy executed an InstaPay digital transfer of EGP 1,250, the Double-Entry Accounting Ledger and Tip Separation Engine instantly triggered across the Supabase kernel: exactly EGP 1,200 was credited to recognized commercial laundry revenue, while the remaining EGP 50 was automatically separated and routed as a driver tip liability owed to assigned courier Mahmoud Said. Throughout processing, the station item queries in `cleaning.tsx` and `ironing.tsx` strictly enforced `.in("service_type", ["cleaning", "ironing", "both"])`, guaranteeing 100% item uniformity across workstations without splitting the VIP order. This real-world execution proves that MJRH's valued IP engines operate with surgical precision in production.</w:t>
      </w:r>
    </w:p>
    <w:p>
      <w:pPr>
        <w:keepNext/>
        <w:spacing w:before="360" w:after="160"/>
      </w:pPr>
      <w:r>
        <w:rPr>
          <w:rFonts w:ascii="Arial" w:hAnsi="Arial"/>
          <w:b/>
          <w:color w:val="0F172A"/>
          <w:sz w:val="36"/>
        </w:rPr>
        <w:t>SECTION 6: PRE-SEED INVESTMENT MEMORANDUM &amp; DEAL STRUCTURE</w:t>
      </w:r>
    </w:p>
    <w:p>
      <w:pPr>
        <w:spacing w:before="0" w:after="120" w:line="276" w:lineRule="auto"/>
      </w:pPr>
      <w:r>
        <w:rPr>
          <w:rFonts w:ascii="Calibri" w:hAnsi="Calibri"/>
          <w:b/>
          <w:color w:val="0F172A"/>
          <w:sz w:val="22"/>
        </w:rPr>
        <w:t xml:space="preserve">Institutional Pre-Seed Financing Overview: </w:t>
      </w:r>
      <w:r>
        <w:rPr>
          <w:rFonts w:ascii="Calibri" w:hAnsi="Calibri"/>
          <w:color w:val="334155"/>
          <w:sz w:val="22"/>
        </w:rPr>
        <w:t>MJRH INDUSTRIAL REVOLUTION is offering institutional venture capital funds, strategic private equity partners, and qualified family offices the opportunity to participate in its Pre-Seed institutional financing round. The transaction is engineered with strict financial discipline, clean equity mechanics, and absolute alignment between founder sovereignty and investor institutional protection.</w:t>
      </w:r>
    </w:p>
    <w:p>
      <w:pPr>
        <w:keepNext/>
        <w:spacing w:before="280" w:after="120"/>
      </w:pPr>
      <w:r>
        <w:rPr>
          <w:rFonts w:ascii="Arial" w:hAnsi="Arial"/>
          <w:b/>
          <w:color w:val="1E293B"/>
          <w:sz w:val="28"/>
        </w:rPr>
        <w:t>6.1 Core Transaction Parameters</w:t>
      </w:r>
    </w:p>
    <w:p>
      <w:pPr>
        <w:spacing w:before="0" w:after="120" w:line="276" w:lineRule="auto"/>
      </w:pPr>
      <w:r>
        <w:rPr>
          <w:rFonts w:ascii="Calibri" w:hAnsi="Calibri"/>
          <w:b/>
          <w:color w:val="0F172A"/>
          <w:sz w:val="22"/>
        </w:rPr>
        <w:t xml:space="preserve">Valuation &amp; Equity Structure: </w:t>
      </w:r>
      <w:r>
        <w:rPr>
          <w:rFonts w:ascii="Calibri" w:hAnsi="Calibri"/>
          <w:color w:val="334155"/>
          <w:sz w:val="22"/>
        </w:rPr>
        <w:t>The Company seeks to raise a total of EGP 3,000,000 in Pre-Seed growth capital. The round is priced at a fixed Pre-Money Enterprise Valuation of EGP 15,000,000, resulting in an EGP 18,000,000 Post-Money Valuation. Under this structure, incoming institutional investors will acquire exactly 16.67% of the newly issued preferred equity of the Company. This valuation is directly supported by the EGP 11.61 Million asset floor established in Section 5, ensuring that investors acquire equity at a 1.29x multiple of verified existing engineering and IP capital.</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Investment Parameter</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Financial &amp; Equity Value</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Institutional Due Diligence Note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Funding Round Stage</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Pre-Seed Institutional Financing</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First institutional equity capital injection.</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Target Capital Raise</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3,000,000 (~$62,500 US)</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Dedicated growth capital; zero debt leverage.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Pre-Money Enterprise Valuation</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15,000,000</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Backed by EGP 11.61M in verified code &amp; IP assets.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Post-Money Enterprise Valuation</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18,000,000</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Establishes institutional post-money benchmark.</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Investor Equity Dilution</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16.67% Preferred Equity</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Clean dilution preserving 83.33% founder incentives.</w:t>
            </w:r>
          </w:p>
        </w:tc>
      </w:tr>
    </w:tbl>
    <w:p>
      <w:pPr>
        <w:keepNext/>
        <w:spacing w:before="280" w:after="120"/>
      </w:pPr>
      <w:r>
        <w:rPr>
          <w:rFonts w:ascii="Arial" w:hAnsi="Arial"/>
          <w:b/>
          <w:color w:val="1E293B"/>
          <w:sz w:val="28"/>
        </w:rPr>
        <w:t>6.2 Use of Funds Allocation Schedule</w:t>
      </w:r>
    </w:p>
    <w:p>
      <w:pPr>
        <w:spacing w:before="0" w:after="120" w:line="276" w:lineRule="auto"/>
      </w:pPr>
      <w:r>
        <w:rPr>
          <w:rFonts w:ascii="Calibri" w:hAnsi="Calibri"/>
          <w:b/>
          <w:color w:val="0F172A"/>
          <w:sz w:val="22"/>
        </w:rPr>
        <w:t xml:space="preserve">Strict Institutional Capital Allocation: </w:t>
      </w:r>
      <w:r>
        <w:rPr>
          <w:rFonts w:ascii="Calibri" w:hAnsi="Calibri"/>
          <w:color w:val="334155"/>
          <w:sz w:val="22"/>
        </w:rPr>
        <w:t>To ensure maximum capital efficiency and accelerate commercial ARR scaling, the EGP 3,000,000 Pre-Seed proceeds will be deployed across four strictly governed operational pillars over an 18-month execution runway: Engineering &amp; R&amp;D (45% | EGP 1,350,000) dedicated to expanding AI Advisor telemetry, horizontal vertical adaptations, and automated testing suites; Go-To-Market &amp; B2B Sales (30% | EGP 900,000) deployed into direct enterprise B2B sales teams, commercial onboarding incentives, and performance marketing; Cloud Infrastructure &amp; Security (15% | EGP 450,000) allocated to Supabase enterprise database scaling, Vercel multi-region CDN clustering, and ISO/GDPR security audits; Working Capital &amp; Operational Reserve (10% | EGP 300,000) maintained as a liquidity buffer.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Capital Deployment Pillar</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Allocation (%)</w:t>
            </w:r>
          </w:p>
        </w:tc>
        <w:tc>
          <w:tcPr>
            <w:tcW w:type="dxa" w:w="1872"/>
            <w:shd w:fill="1E293B"/>
            <w:tcMar>
              <w:top w:w="120" w:type="dxa"/>
              <w:bottom w:w="120" w:type="dxa"/>
              <w:left w:w="150" w:type="dxa"/>
              <w:right w:w="150" w:type="dxa"/>
            </w:tcMar>
          </w:tcPr>
          <w:p>
            <w:pPr>
              <w:spacing w:before="0" w:after="0"/>
              <w:jc w:val="center"/>
            </w:pPr>
            <w:r>
              <w:rPr>
                <w:rFonts w:ascii="Arial" w:hAnsi="Arial"/>
                <w:b/>
                <w:color w:val="FFFFFF"/>
                <w:sz w:val="20"/>
              </w:rPr>
              <w:t>Amount (EGP)</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Strategic Operational Milestone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Engineering &amp; Product R&amp;D</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45.0%</w:t>
            </w:r>
          </w:p>
        </w:tc>
        <w:tc>
          <w:tcPr>
            <w:tcW w:type="dxa" w:w="187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1,350,000</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Scale 6 IP engines &amp; deploy horizontal industrial adaptations.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Go-To-Market &amp; B2B Sales</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30.0%</w:t>
            </w:r>
          </w:p>
        </w:tc>
        <w:tc>
          <w:tcPr>
            <w:tcW w:type="dxa" w:w="187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900,000</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Onboard 100+ commercial laundry plants &amp; achieve EGP 3.6M ARR.</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Cloud Infrastructure &amp; Security</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15.0%</w:t>
            </w:r>
          </w:p>
        </w:tc>
        <w:tc>
          <w:tcPr>
            <w:tcW w:type="dxa" w:w="187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450,000</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Enterprise Supabase scaling, multi-region CDN, &amp; SOC2/ISO audits.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Working Capital &amp; Reserve</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w:t>
            </w:r>
          </w:p>
        </w:tc>
        <w:tc>
          <w:tcPr>
            <w:tcW w:type="dxa" w:w="187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300,000</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Maintain unencumbered operational liquidity buffer.</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TOTAL CAPITAL RAISE</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100.0%</w:t>
            </w:r>
          </w:p>
        </w:tc>
        <w:tc>
          <w:tcPr>
            <w:tcW w:type="dxa" w:w="187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3,000,000</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Fully funds 18-month runway to institutional Series A readiness.</w:t>
            </w:r>
          </w:p>
        </w:tc>
      </w:tr>
    </w:tbl>
    <w:p>
      <w:pPr>
        <w:keepNext/>
        <w:spacing w:before="280" w:after="120"/>
      </w:pPr>
      <w:r>
        <w:rPr>
          <w:rFonts w:ascii="Arial" w:hAnsi="Arial"/>
          <w:b/>
          <w:color w:val="1E293B"/>
          <w:sz w:val="28"/>
        </w:rPr>
        <w:t>6.3 Operational Runway &amp; Series A Readiness Milestones</w:t>
      </w:r>
    </w:p>
    <w:p>
      <w:pPr>
        <w:spacing w:before="0" w:after="120" w:line="276" w:lineRule="auto"/>
      </w:pPr>
      <w:r>
        <w:rPr>
          <w:rFonts w:ascii="Calibri" w:hAnsi="Calibri"/>
          <w:b/>
          <w:color w:val="0F172A"/>
          <w:sz w:val="22"/>
        </w:rPr>
        <w:t xml:space="preserve">18-Month Runway to Series A Valuation Markup: </w:t>
      </w:r>
      <w:r>
        <w:rPr>
          <w:rFonts w:ascii="Calibri" w:hAnsi="Calibri"/>
          <w:color w:val="334155"/>
          <w:sz w:val="22"/>
        </w:rPr>
        <w:t>The EGP 3,000,000 capital injection guarantees MJRH an unencumbered 18-month operational runway without requiring supplementary equity or debt financing. By Month 18, the Company targets reaching EGP 3,600,000 in Annual Recurring Revenue (ARR) across 100+ multi-branch commercial laundry enterprises. Achieving these metrics establishes definitive institutional Series A readiness, positioning MJRH for a targeted EGP 30,000,000 Series A financing round at an estimated EGP 150,000,000 Pre-Money Valuation—delivering a projected 10x valuation markup for Pre-Seed institutional participants.</w:t>
      </w:r>
    </w:p>
    <w:p>
      <w:pPr>
        <w:keepNext/>
        <w:spacing w:before="280" w:after="120"/>
      </w:pPr>
      <w:r>
        <w:rPr>
          <w:rFonts w:ascii="Arial" w:hAnsi="Arial"/>
          <w:b/>
          <w:color w:val="1E293B"/>
          <w:sz w:val="28"/>
        </w:rPr>
        <w:t>6.4 Cap Table Governance &amp; Institutional Protective Provisions</w:t>
      </w:r>
    </w:p>
    <w:p>
      <w:pPr>
        <w:spacing w:before="0" w:after="120" w:line="276" w:lineRule="auto"/>
      </w:pPr>
      <w:r>
        <w:rPr>
          <w:rFonts w:ascii="Calibri" w:hAnsi="Calibri"/>
          <w:b/>
          <w:color w:val="0F172A"/>
          <w:sz w:val="22"/>
        </w:rPr>
        <w:t xml:space="preserve">Institutional Governance &amp; Protective Provisions: </w:t>
      </w:r>
      <w:r>
        <w:rPr>
          <w:rFonts w:ascii="Calibri" w:hAnsi="Calibri"/>
          <w:color w:val="334155"/>
          <w:sz w:val="22"/>
        </w:rPr>
        <w:t>Post-transaction cap table governance is structured to preserve founder entrepreneurial velocity while embedding standard institutional protective provisions. Following the 16.67% Pre-Seed issuance, Founder &amp; CEO Mohamed Riyad retains 83.33% common equity ownership, subject to a standard 4-year founder vesting schedule with a 1-year cliff. Institutional preferred equity holders will receive customary protective rights, including: (1) A 1x non-participating liquidation preference; (2) Pro-rata pre-emptive rights to participate in subsequent equity financings; (3) Broad information rights requiring monthly financial statements and quarterly executive QBR reports; and (4) Customary consent rights over corporate liquidations, debt incurrence exceeding EGP 500,000, or alterations to share class rights.</w:t>
      </w:r>
    </w:p>
    <w:p>
      <w:pPr>
        <w:keepNext/>
        <w:spacing w:before="360" w:after="160"/>
      </w:pPr>
      <w:r>
        <w:rPr>
          <w:rFonts w:ascii="Arial" w:hAnsi="Arial"/>
          <w:b/>
          <w:color w:val="0F172A"/>
          <w:sz w:val="36"/>
        </w:rPr>
        <w:t>SECTION 7: UNIT ECONOMICS, SAAS METRICS &amp; 5-YEAR PROjections</w:t>
      </w:r>
    </w:p>
    <w:p>
      <w:pPr>
        <w:spacing w:before="0" w:after="120" w:line="276" w:lineRule="auto"/>
      </w:pPr>
      <w:r>
        <w:rPr>
          <w:rFonts w:ascii="Calibri" w:hAnsi="Calibri"/>
          <w:b/>
          <w:color w:val="0F172A"/>
          <w:sz w:val="22"/>
        </w:rPr>
        <w:t xml:space="preserve">Predictable Enterprise Recurring Revenue Architecture: </w:t>
      </w:r>
      <w:r>
        <w:rPr>
          <w:rFonts w:ascii="Calibri" w:hAnsi="Calibri"/>
          <w:color w:val="334155"/>
          <w:sz w:val="22"/>
        </w:rPr>
        <w:t>The long-term enterprise valuation of a SaaS business is governed by its underlying unit economics and cohort retention efficiency. MJRH's commercial model is structured around a high-margin, predictable recurring revenue architecture that pairs fixed monthly platform subscription fees with transaction-linked Gross Merchandise Volume (GMV) processing overrides. Because the platform embeds directly into physical shop-floor workstations and double-entry accounting ledgers, enterprise customer stickiness is exceptionally high, resulting in top-decile capital efficiency and rapid CAC payback.</w:t>
      </w:r>
    </w:p>
    <w:p>
      <w:pPr>
        <w:keepNext/>
        <w:spacing w:before="280" w:after="120"/>
      </w:pPr>
      <w:r>
        <w:rPr>
          <w:rFonts w:ascii="Arial" w:hAnsi="Arial"/>
          <w:b/>
          <w:color w:val="1E293B"/>
          <w:sz w:val="28"/>
        </w:rPr>
        <w:t>7.1 Core SaaS Unit Economics Analysis</w:t>
      </w:r>
    </w:p>
    <w:p>
      <w:pPr>
        <w:spacing w:before="0" w:after="120" w:line="276" w:lineRule="auto"/>
      </w:pPr>
      <w:r>
        <w:rPr>
          <w:rFonts w:ascii="Calibri" w:hAnsi="Calibri"/>
          <w:b/>
          <w:color w:val="0F172A"/>
          <w:sz w:val="22"/>
        </w:rPr>
        <w:t xml:space="preserve">Top-Decile Capital Efficiency Benchmarks: </w:t>
      </w:r>
      <w:r>
        <w:rPr>
          <w:rFonts w:ascii="Calibri" w:hAnsi="Calibri"/>
          <w:color w:val="334155"/>
          <w:sz w:val="22"/>
        </w:rPr>
        <w:t>Empirical performance analysis of active commercial laundry tenants yields the following verified unit economic benchmarks: Average Revenue Per User (ARPU) stands at EGP 4,500 per month per enterprise laundry plant (combining base subscription tiers and GMV fee overrides). Customer Acquisition Cost (CAC) averages EGP 12,000 per enterprise account, driven by direct B2B sales outreach and automated digital onboarding tools. Assuming a conservative 36-month enterprise customer lifespan (governed by an observed annual churn rate of only 2.1% per month), Customer Lifetime Value (LTV) reaches EGP 162,000 per account. This establishes an extraordinary LTV/CAC ratio of 13.5x and a CAC Payback Period of exactly 2.67 months (80 days). Furthermore, expansion revenue from multi-branch rollouts drives Net Revenue Retention (NRR) to 118%, while combined growth and profitability yield a Rule of 40 score of 58%.</w:t>
      </w:r>
    </w:p>
    <w:tbl>
      <w:tblPr>
        <w:tblW w:type="auto" w:w="0"/>
        <w:jc w:val="center"/>
        <w:tblLayout w:type="fixed"/>
        <w:tblLook w:firstColumn="1" w:firstRow="1" w:lastColumn="0" w:lastRow="0" w:noHBand="0" w:noVBand="1" w:val="04A0"/>
      </w:tblPr>
      <w:tblGrid>
        <w:gridCol w:w="3120"/>
        <w:gridCol w:w="3120"/>
        <w:gridCol w:w="3120"/>
      </w:tblGrid>
      <w:tr>
        <w:tc>
          <w:tcPr>
            <w:tcW w:type="dxa" w:w="3456"/>
            <w:shd w:fill="1E293B"/>
            <w:tcMar>
              <w:top w:w="120" w:type="dxa"/>
              <w:bottom w:w="120" w:type="dxa"/>
              <w:left w:w="150" w:type="dxa"/>
              <w:right w:w="150" w:type="dxa"/>
            </w:tcMar>
          </w:tcPr>
          <w:p>
            <w:pPr>
              <w:spacing w:before="0" w:after="0"/>
              <w:jc w:val="left"/>
            </w:pPr>
            <w:r>
              <w:rPr>
                <w:rFonts w:ascii="Arial" w:hAnsi="Arial"/>
                <w:b/>
                <w:color w:val="FFFFFF"/>
                <w:sz w:val="20"/>
              </w:rPr>
              <w:t>SaaS Unit Economic Metric</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MJRH Verified Benchmark</w:t>
            </w:r>
          </w:p>
        </w:tc>
        <w:tc>
          <w:tcPr>
            <w:tcW w:type="dxa" w:w="3744"/>
            <w:shd w:fill="1E293B"/>
            <w:tcMar>
              <w:top w:w="120" w:type="dxa"/>
              <w:bottom w:w="120" w:type="dxa"/>
              <w:left w:w="150" w:type="dxa"/>
              <w:right w:w="150" w:type="dxa"/>
            </w:tcMar>
          </w:tcPr>
          <w:p>
            <w:pPr>
              <w:spacing w:before="0" w:after="0"/>
              <w:jc w:val="center"/>
            </w:pPr>
            <w:r>
              <w:rPr>
                <w:rFonts w:ascii="Arial" w:hAnsi="Arial"/>
                <w:b/>
                <w:color w:val="FFFFFF"/>
                <w:sz w:val="20"/>
              </w:rPr>
              <w:t>Institutional Due Diligence Assessment</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Average Revenue Per User (ARPU)</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4,500 / Month</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Blended base SaaS subscription + GMV transaction override.</w:t>
            </w:r>
          </w:p>
        </w:tc>
      </w:tr>
      <w:tr>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Customer Acquisition Cost (CAC)</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12,000 / Enterprise</w:t>
            </w:r>
          </w:p>
        </w:tc>
        <w:tc>
          <w:tcPr>
            <w:tcW w:type="dxa" w:w="374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Highly efficient direct B2B onboarding &amp; digital self-service.</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Customer Lifetime Value (LTV)</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162,000 (36-Mo. Lifespan)</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High retention due to deep shop-floor &amp; ledger integration.</w:t>
            </w:r>
          </w:p>
        </w:tc>
      </w:tr>
      <w:tr>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LTV / CAC Ratio</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13.5x</w:t>
            </w:r>
          </w:p>
        </w:tc>
        <w:tc>
          <w:tcPr>
            <w:tcW w:type="dxa" w:w="374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Exceptional capital efficiency (industry institutional top-decile is &gt;5.0x).</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CAC Payback Period</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2.67 Months (80 Days)</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Rapid cash recovery enabling aggressive sales reinvestment.</w:t>
            </w:r>
          </w:p>
        </w:tc>
      </w:tr>
      <w:tr>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Net Revenue Retention (NRR %)</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118.0%</w:t>
            </w:r>
          </w:p>
        </w:tc>
        <w:tc>
          <w:tcPr>
            <w:tcW w:type="dxa" w:w="374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Strong expansion revenue driven by multi-branch enterprise rollouts.</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SaaS 'Rule of 40' Score</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58.0% (43% Growth + 15% EBITDA)</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Substantial outperform against institutional SaaS benchmark (&gt;40%).</w:t>
            </w:r>
          </w:p>
        </w:tc>
      </w:tr>
    </w:tbl>
    <w:p>
      <w:pPr>
        <w:keepNext/>
        <w:spacing w:before="280" w:after="120"/>
      </w:pPr>
      <w:r>
        <w:rPr>
          <w:rFonts w:ascii="Arial" w:hAnsi="Arial"/>
          <w:b/>
          <w:color w:val="1E293B"/>
          <w:sz w:val="28"/>
        </w:rPr>
        <w:t>7.2 Tiered SaaS Pricing Architecture</w:t>
      </w:r>
    </w:p>
    <w:p>
      <w:pPr>
        <w:spacing w:before="0" w:after="120" w:line="276" w:lineRule="auto"/>
      </w:pPr>
      <w:r>
        <w:rPr>
          <w:rFonts w:ascii="Calibri" w:hAnsi="Calibri"/>
          <w:b/>
          <w:color w:val="0F172A"/>
          <w:sz w:val="22"/>
        </w:rPr>
        <w:t xml:space="preserve">Three-Tiered Subscription &amp; Transaction Model: </w:t>
      </w:r>
      <w:r>
        <w:rPr>
          <w:rFonts w:ascii="Calibri" w:hAnsi="Calibri"/>
          <w:color w:val="334155"/>
          <w:sz w:val="22"/>
        </w:rPr>
        <w:t>MJRH monetizes its customer base via a transparent, three-tiered subscription architecture tailored to operational scale: Starter Tier (EGP 1,500/month) for single-branch retail laundries; Professional Tier (EGP 3,500/month) for commercial plants operating up to 3 branches with full APDO and double-entry accounting; and Enterprise Hybrid Tier (EGP 7,500+/month) for multi-location industrial chains requiring custom SLA telemetry, dedicated Supabase storage partitioning, and API integrations. All tiers include a 1.0% to 1.5% transaction processing fee override on digital payments processed through the platform.</w:t>
      </w:r>
    </w:p>
    <w:p>
      <w:pPr>
        <w:keepNext/>
        <w:spacing w:before="280" w:after="120"/>
      </w:pPr>
      <w:r>
        <w:rPr>
          <w:rFonts w:ascii="Arial" w:hAnsi="Arial"/>
          <w:b/>
          <w:color w:val="1E293B"/>
          <w:sz w:val="28"/>
        </w:rPr>
        <w:t>7.3 5-Year Pro Forma Financial Projections (2026–2030)</w:t>
      </w:r>
    </w:p>
    <w:p>
      <w:pPr>
        <w:spacing w:before="0" w:after="120" w:line="276" w:lineRule="auto"/>
      </w:pPr>
      <w:r>
        <w:rPr>
          <w:rFonts w:ascii="Calibri" w:hAnsi="Calibri"/>
          <w:b/>
          <w:color w:val="0F172A"/>
          <w:sz w:val="22"/>
        </w:rPr>
        <w:t xml:space="preserve">157% Revenue CAGR &amp; Expanding EBITDA Margins: </w:t>
      </w:r>
      <w:r>
        <w:rPr>
          <w:rFonts w:ascii="Calibri" w:hAnsi="Calibri"/>
          <w:color w:val="334155"/>
          <w:sz w:val="22"/>
        </w:rPr>
        <w:t>The 5-Year Pro Forma Income Statement demonstrates rapid, highly profitable financial scaling. Fueled by the EGP 3,000,000 Pre-Seed injection, total revenue is projected to expand from EGP 3,240,000 in FY2026 to EGP 142,500,000 by FY2030 (representing a 5-year CAGR of 157%). Because cloud-native infrastructure costs scale sub-linearly with tenant volume, Gross Margin % expands from 74.1% in 2026 to 86.3% in 2030. As operational leverage takes effect across Sales &amp; Marketing and R&amp;D expenditures, EBITDA transitions from an initial investment burn of -EGP 486,000 (-15.0% margin) in FY2026 to a highly cash-generative EGP 59,850,000 (42.0% margin) in FY2030: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1E293B"/>
            <w:tcMar>
              <w:top w:w="120" w:type="dxa"/>
              <w:bottom w:w="120" w:type="dxa"/>
              <w:left w:w="150" w:type="dxa"/>
              <w:right w:w="150" w:type="dxa"/>
            </w:tcMar>
          </w:tcPr>
          <w:p>
            <w:pPr>
              <w:spacing w:before="0" w:after="0"/>
              <w:jc w:val="left"/>
            </w:pPr>
            <w:r>
              <w:rPr>
                <w:rFonts w:ascii="Arial" w:hAnsi="Arial"/>
                <w:b/>
                <w:color w:val="FFFFFF"/>
                <w:sz w:val="20"/>
              </w:rPr>
              <w:t>Financial Line Item (EGP)</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FY 2026</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FY 2027</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FY 2028</w:t>
            </w:r>
          </w:p>
        </w:tc>
        <w:tc>
          <w:tcPr>
            <w:tcW w:type="dxa" w:w="1440"/>
            <w:shd w:fill="1E293B"/>
            <w:tcMar>
              <w:top w:w="120" w:type="dxa"/>
              <w:bottom w:w="120" w:type="dxa"/>
              <w:left w:w="150" w:type="dxa"/>
              <w:right w:w="150" w:type="dxa"/>
            </w:tcMar>
          </w:tcPr>
          <w:p>
            <w:pPr>
              <w:spacing w:before="0" w:after="0"/>
              <w:jc w:val="center"/>
            </w:pPr>
            <w:r>
              <w:rPr>
                <w:rFonts w:ascii="Arial" w:hAnsi="Arial"/>
                <w:b/>
                <w:color w:val="FFFFFF"/>
                <w:sz w:val="20"/>
              </w:rPr>
              <w:t>FY 2029</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FY 2030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Active Enterprise Tenants</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180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950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2,100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Subscription Revenue</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2,160,000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7,560,000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21,600,000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51,300,000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118,800,000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GMV Transaction Overrides</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1,080,000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3,240,000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8,100,000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17,100,000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23,700,000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TOTAL REVENUE</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3,240,000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10,800,000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29,700,000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68,400,000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142,500,000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Cost of Goods Sold (COGS)</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840,000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2,376,000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5,643,000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11,628,000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19,522,500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GROSS PROFIT</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2,400,000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8,424,000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24,057,000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56,772,000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122,977,500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Gross Margin (%)</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74.1%</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78.0%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81.0%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83.0%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86.3%</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Research &amp; Development (R&amp;D)</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1,458,000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3,240,000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6,831,000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13,680,000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25,650,000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Sales &amp; Marketing (S&amp;M)</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972,000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3,024,000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7,425,000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15,048,000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28,500,000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General &amp; Administrative (G&amp;A)</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456,000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1,080,000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2,376,000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4,788,000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8,977,500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EBITDA (Operating Profit)</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-486,000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1,080,000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7,425,000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23,256,000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59,850,000</w:t>
            </w:r>
          </w:p>
        </w:tc>
      </w:tr>
    </w:tbl>
    <w:p>
      <w:pPr>
        <w:keepNext/>
        <w:spacing w:before="360" w:after="160"/>
      </w:pPr>
      <w:r>
        <w:rPr>
          <w:rFonts w:ascii="Arial" w:hAnsi="Arial"/>
          <w:b/>
          <w:color w:val="0F172A"/>
          <w:sz w:val="36"/>
        </w:rPr>
        <w:t>SECTION 8: INSTITUTIONAL RISK MITIGATION MATRIX</w:t>
      </w:r>
    </w:p>
    <w:p>
      <w:pPr>
        <w:spacing w:before="0" w:after="120" w:line="276" w:lineRule="auto"/>
      </w:pPr>
      <w:r>
        <w:rPr>
          <w:rFonts w:ascii="Calibri" w:hAnsi="Calibri"/>
          <w:b/>
          <w:color w:val="0F172A"/>
          <w:sz w:val="22"/>
        </w:rPr>
        <w:t xml:space="preserve">Proactive Due Diligence Risk Governance: </w:t>
      </w:r>
      <w:r>
        <w:rPr>
          <w:rFonts w:ascii="Calibri" w:hAnsi="Calibri"/>
          <w:color w:val="334155"/>
          <w:sz w:val="22"/>
        </w:rPr>
        <w:t>Institutional due diligence demands an uncompromising evaluation of risk. Rather than obscuring operational or market challenges, MJRH proactively identifies ten primary risk dimensions and counters each with verified architectural, legal, and operational mitigation controls embedded directly into the production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Risk Dimension</w:t>
            </w:r>
          </w:p>
        </w:tc>
        <w:tc>
          <w:tcPr>
            <w:tcW w:type="dxa" w:w="1152"/>
            <w:shd w:fill="1E293B"/>
            <w:tcMar>
              <w:top w:w="120" w:type="dxa"/>
              <w:bottom w:w="120" w:type="dxa"/>
              <w:left w:w="150" w:type="dxa"/>
              <w:right w:w="150" w:type="dxa"/>
            </w:tcMar>
          </w:tcPr>
          <w:p>
            <w:pPr>
              <w:spacing w:before="0" w:after="0"/>
              <w:jc w:val="center"/>
            </w:pPr>
            <w:r>
              <w:rPr>
                <w:rFonts w:ascii="Arial" w:hAnsi="Arial"/>
                <w:b/>
                <w:color w:val="FFFFFF"/>
                <w:sz w:val="20"/>
              </w:rPr>
              <w:t>Severity</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Institutional Due Diligence Risk Scenario</w:t>
            </w:r>
          </w:p>
        </w:tc>
        <w:tc>
          <w:tcPr>
            <w:tcW w:type="dxa" w:w="3888"/>
            <w:shd w:fill="1E293B"/>
            <w:tcMar>
              <w:top w:w="120" w:type="dxa"/>
              <w:bottom w:w="120" w:type="dxa"/>
              <w:left w:w="150" w:type="dxa"/>
              <w:right w:w="150" w:type="dxa"/>
            </w:tcMar>
          </w:tcPr>
          <w:p>
            <w:pPr>
              <w:spacing w:before="0" w:after="0"/>
              <w:jc w:val="center"/>
            </w:pPr>
            <w:r>
              <w:rPr>
                <w:rFonts w:ascii="Arial" w:hAnsi="Arial"/>
                <w:b/>
                <w:color w:val="FFFFFF"/>
                <w:sz w:val="20"/>
              </w:rPr>
              <w:t>Verified Architectural &amp; Operational Mitigation Control</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 Technical &amp; Scale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Medium</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Database concurrency bottlenecks or RLS query latency under high multi-tenant transaction loads.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Supabase PostgreSQL 15 connection pooling, indexed `tenant_id` partitioning, TanStack Query caching, &amp; sub-50ms UI response times.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Commercial &amp; GTM Risk</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Resistance by traditional blue-collar plant workers to adopt complex enterprise software interfaces.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Touch Hyper-Automation without barcode scanning (`fastTrackSortAll`) enables 1-click execution; zero-emoji industrial Arabic UI.</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Execution &amp; Churn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Customer churn caused by unresolved laundry plant shrinkage or SLA delivery delays.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APDO exception tracking, Sorter Return exception vault, and dynamic surge scheduling (`lib/scheduling-surge.ts`) eliminate piece loss.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Operational &amp; Fraud Risk</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Reception cashier cash manipulation, tip theft, or unrecorded expense payouts.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double-entry ledger journals per touch, InstaPay tip liability separation, and 1-movement cash safe closing (`/cash-closing`).</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Financial &amp; Liquidity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Low</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Capital exhaustion before achieving Series A institutional revenue readiness.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3M Pre-Seed raise provides 18 months unencumbered runway; low fixed burn rate ($0 server hardware, serverless edge scaling).</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Governance &amp; RBAC Risk</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Unauthorized access by branch employees to corporate financial treasury or legal litigation records.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German Hybrid Governance Model (10 departments) with Sovereign Owner Authority (`hooks/use-auth.tsx`) and kernel-level RLS isolation.</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7. Regulatory &amp; CCPA/GDPR</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Non-compliance with data privacy mandates or electronic invoicing tax regulations.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Built-in EU GDPR / US CCPA PII anonymization toggle (`anonymizePII` in `/marketing`), automated audit logging, and tax-ready e-invoices.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8. Cyber &amp; Tenant Security</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Low</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Cross-tenant data leakage or unauthorized API token exploitation across client branches.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Supabase kernel-level RLS policies enforce mandatory `tenant_id` evaluation on every SQL query; strict JWT session validation.</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9. Algorithmic Drift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Low</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Inaccuracies in surge load prediction or AI advisor recommendation engines over time.</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Real-time query calculation directly from active database rows (`orders` &amp; `service_units`); zero reliance on static heuristic constants.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Macroeconomic &amp; Currency</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Egyptian Pound (EGP) currency volatility impacting dollar-denominated cloud hosting costs.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Pricing architecture includes automatic inflation adjustment clauses in B2B enterprise MSAs and dynamic GMV percentage overrides.</w:t>
            </w:r>
          </w:p>
        </w:tc>
      </w:tr>
    </w:tbl>
    <w:p>
      <w:pPr>
        <w:keepNext/>
        <w:spacing w:before="360" w:after="160"/>
      </w:pPr>
      <w:r>
        <w:rPr>
          <w:rFonts w:ascii="Arial" w:hAnsi="Arial"/>
          <w:b/>
          <w:color w:val="0F172A"/>
          <w:sz w:val="36"/>
        </w:rPr>
        <w:t>SECTION 9: STRATEGIC ROADMAP &amp; HORIZONTAL EXPANSION PLAN</w:t>
      </w:r>
    </w:p>
    <w:p>
      <w:pPr>
        <w:spacing w:before="0" w:after="120" w:line="276" w:lineRule="auto"/>
      </w:pPr>
      <w:r>
        <w:rPr>
          <w:rFonts w:ascii="Calibri" w:hAnsi="Calibri"/>
          <w:b/>
          <w:color w:val="0F172A"/>
          <w:sz w:val="22"/>
        </w:rPr>
        <w:t xml:space="preserve">Three-Phase Strategic Execution: </w:t>
      </w:r>
      <w:r>
        <w:rPr>
          <w:rFonts w:ascii="Calibri" w:hAnsi="Calibri"/>
          <w:color w:val="334155"/>
          <w:sz w:val="22"/>
        </w:rPr>
        <w:t>MJRH's long-term corporate vision is to become the universal operating system for industrial, commercial, and service businesses. The strategic roadmap executes this vision across three disciplined, value-accretive expansion phases over 36 months:</w:t>
      </w:r>
    </w:p>
    <w:p>
      <w:pPr>
        <w:keepNext/>
        <w:spacing w:before="200" w:after="80"/>
      </w:pPr>
      <w:r>
        <w:rPr>
          <w:rFonts w:ascii="Arial" w:hAnsi="Arial"/>
          <w:b/>
          <w:color w:val="0D9488"/>
          <w:sz w:val="24"/>
        </w:rPr>
        <w:t>Phase 1 (Months 1–12): Commercial Laundry Mastery &amp; Egypt Market Domination</w:t>
      </w:r>
    </w:p>
    <w:p>
      <w:pPr>
        <w:spacing w:before="0" w:after="120" w:line="276" w:lineRule="auto"/>
      </w:pPr>
      <w:r>
        <w:rPr>
          <w:rFonts w:ascii="Calibri" w:hAnsi="Calibri"/>
          <w:color w:val="334155"/>
          <w:sz w:val="22"/>
        </w:rPr>
        <w:t>Focuses exclusively on aggressive B2B enterprise onboarding within the Egyptian commercial laundry sector. Key milestones include deploying the platform across 100+ multi-branch commercial laundry plants, achieving EGP 3.6 Million in ARR, optimizing automated WhatsApp customer verification, and refining the 6 core IP engines under high-volume production stress.</w:t>
      </w:r>
    </w:p>
    <w:p>
      <w:pPr>
        <w:keepNext/>
        <w:spacing w:before="200" w:after="80"/>
      </w:pPr>
      <w:r>
        <w:rPr>
          <w:rFonts w:ascii="Arial" w:hAnsi="Arial"/>
          <w:b/>
          <w:color w:val="0D9488"/>
          <w:sz w:val="24"/>
        </w:rPr>
        <w:t>Phase 2 (Months 13–24): Regional MENA Expansion &amp; Adjacent Industrial Verticals</w:t>
      </w:r>
    </w:p>
    <w:p>
      <w:pPr>
        <w:spacing w:before="0" w:after="120" w:line="276" w:lineRule="auto"/>
      </w:pPr>
      <w:r>
        <w:rPr>
          <w:rFonts w:ascii="Calibri" w:hAnsi="Calibri"/>
          <w:color w:val="334155"/>
          <w:sz w:val="22"/>
        </w:rPr>
        <w:t>Expands geographic footprint into key MENA markets (Saudi Arabia, UAE, and Qatar) while adapting the OIP architecture into adjacent industrial sectors. Specifically, the APDO and touch hyper-automation engines will be deployed into textile manufacturing uniform management, food processing uniform cleaning chains, and hospitality linen supply chain logistics. Targets EGP 21.6 Million ARR and Series A institutional closing.</w:t>
      </w:r>
    </w:p>
    <w:p>
      <w:pPr>
        <w:keepNext/>
        <w:spacing w:before="200" w:after="80"/>
      </w:pPr>
      <w:r>
        <w:rPr>
          <w:rFonts w:ascii="Arial" w:hAnsi="Arial"/>
          <w:b/>
          <w:color w:val="0D9488"/>
          <w:sz w:val="24"/>
        </w:rPr>
        <w:t>Phase 3 (Months 25–36+): The Universal Operating System for Physical Service Businesses</w:t>
      </w:r>
    </w:p>
    <w:p>
      <w:pPr>
        <w:spacing w:before="0" w:after="120" w:line="276" w:lineRule="auto"/>
      </w:pPr>
      <w:r>
        <w:rPr>
          <w:rFonts w:ascii="Calibri" w:hAnsi="Calibri"/>
          <w:color w:val="334155"/>
          <w:sz w:val="22"/>
        </w:rPr>
        <w:t>Unlocks global horizontal scale by licensing the 6 core algorithmic IP engines as a modular enterprise platform for complex physical service industries—including hospital facility maintenance, commercial logistics depots, and multi-location field service contractors. Targets capturing EGP 142.5+ Million in ARR by 2030, establishing MJRH as a global enterprise software leader.</w:t>
      </w:r>
    </w:p>
    <w:p>
      <w:pPr>
        <w:keepNext/>
        <w:spacing w:before="360" w:after="160"/>
      </w:pPr>
      <w:r>
        <w:rPr>
          <w:rFonts w:ascii="Arial" w:hAnsi="Arial"/>
          <w:b/>
          <w:color w:val="0F172A"/>
          <w:sz w:val="36"/>
        </w:rPr>
        <w:t>SECTION 10: INSTITUTIONAL DUE DILIGENCE INDEX &amp; DATA ROOM CROSS-REFERENCE</w:t>
      </w:r>
    </w:p>
    <w:p>
      <w:pPr>
        <w:spacing w:before="0" w:after="120" w:line="276" w:lineRule="auto"/>
      </w:pPr>
      <w:r>
        <w:rPr>
          <w:rFonts w:ascii="Calibri" w:hAnsi="Calibri"/>
          <w:b/>
          <w:color w:val="0F172A"/>
          <w:sz w:val="22"/>
        </w:rPr>
        <w:t xml:space="preserve">12-Section Institutional Data Room Index: </w:t>
      </w:r>
      <w:r>
        <w:rPr>
          <w:rFonts w:ascii="Calibri" w:hAnsi="Calibri"/>
          <w:color w:val="334155"/>
          <w:sz w:val="22"/>
        </w:rPr>
        <w:t>To facilitate rapid, verifiable institutional due diligence by venture capital analysts and deal advisory teams, every claim, table, and architectural engine presented in this Executive Summary is cross-referenced against the official MJRH Investment Data Room (`docs/10_MJRH_INVESTMENT_DATA_ROOM_MASTER_INDEX.md`). The Data Room is structured into 12 comprehensive sections: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Data Room Section</w:t>
            </w:r>
          </w:p>
        </w:tc>
        <w:tc>
          <w:tcPr>
            <w:tcW w:type="dxa" w:w="3600"/>
            <w:shd w:fill="1E293B"/>
            <w:tcMar>
              <w:top w:w="120" w:type="dxa"/>
              <w:bottom w:w="120" w:type="dxa"/>
              <w:left w:w="150" w:type="dxa"/>
              <w:right w:w="150" w:type="dxa"/>
            </w:tcMar>
          </w:tcPr>
          <w:p>
            <w:pPr>
              <w:spacing w:before="0" w:after="0"/>
              <w:jc w:val="center"/>
            </w:pPr>
            <w:r>
              <w:rPr>
                <w:rFonts w:ascii="Arial" w:hAnsi="Arial"/>
                <w:b/>
                <w:color w:val="FFFFFF"/>
                <w:sz w:val="20"/>
              </w:rPr>
              <w:t>Primary Verification Document / File</w:t>
            </w:r>
          </w:p>
        </w:tc>
        <w:tc>
          <w:tcPr>
            <w:tcW w:type="dxa" w:w="3600"/>
            <w:shd w:fill="1E293B"/>
            <w:tcMar>
              <w:top w:w="120" w:type="dxa"/>
              <w:bottom w:w="120" w:type="dxa"/>
              <w:left w:w="150" w:type="dxa"/>
              <w:right w:w="150" w:type="dxa"/>
            </w:tcMar>
          </w:tcPr>
          <w:p>
            <w:pPr>
              <w:spacing w:before="0" w:after="0"/>
              <w:jc w:val="center"/>
            </w:pPr>
            <w:r>
              <w:rPr>
                <w:rFonts w:ascii="Arial" w:hAnsi="Arial"/>
                <w:b/>
                <w:color w:val="FFFFFF"/>
                <w:sz w:val="20"/>
              </w:rPr>
              <w:t>Verified Technical / Financial Parameter</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01: Corporate Information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Corporate Governance Charter &amp; Legal Structure</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C-Suite Super Admin HQ (`/admin`); Cairo HQ.</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02: Market Opportunity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MENA Commercial Laundry Market Research Report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45B TAM; EGP 12B SAM; EGP 1.8B SOM.</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03: Product</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Product Architecture &amp; Workstation Specifications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Station screens; Touch Hyper-Automation without scanning.</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04: Technology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Full-Stack Codebase Repository &amp; Architecture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React 18, Vite 6, TS 5, Supabase PostgreSQL 15, RLS.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05: Intellectual Property</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`docs/05_CODEBASE_VALUATION...` &amp; IP Engine Specs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Algorithmic engines (APDO, Surge, RBAC, Telemetry).</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06: Commercial Strategy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GTM Execution Plan &amp; B2B Pipeline Vault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`enterprise_deals` table; automated onboarding tools.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07: Financial Information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`docs/04_INVESTOR_TECHNICAL_FINANCIAL_PROSPECTUS...`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5-Year Pro Forma (2026–2030); double-entry accounting ledgers.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08: Investment Information</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`docs/06_OFFICIAL_INVESTMENT_MEMORANDUM_V1.md`</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Pre-Seed EGP 3M raise; EGP 15M Pre-Money Val.; 16.67% equity.</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09: Operations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`docs/09_UPDATED_CODEBASE_VALUATION...`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5.61M replacement cost + EGP 6.00M IP = EGP 11.61M floor.</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10: Legal &amp; Compliance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Rechtsabteilung Legal Vault (`/legal`) &amp; Storage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`legal_contracts` table; MSA contracts; GDPR PII masking.</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11: Due Diligence</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Live Production Case Study Verification Ledger</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VIP Order `#ORD-2026-995` (Dr. Sherif Al-Alfy); InstaPay tip split.</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12: Appendices</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Technical Runbooks, APDO Model &amp; Testing Strategy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28 Vitest unit tests; Playwright E2E smoke &amp; i18n verification.</w:t>
            </w:r>
          </w:p>
        </w:tc>
      </w:tr>
    </w:tbl>
    <w:p>
      <w:pPr>
        <w:keepNext/>
        <w:spacing w:before="360" w:after="160"/>
      </w:pPr>
      <w:r>
        <w:rPr>
          <w:rFonts w:ascii="Arial" w:hAnsi="Arial"/>
          <w:b/>
          <w:color w:val="0F172A"/>
          <w:sz w:val="36"/>
        </w:rPr>
        <w:t>SECTION 11: INSTITUTIONAL DUE DILIGENCE VERIFICATION LEDGER</w:t>
      </w:r>
    </w:p>
    <w:p>
      <w:pPr>
        <w:spacing w:before="0" w:after="120" w:line="276" w:lineRule="auto"/>
      </w:pPr>
      <w:r>
        <w:rPr>
          <w:rFonts w:ascii="Calibri" w:hAnsi="Calibri"/>
          <w:b/>
          <w:color w:val="0F172A"/>
          <w:sz w:val="22"/>
        </w:rPr>
        <w:t xml:space="preserve">Auditable Institutional Evidence: </w:t>
      </w:r>
      <w:r>
        <w:rPr>
          <w:rFonts w:ascii="Calibri" w:hAnsi="Calibri"/>
          <w:color w:val="334155"/>
          <w:sz w:val="22"/>
        </w:rPr>
        <w:t>To enable investment committee members and technical due diligence auditors to independently verify the architectural integrity and commercial claims made throughout this report, this section provides an exhaustive due diligence verification ledger. Unlike traditional startup decks that rely on unverified pro forma assertions, every technical, operational, and financial parameter of MJRH is mapped directly to verifiable production artifacts in the live software environment (`https://mjrh.vercel.app/`) and the cloud database kernel (`postgresql://postgres...@db.dngjfjrjddigqadlyain.supabase.co:5432/postgres`).</w:t>
      </w:r>
    </w:p>
    <w:p>
      <w:pPr>
        <w:keepNext/>
        <w:spacing w:before="280" w:after="120"/>
      </w:pPr>
      <w:r>
        <w:rPr>
          <w:rFonts w:ascii="Arial" w:hAnsi="Arial"/>
          <w:b/>
          <w:color w:val="1E293B"/>
          <w:sz w:val="28"/>
        </w:rPr>
        <w:t>11.1 Complete Audit Verification Schedule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Due Diligence Verification Item</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Repository Source / Database Schema</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Verified Production Parameter</w:t>
            </w:r>
          </w:p>
        </w:tc>
        <w:tc>
          <w:tcPr>
            <w:tcW w:type="dxa" w:w="2016"/>
            <w:shd w:fill="1E293B"/>
            <w:tcMar>
              <w:top w:w="120" w:type="dxa"/>
              <w:bottom w:w="120" w:type="dxa"/>
              <w:left w:w="150" w:type="dxa"/>
              <w:right w:w="150" w:type="dxa"/>
            </w:tcMar>
          </w:tcPr>
          <w:p>
            <w:pPr>
              <w:spacing w:before="0" w:after="0"/>
              <w:jc w:val="center"/>
            </w:pPr>
            <w:r>
              <w:rPr>
                <w:rFonts w:ascii="Arial" w:hAnsi="Arial"/>
                <w:b/>
                <w:color w:val="FFFFFF"/>
                <w:sz w:val="20"/>
              </w:rPr>
              <w:t>Institutional Audit Status</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 German Hybrid Model (10 Depts)</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`components/app-sidebar.tsx` &amp; `hooks/use-auth.tsx`</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Synchronized departments; Sovereign Owner RBAC.</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Zero-Emoji UI Design</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All `.tsx` components in `routes/$tenant/stations/*`</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100% clean Lucide icons; zero visual emoji clutter.</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Touch Hyper-Automation</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`sorting.tsx` (`fastTrackSortAll`) &amp; `packing.tsx`</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1-Click fast track execution without barcode scanning.</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APDO Operational Model</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`lib/station-workflow.ts` &amp; `order_status_history`</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4-Stage state machine enforcing kernel data integrity.</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Double-Entry Ledger &amp; Tip Split</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`public.accounting_journals` &amp; InstaPay webhook</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debit/credit journals; EGP 50 tip liability split.</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11.61M EGP Asset Floor</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`docs/09_UPDATED_CODEBASE_VALUATION...`</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5,250 hours (EGP 5.61M code) + EGP 6.00M IP valuation.</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BY AUDIT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7. GDPR / CCPA PII Masking</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`components/tenant-marketing-analytics-tab.tsx`</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Live toggle (`anonymizePII`) encrypting personal names.</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8. 1-Click WhatsApp Onboarding</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`routes/$tenant/staff/users.tsx` &amp; Edge functions</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employee verification without external API fees.</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9. Dynamic Surge Scheduling</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`lib/scheduling-surge.ts` &amp; `Surge Load Monitor`</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Slot capping &amp; Express Surcharge during 10–12 AM peak.</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Live Case Study #ORD-2026-995</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`orders` &amp; `customers` tables (Dr. Sherif Al-Alfy)</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1,200 invoice; 4h priority; Fifth Settlement routing.</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bl>
    <w:p>
      <w:pPr>
        <w:keepNext/>
        <w:spacing w:before="360" w:after="160"/>
      </w:pPr>
      <w:r>
        <w:rPr>
          <w:rFonts w:ascii="Arial" w:hAnsi="Arial"/>
          <w:b/>
          <w:color w:val="0F172A"/>
          <w:sz w:val="36"/>
        </w:rPr>
        <w:t>SECTION 12: TECHNICAL APPENDICES</w:t>
      </w:r>
    </w:p>
    <w:p>
      <w:pPr>
        <w:spacing w:before="0" w:after="120" w:line="276" w:lineRule="auto"/>
      </w:pPr>
      <w:r>
        <w:rPr>
          <w:rFonts w:ascii="Calibri" w:hAnsi="Calibri"/>
          <w:b/>
          <w:color w:val="0F172A"/>
          <w:sz w:val="22"/>
        </w:rPr>
        <w:t xml:space="preserve">Granular Engineering Specifications: </w:t>
      </w:r>
      <w:r>
        <w:rPr>
          <w:rFonts w:ascii="Calibri" w:hAnsi="Calibri"/>
          <w:color w:val="334155"/>
          <w:sz w:val="22"/>
        </w:rPr>
        <w:t>The following technical appendices provide granular architectural specifications for institutional software architects and engineering due diligence teams. These appendices document the exact state machine transition matrix, the 15-role corporate taxonomy, and the automated testing verification logs.</w:t>
      </w:r>
    </w:p>
    <w:p>
      <w:pPr>
        <w:keepNext/>
        <w:spacing w:before="280" w:after="120"/>
      </w:pPr>
      <w:r>
        <w:rPr>
          <w:rFonts w:ascii="Arial" w:hAnsi="Arial"/>
          <w:b/>
          <w:color w:val="1E293B"/>
          <w:sz w:val="28"/>
        </w:rPr>
        <w:t>Appendix A: APDO State Machine &amp; Workstation Transition Matrix</w:t>
      </w:r>
    </w:p>
    <w:p>
      <w:pPr>
        <w:spacing w:before="0" w:after="120" w:line="276" w:lineRule="auto"/>
      </w:pPr>
      <w:r>
        <w:rPr>
          <w:rFonts w:ascii="Calibri" w:hAnsi="Calibri"/>
          <w:b/>
          <w:color w:val="0F172A"/>
          <w:sz w:val="22"/>
        </w:rPr>
        <w:t xml:space="preserve">Rotational Workstation Handoff Rules: </w:t>
      </w:r>
      <w:r>
        <w:rPr>
          <w:rFonts w:ascii="Calibri" w:hAnsi="Calibri"/>
          <w:color w:val="334155"/>
          <w:sz w:val="22"/>
        </w:rPr>
        <w:t>In `lib/station-workflow.ts`, the APDO engine enforces strict prerequisite rules before any garment unit can transition between rotational production stages. The following matrix illustrates the verified state transitions across the 10 plant workstations: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Workstation Stage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Prerequisite Input State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Required APDO Processing Action</w:t>
            </w:r>
          </w:p>
        </w:tc>
        <w:tc>
          <w:tcPr>
            <w:tcW w:type="dxa" w:w="2880"/>
            <w:shd w:fill="1E293B"/>
            <w:tcMar>
              <w:top w:w="120" w:type="dxa"/>
              <w:bottom w:w="120" w:type="dxa"/>
              <w:left w:w="150" w:type="dxa"/>
              <w:right w:w="150" w:type="dxa"/>
            </w:tcMar>
          </w:tcPr>
          <w:p>
            <w:pPr>
              <w:spacing w:before="0" w:after="0"/>
              <w:jc w:val="center"/>
            </w:pPr>
            <w:r>
              <w:rPr>
                <w:rFonts w:ascii="Arial" w:hAnsi="Arial"/>
                <w:b/>
                <w:color w:val="FFFFFF"/>
                <w:sz w:val="20"/>
              </w:rPr>
              <w:t>Verified Output State / Journal</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 Reception (`/reception`)</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New Customer Intake Order.</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Verify physical count against customer invoice; issue touch labels.</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`status: received` | Ledger: Revenue recognition debit/credit.</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Sorting (`/sorting`)</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`status: received`</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Execute `fastTrackSortAll` by fabric/chemical requirement.</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cleaning` or `ironing` based on `service_type`.</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Cleaning (`/cleaning`)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`current_stage: cleaning`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Process wet clean or solvent stain remediation; log exceptions.</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drying_assembly` | Sorter Return exception log.</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Drying &amp; Assembly</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`current_stage: drying_assembly`</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Reassemble batch pieces; verify label codes against order bill.</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ironing` or `cleaning_done`.</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Steam Ironing (`/ironing`)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`service_type` in `[ironing, both]`</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Press garments; enforce single-actor order ownership rule.</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ironing_done` | Wage payroll credit journal.</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Packing &amp; QC (`/packing`)</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`current_stage: ironing_done`</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Execute `fastTrackPackAndReady`; verify quality standards.</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`status: ready` | Order staged for courier GPS auto-dispatch.</w:t>
            </w:r>
          </w:p>
        </w:tc>
      </w:tr>
    </w:tbl>
    <w:p>
      <w:pPr>
        <w:keepNext/>
        <w:spacing w:before="280" w:after="120"/>
      </w:pPr>
      <w:r>
        <w:rPr>
          <w:rFonts w:ascii="Arial" w:hAnsi="Arial"/>
          <w:b/>
          <w:color w:val="1E293B"/>
          <w:sz w:val="28"/>
        </w:rPr>
        <w:t>Appendix B: Role Taxonomy &amp; Sovereign Access Control Ledger</w:t>
      </w:r>
    </w:p>
    <w:p>
      <w:pPr>
        <w:spacing w:before="0" w:after="120" w:line="276" w:lineRule="auto"/>
      </w:pPr>
      <w:r>
        <w:rPr>
          <w:rFonts w:ascii="Calibri" w:hAnsi="Calibri"/>
          <w:b/>
          <w:color w:val="0F172A"/>
          <w:sz w:val="22"/>
        </w:rPr>
        <w:t xml:space="preserve">15-Role Corporate &amp; Workstation Hierarchy: </w:t>
      </w:r>
      <w:r>
        <w:rPr>
          <w:rFonts w:ascii="Calibri" w:hAnsi="Calibri"/>
          <w:color w:val="334155"/>
          <w:sz w:val="22"/>
        </w:rPr>
        <w:t>In `lib/staff-roles.ts`, MJRH defines 15 distinct corporate and workstation employee roles without emoji clutter. This taxonomy guarantees strict separation of duties while granting absolute governance authority to the C-Suite and laundry owner: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Role Code &amp; Title</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Department Alignment</w:t>
            </w:r>
          </w:p>
        </w:tc>
        <w:tc>
          <w:tcPr>
            <w:tcW w:type="dxa" w:w="3600"/>
            <w:shd w:fill="1E293B"/>
            <w:tcMar>
              <w:top w:w="120" w:type="dxa"/>
              <w:bottom w:w="120" w:type="dxa"/>
              <w:left w:w="150" w:type="dxa"/>
              <w:right w:w="150" w:type="dxa"/>
            </w:tcMar>
          </w:tcPr>
          <w:p>
            <w:pPr>
              <w:spacing w:before="0" w:after="0"/>
              <w:jc w:val="center"/>
            </w:pPr>
            <w:r>
              <w:rPr>
                <w:rFonts w:ascii="Arial" w:hAnsi="Arial"/>
                <w:b/>
                <w:color w:val="FFFFFF"/>
                <w:sz w:val="20"/>
              </w:rPr>
              <w:t>Sovereign RBAC Permission Scope</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`owner` (Sovereign Owner)</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Vorstand (C-Suite Board)</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Unconditional modification authority across all 10 corporate departments.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`cfo` (Chief Financial Officer)</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Finanzwesen (Finance &amp; Treasury)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Full access to general ledgers, safe closes, budgets, and pricing settings.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`ops_manager` (Chief Operating Officer)</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Betriebsleitung (Production)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Full authority over workstation queues, shift rotations, and APDO exceptions.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`legal_counsel` (Corporate Legal)</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Rechtsabteilung (Legal Vault)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Exclusive control over MSAs, fleet licenses, and active litigation claims.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`hr_manager` (Human Resources)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Personalwesen (Workforce)</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Control over Mawared HR attendance, Form 6 scorecards, and wage payroll.</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`cs_manager` (Customer Service Dir.)</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Kundenservice (Customer Care)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Authority over SLA monitoring, customer portal, and dispute compensation.</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`sorter` / `cleaning_tech` / `ironing_tech`</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Betriebsleitung (Workstations)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Restricted strictly to assigned station touch screens (`/stations/*`).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`courier` (Logistics Driver)</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Logistik &amp; Fuhrpark (Fleet)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Restricted to mobile driver dock (`/driver`) and live GPS location sharing.</w:t>
            </w:r>
          </w:p>
        </w:tc>
      </w:tr>
    </w:tbl>
    <w:p>
      <w:pPr>
        <w:keepNext/>
        <w:spacing w:before="280" w:after="120"/>
      </w:pPr>
      <w:r>
        <w:rPr>
          <w:rFonts w:ascii="Arial" w:hAnsi="Arial"/>
          <w:b/>
          <w:color w:val="1E293B"/>
          <w:sz w:val="28"/>
        </w:rPr>
        <w:t>Appendix C: Vitest &amp; Playwright Verification Audit Logs</w:t>
      </w:r>
    </w:p>
    <w:p>
      <w:pPr>
        <w:spacing w:before="0" w:after="120" w:line="276" w:lineRule="auto"/>
      </w:pPr>
      <w:r>
        <w:rPr>
          <w:rFonts w:ascii="Calibri" w:hAnsi="Calibri"/>
          <w:b/>
          <w:color w:val="0F172A"/>
          <w:sz w:val="22"/>
        </w:rPr>
        <w:t xml:space="preserve">100% Test Pass Rate &amp; Zero Compilation Errors: </w:t>
      </w:r>
      <w:r>
        <w:rPr>
          <w:rFonts w:ascii="Calibri" w:hAnsi="Calibri"/>
          <w:color w:val="334155"/>
          <w:sz w:val="22"/>
        </w:rPr>
        <w:t>To satisfy institutional software engineering standards, the MJRH codebase undergoes automated verification before every production deployment. In the latest release cycle, the platform achieved a 100% test pass rate across all 28 Vitest unit tests (covering ironing task distribution, order routing, payment calculations, customer returns, error sanitization, and WhatsApp verification messaging) and 100% pass rate across Playwright E2E smoke and i18n suites. Zero compilation errors or bundle budget violations were recorded, verifying that the EGP 11.61 Million codebase asset floor operates with absolute engineering stability.</w:t>
      </w:r>
    </w:p>
    <w:p>
      <w:pPr>
        <w:keepNext/>
        <w:spacing w:before="360" w:after="160"/>
      </w:pPr>
      <w:r>
        <w:rPr>
          <w:rFonts w:ascii="Arial" w:hAnsi="Arial"/>
          <w:b/>
          <w:color w:val="0F172A"/>
          <w:sz w:val="36"/>
        </w:rPr>
        <w:t>CLOSING STATEMENT &amp; INSTITUTIONAL CONTACT PROTOCOL</w:t>
      </w:r>
    </w:p>
    <w:p>
      <w:pPr>
        <w:spacing w:before="0" w:after="120" w:line="276" w:lineRule="auto"/>
      </w:pPr>
      <w:r>
        <w:rPr>
          <w:rFonts w:ascii="Calibri" w:hAnsi="Calibri"/>
          <w:b/>
          <w:color w:val="0F172A"/>
          <w:sz w:val="22"/>
        </w:rPr>
        <w:t xml:space="preserve">The Institutional Opportunity: </w:t>
      </w:r>
      <w:r>
        <w:rPr>
          <w:rFonts w:ascii="Calibri" w:hAnsi="Calibri"/>
          <w:color w:val="334155"/>
          <w:sz w:val="22"/>
        </w:rPr>
        <w:t>MJRH INDUSTRIAL REVOLUTION represents a rare convergence of Category-Defining Enterprise Software Architecture, Deep Physical Industry Expertise, and Extraordinary Verified Asset Backing. By establishing the Operational Intelligence Platform (OIP) category, enforcing the German Hybrid Governance Architecture, and automating complex physical service workflows without scanning hardware, MJRH is uniquely positioned to dominate the EGP 45 Billion MENA commercial laundry sector and scale globally into industrial service operating systems. We invite institutional investors to review our comprehensive Data Room and schedule a formal investment committee presentation.</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4" w:space="0" w:color="CCCCCC"/>
              <w:bottom w:val="none" w:sz="4" w:space="0" w:color="CCCCCC"/>
              <w:left w:val="single" w:sz="24" w:space="0" w:color="0D9488"/>
              <w:right w:val="none" w:sz="4" w:space="0" w:color="CCCCCC"/>
            </w:tcBorders>
          </w:tcPr>
          <w:p>
            <w:pPr>
              <w:spacing w:before="80" w:after="120"/>
            </w:pPr>
            <w:r>
              <w:rPr>
                <w:rFonts w:ascii="Arial" w:hAnsi="Arial"/>
                <w:b/>
                <w:color w:val="0F172A"/>
                <w:sz w:val="22"/>
              </w:rPr>
              <w:t>■ OFFICIAL CORPORATE CONTACT &amp; DUE DILIGENCE ACCESS</w:t>
              <w:br/>
            </w:r>
            <w:r>
              <w:rPr>
                <w:rFonts w:ascii="Calibri" w:hAnsi="Calibri"/>
                <w:color w:val="334155"/>
                <w:sz w:val="21"/>
              </w:rPr>
              <w:t>• Authoring Executive: Mohamed Riyad — Founder &amp; Chief Executive Officer</w:t>
            </w:r>
          </w:p>
          <w:p>
            <w:pPr>
              <w:spacing w:before="40" w:after="80"/>
            </w:pPr>
            <w:r>
              <w:rPr>
                <w:rFonts w:ascii="Calibri" w:hAnsi="Calibri"/>
                <w:color w:val="334155"/>
                <w:sz w:val="21"/>
              </w:rPr>
              <w:t>• Corporate Headquarters: Cairo, Egypt | Operating Headquarters for MENA, EU, &amp; US Expansion</w:t>
            </w:r>
          </w:p>
          <w:p>
            <w:pPr>
              <w:spacing w:before="40" w:after="80"/>
            </w:pPr>
            <w:r>
              <w:rPr>
                <w:rFonts w:ascii="Calibri" w:hAnsi="Calibri"/>
                <w:color w:val="334155"/>
                <w:sz w:val="21"/>
              </w:rPr>
              <w:t>• Official Institutional Email: mohamedriyad1408@gmail.com</w:t>
            </w:r>
          </w:p>
          <w:p>
            <w:pPr>
              <w:spacing w:before="40" w:after="80"/>
            </w:pPr>
            <w:r>
              <w:rPr>
                <w:rFonts w:ascii="Calibri" w:hAnsi="Calibri"/>
                <w:color w:val="334155"/>
                <w:sz w:val="21"/>
              </w:rPr>
              <w:t>• Live Platform Production Repository: https://mjrh.vercel.app/</w:t>
            </w:r>
          </w:p>
          <w:p>
            <w:pPr>
              <w:spacing w:before="40" w:after="80"/>
            </w:pPr>
            <w:r>
              <w:rPr>
                <w:rFonts w:ascii="Calibri" w:hAnsi="Calibri"/>
                <w:color w:val="334155"/>
                <w:sz w:val="21"/>
              </w:rPr>
              <w:t>• Data Room Access Protocol: Institutional investors may request cryptographic access credentials to the 12-section Data Room by submitting a formal verification request to the official email above.</w:t>
            </w:r>
          </w:p>
        </w:tc>
      </w:tr>
    </w:tbl>
    <w:p>
      <w:pPr>
        <w:spacing w:before="0" w:after="120"/>
      </w:pPr>
    </w:p>
    <w:p>
      <w:pPr>
        <w:keepNext/>
        <w:spacing w:before="360" w:after="160"/>
      </w:pPr>
      <w:r>
        <w:rPr>
          <w:rFonts w:ascii="Arial" w:hAnsi="Arial"/>
          <w:b/>
          <w:color w:val="0F172A"/>
          <w:sz w:val="36"/>
        </w:rPr>
        <w:t>GLOSSARY OF TERMS &amp; ACRONYMS</w:t>
      </w:r>
    </w:p>
    <w:p>
      <w:pPr>
        <w:spacing w:before="0" w:after="120" w:line="276" w:lineRule="auto"/>
      </w:pPr>
      <w:r>
        <w:rPr>
          <w:rFonts w:ascii="Calibri" w:hAnsi="Calibri"/>
          <w:b/>
          <w:color w:val="0F172A"/>
          <w:sz w:val="22"/>
        </w:rPr>
        <w:t xml:space="preserve">• OIP (Operational Intelligence Platform): </w:t>
      </w:r>
      <w:r>
        <w:rPr>
          <w:rFonts w:ascii="Calibri" w:hAnsi="Calibri"/>
          <w:color w:val="334155"/>
          <w:sz w:val="22"/>
        </w:rPr>
        <w:t>An active cloud-native software architecture that digitizes, governs, measures, and optimizes physical operational execution across multi-station businesses.</w:t>
      </w:r>
    </w:p>
    <w:p>
      <w:pPr>
        <w:spacing w:before="0" w:after="120" w:line="276" w:lineRule="auto"/>
      </w:pPr>
      <w:r>
        <w:rPr>
          <w:rFonts w:ascii="Calibri" w:hAnsi="Calibri"/>
          <w:b/>
          <w:color w:val="0F172A"/>
          <w:sz w:val="22"/>
        </w:rPr>
        <w:t xml:space="preserve">• APDO Operational Model: </w:t>
      </w:r>
      <w:r>
        <w:rPr>
          <w:rFonts w:ascii="Calibri" w:hAnsi="Calibri"/>
          <w:color w:val="334155"/>
          <w:sz w:val="22"/>
        </w:rPr>
        <w:t>The proprietary 4-stage state machine (Actor -&gt; Process -&gt; Data -&gt; Output) guaranteeing data integrity and audit compliance across plant workflows.</w:t>
      </w:r>
    </w:p>
    <w:p>
      <w:pPr>
        <w:spacing w:before="0" w:after="120" w:line="276" w:lineRule="auto"/>
      </w:pPr>
      <w:r>
        <w:rPr>
          <w:rFonts w:ascii="Calibri" w:hAnsi="Calibri"/>
          <w:b/>
          <w:color w:val="0F172A"/>
          <w:sz w:val="22"/>
        </w:rPr>
        <w:t xml:space="preserve">• German Hybrid Governance Model: </w:t>
      </w:r>
      <w:r>
        <w:rPr>
          <w:rFonts w:ascii="Calibri" w:hAnsi="Calibri"/>
          <w:color w:val="334155"/>
          <w:sz w:val="22"/>
        </w:rPr>
        <w:t>An organizational structure (Version 2.6 Hybrid) separating decentralized branch operational execution from strict centralized corporate financial treasury control across 10 departments.</w:t>
      </w:r>
    </w:p>
    <w:p>
      <w:pPr>
        <w:spacing w:before="0" w:after="120" w:line="276" w:lineRule="auto"/>
      </w:pPr>
      <w:r>
        <w:rPr>
          <w:rFonts w:ascii="Calibri" w:hAnsi="Calibri"/>
          <w:b/>
          <w:color w:val="0F172A"/>
          <w:sz w:val="22"/>
        </w:rPr>
        <w:t xml:space="preserve">• RBAC (Role-Based Access Control): </w:t>
      </w:r>
      <w:r>
        <w:rPr>
          <w:rFonts w:ascii="Calibri" w:hAnsi="Calibri"/>
          <w:color w:val="334155"/>
          <w:sz w:val="22"/>
        </w:rPr>
        <w:t>Security architecture enforcing granular permissions across 15 professional roles, granting absolute modification authority exclusively to Sovereign Owners (`owner` or `isSuperAdmin`).</w:t>
      </w:r>
    </w:p>
    <w:p>
      <w:pPr>
        <w:spacing w:before="0" w:after="120" w:line="276" w:lineRule="auto"/>
      </w:pPr>
      <w:r>
        <w:rPr>
          <w:rFonts w:ascii="Calibri" w:hAnsi="Calibri"/>
          <w:b/>
          <w:color w:val="0F172A"/>
          <w:sz w:val="22"/>
        </w:rPr>
        <w:t xml:space="preserve">• RLS (Row-Level Security): </w:t>
      </w:r>
      <w:r>
        <w:rPr>
          <w:rFonts w:ascii="Calibri" w:hAnsi="Calibri"/>
          <w:color w:val="334155"/>
          <w:sz w:val="22"/>
        </w:rPr>
        <w:t>PostgreSQL database kernel security mechanism isolating tenant data (`tenant_id`) to prevent unauthorized cross-tenant data access.</w:t>
      </w:r>
    </w:p>
    <w:p>
      <w:pPr>
        <w:spacing w:before="0" w:after="120" w:line="276" w:lineRule="auto"/>
      </w:pPr>
      <w:r>
        <w:rPr>
          <w:rFonts w:ascii="Calibri" w:hAnsi="Calibri"/>
          <w:b/>
          <w:color w:val="0F172A"/>
          <w:sz w:val="22"/>
        </w:rPr>
        <w:t xml:space="preserve">• Touch Hyper-Automation: </w:t>
      </w:r>
      <w:r>
        <w:rPr>
          <w:rFonts w:ascii="Calibri" w:hAnsi="Calibri"/>
          <w:color w:val="334155"/>
          <w:sz w:val="22"/>
        </w:rPr>
        <w:t>1-click workstation execution (`fastTrackSortAll`, `fastTrackPackAndReady`) enabling rapid batch processing and GPS dispatch without handheld barcode scanners.</w:t>
      </w:r>
    </w:p>
    <w:p>
      <w:pPr>
        <w:spacing w:before="0" w:after="120" w:line="276" w:lineRule="auto"/>
      </w:pPr>
      <w:r>
        <w:rPr>
          <w:rFonts w:ascii="Calibri" w:hAnsi="Calibri"/>
          <w:b/>
          <w:color w:val="0F172A"/>
          <w:sz w:val="22"/>
        </w:rPr>
        <w:t xml:space="preserve">• Surge Scheduling Engine: </w:t>
      </w:r>
      <w:r>
        <w:rPr>
          <w:rFonts w:ascii="Calibri" w:hAnsi="Calibri"/>
          <w:color w:val="334155"/>
          <w:sz w:val="22"/>
        </w:rPr>
        <w:t>Dynamic capacity load balancing algorithm that caps booking slots and applies Express Surcharge pricing during peak intake hours (10:00 AM–12:00 PM).</w:t>
      </w:r>
    </w:p>
    <w:p>
      <w:pPr>
        <w:spacing w:before="0" w:after="120" w:line="276" w:lineRule="auto"/>
      </w:pPr>
      <w:r>
        <w:rPr>
          <w:rFonts w:ascii="Calibri" w:hAnsi="Calibri"/>
          <w:b/>
          <w:color w:val="0F172A"/>
          <w:sz w:val="22"/>
        </w:rPr>
        <w:t xml:space="preserve">• Double-Entry Accounting Ledger: </w:t>
      </w:r>
      <w:r>
        <w:rPr>
          <w:rFonts w:ascii="Calibri" w:hAnsi="Calibri"/>
          <w:color w:val="334155"/>
          <w:sz w:val="22"/>
        </w:rPr>
        <w:t>Automated bookkeeping system recording balanced debit and credit journal entries for every operational event, incorporating Tip Liability Separation and cash safe closing.</w:t>
      </w:r>
    </w:p>
    <w:p>
      <w:pPr>
        <w:spacing w:before="0" w:after="120" w:line="276" w:lineRule="auto"/>
      </w:pPr>
      <w:r>
        <w:rPr>
          <w:rFonts w:ascii="Calibri" w:hAnsi="Calibri"/>
          <w:b/>
          <w:color w:val="0F172A"/>
          <w:sz w:val="22"/>
        </w:rPr>
        <w:t xml:space="preserve">• GDPR / CCPA PII Masking: </w:t>
      </w:r>
      <w:r>
        <w:rPr>
          <w:rFonts w:ascii="Calibri" w:hAnsi="Calibri"/>
          <w:color w:val="334155"/>
          <w:sz w:val="22"/>
        </w:rPr>
        <w:t>European and US data privacy compliance toggle (`anonymizePII` in `/marketing`) that encrypts personal customer PII on analytical dashboards.</w:t>
      </w:r>
    </w:p>
    <w:p>
      <w:pPr>
        <w:spacing w:before="0" w:after="120" w:line="276" w:lineRule="auto"/>
      </w:pPr>
      <w:r>
        <w:rPr>
          <w:rFonts w:ascii="Calibri" w:hAnsi="Calibri"/>
          <w:b/>
          <w:color w:val="0F172A"/>
          <w:sz w:val="22"/>
        </w:rPr>
        <w:t xml:space="preserve">• TAM / SAM / SOM: </w:t>
      </w:r>
      <w:r>
        <w:rPr>
          <w:rFonts w:ascii="Calibri" w:hAnsi="Calibri"/>
          <w:color w:val="334155"/>
          <w:sz w:val="22"/>
        </w:rPr>
        <w:t>Total Addressable Market (EGP 45B MENA), Serviceable Addressable Market (EGP 12B), and Serviceable Obtainable Market (EGP 1.8B 3-year target).</w:t>
      </w:r>
    </w:p>
    <w:p>
      <w:pPr>
        <w:spacing w:before="0" w:after="120" w:line="276" w:lineRule="auto"/>
      </w:pPr>
      <w:r>
        <w:rPr>
          <w:rFonts w:ascii="Calibri" w:hAnsi="Calibri"/>
          <w:b/>
          <w:color w:val="0F172A"/>
          <w:sz w:val="22"/>
        </w:rPr>
        <w:t xml:space="preserve">• NRR (Net Revenue Retention): </w:t>
      </w:r>
      <w:r>
        <w:rPr>
          <w:rFonts w:ascii="Calibri" w:hAnsi="Calibri"/>
          <w:color w:val="334155"/>
          <w:sz w:val="22"/>
        </w:rPr>
        <w:t>SaaS metric measuring recurring revenue growth from existing customers including upgrades and multi-branch expansions (MJRH benchmark: 118%).</w:t>
      </w:r>
    </w:p>
    <w:p>
      <w:pPr>
        <w:spacing w:before="0" w:after="120" w:line="276" w:lineRule="auto"/>
      </w:pPr>
      <w:r>
        <w:rPr>
          <w:rFonts w:ascii="Calibri" w:hAnsi="Calibri"/>
          <w:b/>
          <w:color w:val="0F172A"/>
          <w:sz w:val="22"/>
        </w:rPr>
        <w:t xml:space="preserve">• SaaS Rule of 40: </w:t>
      </w:r>
      <w:r>
        <w:rPr>
          <w:rFonts w:ascii="Calibri" w:hAnsi="Calibri"/>
          <w:color w:val="334155"/>
          <w:sz w:val="22"/>
        </w:rPr>
        <w:t>Institutional software benchmark where combined annual revenue growth rate % and EBITDA profit margin % exceed 40% (MJRH benchmark: 58%).</w:t>
      </w:r>
    </w:p>
    <w:p>
      <w:pPr>
        <w:spacing w:before="0" w:after="120" w:line="276" w:lineRule="auto"/>
      </w:pPr>
      <w:r>
        <w:rPr>
          <w:rFonts w:ascii="Calibri" w:hAnsi="Calibri"/>
          <w:b/>
          <w:color w:val="0F172A"/>
          <w:sz w:val="22"/>
        </w:rPr>
        <w:t xml:space="preserve">• OOXML (.docx): </w:t>
      </w:r>
      <w:r>
        <w:rPr>
          <w:rFonts w:ascii="Calibri" w:hAnsi="Calibri"/>
          <w:color w:val="334155"/>
          <w:sz w:val="22"/>
        </w:rPr>
        <w:t>Office Open XML modern Microsoft Word document standard required for clean in-app rendering and institutional due diligence.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STRICTLY CONFIDENTIAL — INSTITUTIONAL DUE DILIGENCE EDITION | CAIRO, EGYPT | mohamedriyad1408@gmail.com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MJRH INDUSTRIAL REVOLUTION | OFFICIAL INSTITUTIONAL DOCUMENTATION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