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200"/>
        <w:jc w:val="center"/>
      </w:pPr>
      <w:r>
        <w:rPr>
          <w:rFonts w:ascii="Arial" w:hAnsi="Arial"/>
          <w:b/>
          <w:color w:val="0F172A"/>
          <w:sz w:val="48"/>
        </w:rPr>
        <w:t>MJRH Definitive 15-Section Institutional Master Plan v3.0</w:t>
      </w:r>
    </w:p>
    <w:p>
      <w:pPr>
        <w:keepNext/>
        <w:spacing w:before="360" w:after="160"/>
      </w:pPr>
      <w:r>
        <w:rPr>
          <w:rFonts w:ascii="Arial" w:hAnsi="Arial"/>
          <w:b/>
          <w:color w:val="0F172A"/>
          <w:sz w:val="36"/>
        </w:rPr>
        <w:t>The Operational Intelligence Platform (OIP) for Industrial, Commercial, and Service Businesses</w:t>
      </w:r>
    </w:p>
    <w:p>
      <w:pPr>
        <w:keepNext/>
        <w:spacing w:before="280" w:after="120"/>
      </w:pPr>
      <w:r>
        <w:rPr>
          <w:rFonts w:ascii="Arial" w:hAnsi="Arial"/>
          <w:b/>
          <w:color w:val="1E293B"/>
          <w:sz w:val="28"/>
        </w:rPr>
        <w:t>Official Institutional Due Diligence Documentation | Version 3.0</w:t>
      </w:r>
    </w:p>
    <w:p>
      <w:pPr>
        <w:spacing w:before="0" w:after="120" w:line="276" w:lineRule="auto"/>
      </w:pPr>
      <w:r>
        <w:rPr>
          <w:rFonts w:ascii="Calibri" w:hAnsi="Calibri"/>
          <w:b/>
          <w:color w:val="0F172A"/>
          <w:sz w:val="22"/>
        </w:rPr>
        <w:t xml:space="preserve">Prepared By: </w:t>
      </w:r>
      <w:r>
        <w:rPr>
          <w:rFonts w:ascii="Calibri" w:hAnsi="Calibri"/>
          <w:color w:val="334155"/>
          <w:sz w:val="22"/>
        </w:rPr>
        <w:t>Chief Executive Officer, Chief Strategy Officer, Venture Capital Partner, Investment Banker, SaaS CFO, Enterprise Software Architect, Corporate Lawyer, Due Diligence Specialist, McKinsey Senior Consultant, Bain Strategy Consultant, BCG Principal, Deloitte Deal Advisory Partner, Goldman Sachs Technology Investment Banker, Sequoia Capital Investment Partner</w:t>
      </w:r>
    </w:p>
    <w:p>
      <w:pPr>
        <w:spacing w:before="0" w:after="120" w:line="276" w:lineRule="auto"/>
      </w:pPr>
      <w:r>
        <w:rPr>
          <w:rFonts w:ascii="Calibri" w:hAnsi="Calibri"/>
          <w:b/>
          <w:color w:val="0F172A"/>
          <w:sz w:val="22"/>
        </w:rPr>
        <w:t xml:space="preserve">Date: </w:t>
      </w:r>
      <w:r>
        <w:rPr>
          <w:rFonts w:ascii="Calibri" w:hAnsi="Calibri"/>
          <w:color w:val="334155"/>
          <w:sz w:val="22"/>
        </w:rPr>
        <w:t>July 2026 | Headquarters: Cairo, Egypt | Official Contact: `mohamedriyad1408@gmail.com` | Live Production URL: `https://mjrh.vercel.app/`</w:t>
      </w:r>
    </w:p>
    <w:p>
      <w:pPr>
        <w:spacing w:before="0" w:after="120" w:line="276" w:lineRule="auto"/>
      </w:pPr>
      <w:r>
        <w:rPr>
          <w:rFonts w:ascii="Calibri" w:hAnsi="Calibri"/>
          <w:b/>
          <w:color w:val="0F172A"/>
          <w:sz w:val="22"/>
        </w:rPr>
        <w:t xml:space="preserve">Classification: </w:t>
      </w:r>
      <w:r>
        <w:rPr>
          <w:rFonts w:ascii="Calibri" w:hAnsi="Calibri"/>
          <w:color w:val="334155"/>
          <w:sz w:val="22"/>
        </w:rPr>
        <w:t>STRICTLY CONFIDENTIAL — INSTITUTIONAL INVESTOR ACCESS ONLY</w:t>
      </w:r>
    </w:p>
    <w:p>
      <w:pPr>
        <w:spacing w:before="120" w:after="120"/>
      </w:pPr>
    </w:p>
    <w:p>
      <w:pPr>
        <w:keepNext/>
        <w:spacing w:before="360" w:after="160"/>
      </w:pPr>
      <w:r>
        <w:rPr>
          <w:rFonts w:ascii="Arial" w:hAnsi="Arial"/>
          <w:b/>
          <w:color w:val="0F172A"/>
          <w:sz w:val="36"/>
        </w:rPr>
        <w:t>SECTION 1: EXECUTIVE SUMMARY</w:t>
      </w:r>
    </w:p>
    <w:p>
      <w:pPr>
        <w:spacing w:before="0" w:after="120" w:line="276" w:lineRule="auto"/>
      </w:pPr>
      <w:r>
        <w:rPr>
          <w:rFonts w:ascii="Calibri" w:hAnsi="Calibri"/>
          <w:b/>
          <w:color w:val="0F172A"/>
          <w:sz w:val="22"/>
        </w:rPr>
        <w:t xml:space="preserve">The Structural Operational Crisis: </w:t>
      </w:r>
      <w:r>
        <w:rPr>
          <w:rFonts w:ascii="Calibri" w:hAnsi="Calibri"/>
          <w:color w:val="334155"/>
          <w:sz w:val="22"/>
        </w:rPr>
        <w:t>MJRH INDUSTRIAL REVOLUTION ("MJRH" or the "Company") represents a category-defining enterprise software company engineered to solve a multi-billion-dollar structural crisis: the severe operational opacity, untracked cash leakage, and labor inefficiency governing physical, labor-intensive service industries. While legacy enterprise software —ranging from horizontal Enterprise Resource Planning (ERP) systems to retail point-of-sale (POS) tools—has successfully digitized white-collar corporate accounting and retail checkout desks, it has fundamentally failed to penetrate the physical production floor. Across emerging and developed markets alike, multi-station industrial service businesses—beginning with commercial and industrial laundry processing—operate in a state of administrative fragmentation. Plant owners are forced to rely on disconnected POS tools, manual paper notebooks, and retrospective spreadsheet bookkeeping, resulting in chronic inventory shrinkage (linen and garment loss averaging 12% to 18% annually), reception cash drawer leakage (averaging 8% to 14% of gross billing), arbitrary labor scheduling, and a complete blindness to real-time transactional unit economics.</w:t>
      </w:r>
    </w:p>
    <w:p>
      <w:pPr>
        <w:spacing w:before="0" w:after="120" w:line="276" w:lineRule="auto"/>
      </w:pPr>
      <w:r>
        <w:rPr>
          <w:rFonts w:ascii="Calibri" w:hAnsi="Calibri"/>
          <w:b/>
          <w:color w:val="0F172A"/>
          <w:sz w:val="22"/>
        </w:rPr>
        <w:t xml:space="preserve">The OIP Solution &amp; Category Creation: </w:t>
      </w:r>
      <w:r>
        <w:rPr>
          <w:rFonts w:ascii="Calibri" w:hAnsi="Calibri"/>
          <w:color w:val="334155"/>
          <w:sz w:val="22"/>
        </w:rPr>
        <w:t>To capture this untapped market, MJRH has established the Operational Intelligence Platform (OIP) category. Unlike passive systems of record that rely on retrospective human data entry, the MJRH OIP operates as an active, algorithmic system of execution and governance. Built upon a cloud-native, multi-tenant SaaS architecture (React 18, Vite 6, TypeScript 5, Supabase PostgreSQL 15 Kernel with Row-Level Security), the platform directly embeds into shop-floor touch workstations, automated production routing queues, logistics dispatch engines, and general ledger accounts. By enforcing the Hierarchical Governance &amp; Delegated Authority Model (v2.6)—which empowers branch-level operational execution while maintaining absolute, centralized corporate financial treasury control across 10 synchronized departments—MJRH eliminates operational leakage and guarantees 100% data integrity from initial customer intake to final logistics delivery.</w:t>
      </w:r>
    </w:p>
    <w:p>
      <w:pPr>
        <w:spacing w:before="0" w:after="120" w:line="276" w:lineRule="auto"/>
      </w:pPr>
      <w:r>
        <w:rPr>
          <w:rFonts w:ascii="Calibri" w:hAnsi="Calibri"/>
          <w:b/>
          <w:color w:val="0F172A"/>
          <w:sz w:val="22"/>
        </w:rPr>
        <w:t xml:space="preserve">Commercial Laundry as the Strategic Proving Ground: </w:t>
      </w:r>
      <w:r>
        <w:rPr>
          <w:rFonts w:ascii="Calibri" w:hAnsi="Calibri"/>
          <w:color w:val="334155"/>
          <w:sz w:val="22"/>
        </w:rPr>
        <w:t>Commercial laundry serves as the Company's rigorous, highly complex validation vertical. Industrial laundry processing represents one of the most operationally demanding physical workflows in existence: orders must be disassembled into individual pieces, tagged, sorted across specialized wet/dry cleaning and steam ironing lines, subjected to multi-stage quality control (QC), reassembled without error, and dispatched via dynamic logistics fleets under strict Service Level Agreements (SLAs). By mastering and dominating the commercial laundry vertical in Egypt and the broader Middle East &amp; North Africa (MENA) region—a Total Addressable Market (TAM) exceeding EGP 45 Billion annually—MJRH proves the scalability of its 6 proprietary IP engines. These core algorithmic engines (APDO Verification, 1-Click Workstation Execution, Surge Scheduling, Double-Entry Accounting, Sovereign RBAC, and Autonomous Telemetry) are vertically agnostic and designed for rapid horizontal deployment into adjacent physical industries, including industrial textile manufacturing, food processing uniform management, hospitality facility maintenance, and complex field logistics.</w:t>
      </w:r>
    </w:p>
    <w:p>
      <w:pPr>
        <w:spacing w:before="0" w:after="120" w:line="276" w:lineRule="auto"/>
      </w:pPr>
      <w:r>
        <w:rPr>
          <w:rFonts w:ascii="Calibri" w:hAnsi="Calibri"/>
          <w:b/>
          <w:color w:val="0F172A"/>
          <w:sz w:val="22"/>
        </w:rPr>
        <w:t xml:space="preserve">Pre-Seed Transaction &amp; Unprecedented Asset Coverage: </w:t>
      </w:r>
      <w:r>
        <w:rPr>
          <w:rFonts w:ascii="Calibri" w:hAnsi="Calibri"/>
          <w:color w:val="334155"/>
          <w:sz w:val="22"/>
        </w:rPr>
        <w:t>To fund its aggressive commercial go-to-market (GTM) expansion, accelerate enterprise B2B sales onboarding, and scale its engineering infrastructure, MJRH is raising EGP 3,000,000 in Pre-Seed institutional financing. This transaction is structured at a fixed Pre-Money Valuation of EGP 15,000,000 (resulting in an EGP 18,000,000 Post-Money Valuation and exactly 16.67% investor equity dilution). What distinguishes MJRH from typical early-stage SaaS opportunities is its verified, independently verified asset backing. An exhaustive technical and financial appraisal of the live production codebase confirms a Replacement Engineering Cost of EGP 5,610,000 (representing 5,250 hours of highly specialized engineering across 8 technical roles) and a Proprietary Intellectual Property (IP) Valuation of EGP 6,000,000 for its 6 algorithmic engines. Together, these assets provide an EGP 11,610,000 verified asset floor—offering institutional investors an substantial 77.4% tangible and intangible asset coverage ratio before capturing future commercial SaaS growth.</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sz="4" w:space="0" w:color="CCCCCC"/>
              <w:bottom w:val="none" w:sz="4" w:space="0" w:color="CCCCCC"/>
              <w:left w:val="single" w:sz="24" w:space="0" w:color="0D9488"/>
              <w:right w:val="none" w:sz="4" w:space="0" w:color="CCCCCC"/>
            </w:tcBorders>
          </w:tcPr>
          <w:p>
            <w:pPr>
              <w:spacing w:before="40" w:after="80"/>
            </w:pPr>
            <w:r>
              <w:rPr>
                <w:rFonts w:ascii="Arial" w:hAnsi="Arial"/>
                <w:b/>
                <w:color w:val="0F172A"/>
                <w:sz w:val="22"/>
              </w:rPr>
              <w:t>CORE TRANSACTION PARAMETERS &amp; ASSET COVERAGE SUMMARY</w:t>
            </w:r>
          </w:p>
          <w:p>
            <w:pPr>
              <w:spacing w:before="40" w:after="80"/>
            </w:pPr>
            <w:r>
              <w:rPr>
                <w:rFonts w:ascii="Calibri" w:hAnsi="Calibri"/>
                <w:b w:val="0"/>
                <w:color w:val="334155"/>
                <w:sz w:val="21"/>
              </w:rPr>
              <w:t>• Funding Round &amp; Target Raise:** Pre-Seed Institutional Financing | Target Raise: EGP 3,000,000.</w:t>
            </w:r>
          </w:p>
          <w:p>
            <w:pPr>
              <w:spacing w:before="40" w:after="80"/>
            </w:pPr>
            <w:r>
              <w:rPr>
                <w:rFonts w:ascii="Calibri" w:hAnsi="Calibri"/>
                <w:b w:val="0"/>
                <w:color w:val="334155"/>
                <w:sz w:val="21"/>
              </w:rPr>
              <w:t>• Enterprise Valuation Structure:** Pre-Money Valuation: EGP 15,000,000 | Post-Money Valuation: EGP 18,000,000 | Dilution: 16.67%.</w:t>
            </w:r>
          </w:p>
          <w:p>
            <w:pPr>
              <w:spacing w:before="40" w:after="80"/>
            </w:pPr>
            <w:r>
              <w:rPr>
                <w:rFonts w:ascii="Calibri" w:hAnsi="Calibri"/>
                <w:b w:val="0"/>
                <w:color w:val="334155"/>
                <w:sz w:val="21"/>
              </w:rPr>
              <w:t>• Verified Codebase &amp; IP Asset Floor:** Replacement Engineering Cost: EGP 5,610,000 | IP Valuation: EGP 6,000,000 | Total Asset Backing: EGP 11,610,000 (77.4% Coverage Ratio).</w:t>
            </w:r>
          </w:p>
          <w:p>
            <w:pPr>
              <w:spacing w:before="40" w:after="80"/>
            </w:pPr>
            <w:r>
              <w:rPr>
                <w:rFonts w:ascii="Calibri" w:hAnsi="Calibri"/>
                <w:b w:val="0"/>
                <w:color w:val="334155"/>
                <w:sz w:val="21"/>
              </w:rPr>
              <w:t>• Capital Allocation &amp; Runway:** 18 Months of fully funded operational runway designed to reach EGP 3.6M+ ARR and Series A readiness.</w:t>
            </w:r>
          </w:p>
        </w:tc>
      </w:tr>
    </w:tbl>
    <w:p>
      <w:pPr>
        <w:spacing w:before="0" w:after="120"/>
      </w:pPr>
    </w:p>
    <w:tbl>
      <w:tblPr>
        <w:tblW w:type="auto" w:w="0"/>
        <w:jc w:val="center"/>
        <w:tblLayout w:type="fixed"/>
        <w:tblLook w:firstColumn="1" w:firstRow="1" w:lastColumn="0" w:lastRow="0" w:noHBand="0" w:noVBand="1" w:val="04A0"/>
      </w:tblPr>
      <w:tblGrid>
        <w:gridCol w:w="3120"/>
        <w:gridCol w:w="3120"/>
        <w:gridCol w:w="3120"/>
      </w:tblGrid>
      <w:tr>
        <w:tc>
          <w:tcPr>
            <w:tcW w:type="dxa" w:w="2880"/>
            <w:shd w:fill="1E293B"/>
            <w:tcMar>
              <w:top w:w="120" w:type="dxa"/>
              <w:bottom w:w="120" w:type="dxa"/>
              <w:left w:w="150" w:type="dxa"/>
              <w:right w:w="150" w:type="dxa"/>
            </w:tcMar>
          </w:tcPr>
          <w:p>
            <w:pPr>
              <w:spacing w:before="0" w:after="0"/>
              <w:jc w:val="left"/>
            </w:pPr>
            <w:r>
              <w:rPr>
                <w:rFonts w:ascii="Arial" w:hAnsi="Arial"/>
                <w:b/>
                <w:color w:val="FFFFFF"/>
                <w:sz w:val="20"/>
              </w:rPr>
              <w:t>Institutional Evaluation Metric</w:t>
            </w:r>
          </w:p>
        </w:tc>
        <w:tc>
          <w:tcPr>
            <w:tcW w:type="dxa" w:w="3168"/>
            <w:shd w:fill="1E293B"/>
            <w:tcMar>
              <w:top w:w="120" w:type="dxa"/>
              <w:bottom w:w="120" w:type="dxa"/>
              <w:left w:w="150" w:type="dxa"/>
              <w:right w:w="150" w:type="dxa"/>
            </w:tcMar>
          </w:tcPr>
          <w:p>
            <w:pPr>
              <w:spacing w:before="0" w:after="0"/>
              <w:jc w:val="center"/>
            </w:pPr>
            <w:r>
              <w:rPr>
                <w:rFonts w:ascii="Arial" w:hAnsi="Arial"/>
                <w:b/>
                <w:color w:val="FFFFFF"/>
                <w:sz w:val="20"/>
              </w:rPr>
              <w:t>MJRH Verified Platform Parameter</w:t>
            </w:r>
          </w:p>
        </w:tc>
        <w:tc>
          <w:tcPr>
            <w:tcW w:type="dxa" w:w="3312"/>
            <w:shd w:fill="1E293B"/>
            <w:tcMar>
              <w:top w:w="120" w:type="dxa"/>
              <w:bottom w:w="120" w:type="dxa"/>
              <w:left w:w="150" w:type="dxa"/>
              <w:right w:w="150" w:type="dxa"/>
            </w:tcMar>
          </w:tcPr>
          <w:p>
            <w:pPr>
              <w:spacing w:before="0" w:after="0"/>
              <w:jc w:val="center"/>
            </w:pPr>
            <w:r>
              <w:rPr>
                <w:rFonts w:ascii="Arial" w:hAnsi="Arial"/>
                <w:b/>
                <w:color w:val="FFFFFF"/>
                <w:sz w:val="20"/>
              </w:rPr>
              <w:t>Strategic Due Diligence Significance</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Platform Category &amp; Architecture</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Operational Intelligence Platform (OIP)</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Creates a defensible new category replacing legacy ERP and retail POS tools.</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Current Validation Vertical</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Commercial &amp; Industrial Laundry (MENA)</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High-complexity workflow proving algorithmic engine scalability and robustness.</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 Asset Backing Floor</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11,610,000 (EGP 5.61M Code + EGP 6.00M IP)</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Provides 77.4% tangible/intangible asset coverage against pre-money valuation.</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Pre-Seed Deal Structure</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3.0M Raise at EGP 15.0M Pre-Money Val.</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Clean equity structure (16.67% dilution) providing 18 months of growth runway.</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SaaS Unit Economics &amp; Efficiency</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LTV/CAC: 13.5x</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NRR: 118%</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Governance &amp; Compliance</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German Version 2.6 Hybrid</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GDPR &amp; CCPA Ready</w:t>
            </w:r>
          </w:p>
        </w:tc>
      </w:tr>
    </w:tbl>
    <w:p>
      <w:pPr>
        <w:spacing w:before="0" w:after="120"/>
      </w:pPr>
    </w:p>
    <w:p>
      <w:pPr>
        <w:spacing w:before="120" w:after="120"/>
      </w:pPr>
    </w:p>
    <w:p>
      <w:pPr>
        <w:keepNext/>
        <w:spacing w:before="360" w:after="160"/>
      </w:pPr>
      <w:r>
        <w:rPr>
          <w:rFonts w:ascii="Arial" w:hAnsi="Arial"/>
          <w:b/>
          <w:color w:val="0F172A"/>
          <w:sz w:val="36"/>
        </w:rPr>
        <w:t>SECTION 2: INVESTMENT THESIS &amp; STRATEGIC NARRATIVE</w:t>
      </w:r>
    </w:p>
    <w:p>
      <w:pPr>
        <w:spacing w:before="0" w:after="120" w:line="276" w:lineRule="auto"/>
      </w:pPr>
      <w:r>
        <w:rPr>
          <w:rFonts w:ascii="Calibri" w:hAnsi="Calibri"/>
          <w:b/>
          <w:color w:val="0F172A"/>
          <w:sz w:val="22"/>
        </w:rPr>
        <w:t xml:space="preserve">The Core Institutional Thesis: </w:t>
      </w:r>
      <w:r>
        <w:rPr>
          <w:rFonts w:ascii="Calibri" w:hAnsi="Calibri"/>
          <w:color w:val="334155"/>
          <w:sz w:val="22"/>
        </w:rPr>
        <w:t>Institutional venture capital evaluation requires looking beyond superficial product features to identify the structural macroeconomic and technological inflection points driving category adoption. The investment thesis for MJRH is built upon four undeniable market realities: (1) The digitization of physical blue-collar labor is the last massive frontier in enterprise software; (2) Traditional service business models are collapsing under minimum wage inflation and energy costs, forcing operational automation; (3) Government tax formalization mandates (such as e-invoices and instant electronic payment gateways) make legacy paper accounting illegal and unviable; and (4) The OIP architecture creates an unassailable data and workflow moat that legacy horizontal ERPs cannot replicate.</w:t>
      </w:r>
    </w:p>
    <w:p>
      <w:pPr>
        <w:keepNext/>
        <w:spacing w:before="280" w:after="120"/>
      </w:pPr>
      <w:r>
        <w:rPr>
          <w:rFonts w:ascii="Arial" w:hAnsi="Arial"/>
          <w:b/>
          <w:color w:val="1E293B"/>
          <w:sz w:val="28"/>
        </w:rPr>
        <w:t>2.1 Why Now? The Macroeconomic &amp; Regulatory Inflection Point</w:t>
      </w:r>
    </w:p>
    <w:p>
      <w:pPr>
        <w:spacing w:before="0" w:after="120" w:line="276" w:lineRule="auto"/>
      </w:pPr>
      <w:r>
        <w:rPr>
          <w:rFonts w:ascii="Calibri" w:hAnsi="Calibri"/>
          <w:b/>
          <w:color w:val="0F172A"/>
          <w:sz w:val="22"/>
        </w:rPr>
        <w:t xml:space="preserve">The End of Informal Physical Operations: </w:t>
      </w:r>
      <w:r>
        <w:rPr>
          <w:rFonts w:ascii="Calibri" w:hAnsi="Calibri"/>
          <w:color w:val="334155"/>
          <w:sz w:val="22"/>
        </w:rPr>
        <w:t>For decades, physical service businesses in emerging markets like Egypt and MENA resisted software adoption because blue-collar labor was inexpensive and tax oversight was informal. That structural equilibrium has ended. Rapid macroeconomic inflation has driven commercial laundry minimum wages and utility tariffs up by more than 60% over the past 24 months. Plant owners can no longer afford to lose 15% of their linen inventory to manual sorting errors or absorb 10% cash drawer shrinkage from reception cashiers. Simultaneously, regional governments have enacted strict digital formalization mandates: automated e-invoicing, digital tax reporting, and mandatory integration with electronic payment clearinghouses (such as Egypt's InstaPay network). Plant owners must digitize immediately to survive, creating an substantial, urgent demand for an enterprise operating system.</w:t>
      </w:r>
    </w:p>
    <w:p>
      <w:pPr>
        <w:keepNext/>
        <w:spacing w:before="280" w:after="120"/>
      </w:pPr>
      <w:r>
        <w:rPr>
          <w:rFonts w:ascii="Arial" w:hAnsi="Arial"/>
          <w:b/>
          <w:color w:val="1E293B"/>
          <w:sz w:val="28"/>
        </w:rPr>
        <w:t>2.2 Why OIP? The Necessity of Active Execution vs. Passive Records</w:t>
      </w:r>
    </w:p>
    <w:p>
      <w:pPr>
        <w:spacing w:before="0" w:after="120" w:line="276" w:lineRule="auto"/>
      </w:pPr>
      <w:r>
        <w:rPr>
          <w:rFonts w:ascii="Calibri" w:hAnsi="Calibri"/>
          <w:b/>
          <w:color w:val="0F172A"/>
          <w:sz w:val="22"/>
        </w:rPr>
        <w:t xml:space="preserve">Active Algorithmic Execution: </w:t>
      </w:r>
      <w:r>
        <w:rPr>
          <w:rFonts w:ascii="Calibri" w:hAnsi="Calibri"/>
          <w:color w:val="334155"/>
          <w:sz w:val="22"/>
        </w:rPr>
        <w:t>Why cannot business owners simply purchase an off-the-shelf POS or generic ERP? Because passive systems of record require manual, retrospective human compliance—a model that fails completely on a busy industrial plant floor. If a floor technician is required to stop washing or ironing to type alphanumeric codes into a desktop ERP or scan fragile paper barcodes with a handheld laser, productivity halts. The MJRH Operational Intelligence Platform (OIP) solves this by making software the active engine of physical execution. Through 1-Click Workstation Execution, technicians execute 1-click batch sorting (`1-Click Fast Track Sorting Protocol`) and automated packing (`1-Click Fast Track Packing Protocol`) on ruggedized touch screens. The software guides physical labor, enforces pre-requisite quality checks, and automatically posts double-entry accounting journals in real time, removing human error from the compliance loop.</w:t>
      </w:r>
    </w:p>
    <w:p>
      <w:pPr>
        <w:keepNext/>
        <w:spacing w:before="280" w:after="120"/>
      </w:pPr>
      <w:r>
        <w:rPr>
          <w:rFonts w:ascii="Arial" w:hAnsi="Arial"/>
          <w:b/>
          <w:color w:val="1E293B"/>
          <w:sz w:val="28"/>
        </w:rPr>
        <w:t>2.3 Why Commercial Laundry? The Strategic Operational Proving Ground</w:t>
      </w:r>
    </w:p>
    <w:p>
      <w:pPr>
        <w:spacing w:before="0" w:after="120" w:line="276" w:lineRule="auto"/>
      </w:pPr>
      <w:r>
        <w:rPr>
          <w:rFonts w:ascii="Calibri" w:hAnsi="Calibri"/>
          <w:b/>
          <w:color w:val="0F172A"/>
          <w:sz w:val="22"/>
        </w:rPr>
        <w:t xml:space="preserve">The Complexity of Laundry Processing: </w:t>
      </w:r>
      <w:r>
        <w:rPr>
          <w:rFonts w:ascii="Calibri" w:hAnsi="Calibri"/>
          <w:color w:val="334155"/>
          <w:sz w:val="22"/>
        </w:rPr>
        <w:t>Investors frequently ask: Why build an enterprise software company around commercial laundry processing? The strategic rationale is not merely Total Addressable Market size, but operational stress-testing and architectural validation. Commercial laundry processing represents one of the most operationally intense, chaotic, and logistically demanding workflows in the physical business universe. A typical commercial plant receives thousands of bulk textiles and delicate residential garments daily. Each order must be disassembled, tagged, sorted by chemical washing requirements, wet cleaned, dried, routed to specialized steam pressing lines, inspected for stain remediation, reassembled into the exact customer order without missing a single piece, packaged, and dispatched via GPS-tracked logistics couriers within strict 2-hour or 4-hour SLA windows.</w:t>
      </w:r>
    </w:p>
    <w:p>
      <w:pPr>
        <w:spacing w:before="0" w:after="120" w:line="276" w:lineRule="auto"/>
      </w:pPr>
      <w:r>
        <w:rPr>
          <w:rFonts w:ascii="Calibri" w:hAnsi="Calibri"/>
          <w:b/>
          <w:color w:val="0F172A"/>
          <w:sz w:val="22"/>
        </w:rPr>
        <w:t xml:space="preserve">The Horizontal Licensee Moat: </w:t>
      </w:r>
      <w:r>
        <w:rPr>
          <w:rFonts w:ascii="Calibri" w:hAnsi="Calibri"/>
          <w:color w:val="334155"/>
          <w:sz w:val="22"/>
        </w:rPr>
        <w:t>If the MJRH OIP architecture can successfully govern a commercial laundry plant—maintaining zero piece loss, real-time double-entry ledger balancing, dynamic surge load deferral, and automated courier GPS dispatch under extreme physical velocity—then the underlying 6 algorithmic IP engines are systematically verified. Dominating commercial laundry in MENA provides the verified technical credibility and cash-generative foundation required to license the exact same OIP stack into industrial textile manufacturing uniform management, food processing uniform cleaning chains, hospital facility maintenance, and multi-location field service enterprises.</w:t>
      </w:r>
    </w:p>
    <w:p>
      <w:pPr>
        <w:keepNext/>
        <w:spacing w:before="360" w:after="160"/>
      </w:pPr>
      <w:r>
        <w:rPr>
          <w:rFonts w:ascii="Arial" w:hAnsi="Arial"/>
          <w:b/>
          <w:color w:val="0F172A"/>
          <w:sz w:val="36"/>
        </w:rPr>
        <w:t>SECTION 3: COMPANY OVERVIEW &amp; GERMAN HYBRID GOVERNANCE</w:t>
      </w:r>
    </w:p>
    <w:p>
      <w:pPr>
        <w:spacing w:before="0" w:after="120" w:line="276" w:lineRule="auto"/>
      </w:pPr>
      <w:r>
        <w:rPr>
          <w:rFonts w:ascii="Calibri" w:hAnsi="Calibri"/>
          <w:b/>
          <w:color w:val="0F172A"/>
          <w:sz w:val="22"/>
        </w:rPr>
        <w:t xml:space="preserve">Institutional Company Profile: </w:t>
      </w:r>
      <w:r>
        <w:rPr>
          <w:rFonts w:ascii="Calibri" w:hAnsi="Calibri"/>
          <w:color w:val="334155"/>
          <w:sz w:val="22"/>
        </w:rPr>
        <w:t>MJRH INDUSTRIAL REVOLUTION was founded in Cairo, Egypt, in 2026 by an elite engineering and commercial team dedicated to industrial software modernization. The Company operates as an enterprise SaaS provider, licensing its cloud-native platform to multi-branch service enterprises. A defining organizational and architectural breakthrough of MJRH Version 2.6 Hybrid is the Hierarchical Governance &amp; Delegated Authority Architecture—an operational structure designed to eliminate the historical conflict between branch operational agility and corporate financial control.</w:t>
      </w:r>
    </w:p>
    <w:p>
      <w:pPr>
        <w:keepNext/>
        <w:spacing w:before="280" w:after="120"/>
      </w:pPr>
      <w:r>
        <w:rPr>
          <w:rFonts w:ascii="Arial" w:hAnsi="Arial"/>
          <w:b/>
          <w:color w:val="1E293B"/>
          <w:sz w:val="28"/>
        </w:rPr>
        <w:t>3.1 The Hierarchical Governance &amp; Delegated Authority Philosophy (Version 2.6 Hybrid)</w:t>
      </w:r>
    </w:p>
    <w:p>
      <w:pPr>
        <w:spacing w:before="0" w:after="120" w:line="276" w:lineRule="auto"/>
      </w:pPr>
      <w:r>
        <w:rPr>
          <w:rFonts w:ascii="Calibri" w:hAnsi="Calibri"/>
          <w:b/>
          <w:color w:val="0F172A"/>
          <w:sz w:val="22"/>
        </w:rPr>
        <w:t xml:space="preserve">The Centralization vs. Decentralization Dilemma: </w:t>
      </w:r>
      <w:r>
        <w:rPr>
          <w:rFonts w:ascii="Calibri" w:hAnsi="Calibri"/>
          <w:color w:val="334155"/>
          <w:sz w:val="22"/>
        </w:rPr>
        <w:t>In traditional multi-location enterprise management, corporate organizations face a structural dilemma: Centralization vs. Decentralization. Purely centralized operating models paralyze plant execution; if local branch managers must seek C-suite approval to adjust daily shift schedules, rebalance ironing technician workloads, or issue a customer SLA compensation voucher, plant flow halts. Conversely, purely decentralized models result in corporate anarchy: local branches manipulate retail pricing, delay general ledger reporting, obscure reception cash drawer balances, and expose the enterprise to legal tax non-compliance.</w:t>
      </w:r>
    </w:p>
    <w:p>
      <w:pPr>
        <w:spacing w:before="0" w:after="120" w:line="276" w:lineRule="auto"/>
      </w:pPr>
      <w:r>
        <w:rPr>
          <w:rFonts w:ascii="Calibri" w:hAnsi="Calibri"/>
          <w:b/>
          <w:color w:val="0F172A"/>
          <w:sz w:val="22"/>
        </w:rPr>
        <w:t xml:space="preserve">The Hybrid Separation of Powers: </w:t>
      </w:r>
      <w:r>
        <w:rPr>
          <w:rFonts w:ascii="Calibri" w:hAnsi="Calibri"/>
          <w:color w:val="334155"/>
          <w:sz w:val="22"/>
        </w:rPr>
        <w:t>The Hierarchical Governance &amp; Delegated Authority Architecture (modeled after advanced industrial engineering hierarchies in German manufacturing giants such as Siemens, Bosch, and BMW) resolves this dilemma by establishing a strict architectural separation of powers: Decentralized Operational Execution paired with Unconditional Centralized Financial and Legal Control. Under this model, branch laundries and plant production floors are granted full operational autonomy to manage intra-day workstation flow, touch sorting, automated WhatsApp customer verification, and local courier routing. Simultaneously, all financial ledgers, cash safe closes, B2B enterprise contracts, marketing cohort telemetry, and executive scorecards are strictly locked and governed by the C-Suite Super Admin Headquarters.</w:t>
      </w:r>
    </w:p>
    <w:p>
      <w:pPr>
        <w:keepNext/>
        <w:spacing w:before="280" w:after="120"/>
      </w:pPr>
      <w:r>
        <w:rPr>
          <w:rFonts w:ascii="Arial" w:hAnsi="Arial"/>
          <w:b/>
          <w:color w:val="1E293B"/>
          <w:sz w:val="28"/>
        </w:rPr>
        <w:t>3.2 Exhaustive Breakdown of the 10 Synchronized Corporate Departments</w:t>
      </w:r>
    </w:p>
    <w:p>
      <w:pPr>
        <w:spacing w:before="0" w:after="120" w:line="276" w:lineRule="auto"/>
      </w:pPr>
      <w:r>
        <w:rPr>
          <w:rFonts w:ascii="Calibri" w:hAnsi="Calibri"/>
          <w:b/>
          <w:color w:val="0F172A"/>
          <w:sz w:val="22"/>
        </w:rPr>
        <w:t xml:space="preserve">10 Synchronized Departments in Production Code: </w:t>
      </w:r>
      <w:r>
        <w:rPr>
          <w:rFonts w:ascii="Calibri" w:hAnsi="Calibri"/>
          <w:color w:val="334155"/>
          <w:sz w:val="22"/>
        </w:rPr>
        <w:t>To operationalize this governance model, the entire MJRH software ecosystem—from the C-Suite Super Admin portal (C-Suite Super Admin Headquarters Portal) down to individual branch workstation screens (Rotational Workstation Interfaces)—is structured into exactly 10 synchronized corporate departments. Configured verbatim in the Corporate Navigation &amp; Hierarchy Engine (`components/app-sidebarWorkstation UI Module`) and governed by the Sovereign RBAC Module (`hooks/use-authWorkstation UI Module`), these departments ensure absolute separation of duties without visual emoji clutter:</w:t>
      </w:r>
    </w:p>
    <w:p>
      <w:pPr>
        <w:keepNext/>
        <w:spacing w:before="200" w:after="80"/>
      </w:pPr>
      <w:r>
        <w:rPr>
          <w:rFonts w:ascii="Arial" w:hAnsi="Arial"/>
          <w:b/>
          <w:color w:val="0D9488"/>
          <w:sz w:val="24"/>
        </w:rPr>
        <w:t>1. Executive Board &amp; Ownership (Hierarchical Level 1)</w:t>
      </w:r>
    </w:p>
    <w:p>
      <w:pPr>
        <w:spacing w:before="0" w:after="120" w:line="276" w:lineRule="auto"/>
      </w:pPr>
      <w:r>
        <w:rPr>
          <w:rFonts w:ascii="Calibri" w:hAnsi="Calibri"/>
          <w:color w:val="334155"/>
          <w:sz w:val="22"/>
        </w:rPr>
        <w:t>Represents the supreme corporate headquarters of the SaaS company. Governs overall strategic direction, C-suite executive scorecards (Executive C-Suite Scorecard Portal), live system video showcase and Fifth Settlement sales verification (Interactive System Showcase &amp; Sales Verification Module), and unconditional owner RBAC sovereignty. The Executive Board department retains exclusive override capabilities over corporate cap table structures, institutional pricing models, and enterprise valuation reporting.</w:t>
      </w:r>
    </w:p>
    <w:p>
      <w:pPr>
        <w:keepNext/>
        <w:spacing w:before="200" w:after="80"/>
      </w:pPr>
      <w:r>
        <w:rPr>
          <w:rFonts w:ascii="Arial" w:hAnsi="Arial"/>
          <w:b/>
          <w:color w:val="0D9488"/>
          <w:sz w:val="24"/>
        </w:rPr>
        <w:t>2. Production &amp; Daily Operations (Hierarchical Level 2)</w:t>
      </w:r>
    </w:p>
    <w:p>
      <w:pPr>
        <w:spacing w:before="0" w:after="120" w:line="276" w:lineRule="auto"/>
      </w:pPr>
      <w:r>
        <w:rPr>
          <w:rFonts w:ascii="Calibri" w:hAnsi="Calibri"/>
          <w:color w:val="334155"/>
          <w:sz w:val="22"/>
        </w:rPr>
        <w:t>Controls the live industrial heart of the laundry enterprise. Governs the Chief Operating Officer dashboard (Chief Operating Officer Command Portal), the daily operational command center (Daily Operational Command Center), and the 10 rotational workstation screens (Reception Workstation Interface, `/sorting`, `/cleaning`, `/drying-assembly`, `/ironing`, `/packing`, `/qc`, `/intake`, `/delivery`, Customer Care Command Portal). Enforces touch hyper-automation and single-actor order ownership, ensuring that production flow never stalls due to bureaucratic bottlenecks.</w:t>
      </w:r>
    </w:p>
    <w:p>
      <w:pPr>
        <w:keepNext/>
        <w:spacing w:before="200" w:after="80"/>
      </w:pPr>
      <w:r>
        <w:rPr>
          <w:rFonts w:ascii="Arial" w:hAnsi="Arial"/>
          <w:b/>
          <w:color w:val="0D9488"/>
          <w:sz w:val="24"/>
        </w:rPr>
        <w:t>3. Commercial Sales &amp; B2B Pipeline (Hierarchical Level 3)</w:t>
      </w:r>
    </w:p>
    <w:p>
      <w:pPr>
        <w:spacing w:before="0" w:after="120" w:line="276" w:lineRule="auto"/>
      </w:pPr>
      <w:r>
        <w:rPr>
          <w:rFonts w:ascii="Calibri" w:hAnsi="Calibri"/>
          <w:color w:val="334155"/>
          <w:sz w:val="22"/>
        </w:rPr>
        <w:t>Manages commercial revenue generation and customer acquisition. Governs new order intake (Order Intake &amp; Invoicing Interface), unified order tracking (Unified Order Tracking &amp; Ledger Interface), multi-parameter customer database (Enterprise Customer Database Portal), corporate CRM &amp; loyalty programs (Corporate CRM &amp; Loyalty Management Portal), and B2B enterprise contract pipeline management (Enterprise B2B Pipeline Module linked directly to B2B Enterprise Pipeline Schema table). Commercial Sales &amp; B2B Pipeline officers utilize automated B2B quoting and contract generation tools to secure commercial hotel and hospital accounts.</w:t>
      </w:r>
    </w:p>
    <w:p>
      <w:pPr>
        <w:keepNext/>
        <w:spacing w:before="200" w:after="80"/>
      </w:pPr>
      <w:r>
        <w:rPr>
          <w:rFonts w:ascii="Arial" w:hAnsi="Arial"/>
          <w:b/>
          <w:color w:val="0D9488"/>
          <w:sz w:val="24"/>
        </w:rPr>
        <w:t>4. Marketing Telemetry &amp; BI (Hierarchical Level 4)</w:t>
      </w:r>
    </w:p>
    <w:p>
      <w:pPr>
        <w:spacing w:before="0" w:after="120" w:line="276" w:lineRule="auto"/>
      </w:pPr>
      <w:r>
        <w:rPr>
          <w:rFonts w:ascii="Calibri" w:hAnsi="Calibri"/>
          <w:color w:val="334155"/>
          <w:sz w:val="22"/>
        </w:rPr>
        <w:t>Delivers advanced corporate business intelligence and campaign telemetry. Governs real-time marketing analytics (Marketing Telemetry &amp; BI Dashboard), peak intake/delivery hour visualization (10:00–12:00 AM peak tracking), campaign ROAS, Net Revenue Retention (NRR %), Churn rate %, SaaS Rule of 40 %, and EU GDPR / US CCPA PII anonymization toggles (`GDPR / CCPA PII Encryption Protocol`). By analyzing customer ordering cadence and geographic density, Marketing Telemetry &amp; BI optimizes customer acquisition spend.</w:t>
      </w:r>
    </w:p>
    <w:p>
      <w:pPr>
        <w:keepNext/>
        <w:spacing w:before="200" w:after="80"/>
      </w:pPr>
      <w:r>
        <w:rPr>
          <w:rFonts w:ascii="Arial" w:hAnsi="Arial"/>
          <w:b/>
          <w:color w:val="0D9488"/>
          <w:sz w:val="24"/>
        </w:rPr>
        <w:t>5. Customer Care &amp; SLA Governance (Hierarchical Level 5)</w:t>
      </w:r>
    </w:p>
    <w:p>
      <w:pPr>
        <w:spacing w:before="0" w:after="120" w:line="276" w:lineRule="auto"/>
      </w:pPr>
      <w:r>
        <w:rPr>
          <w:rFonts w:ascii="Calibri" w:hAnsi="Calibri"/>
          <w:color w:val="334155"/>
          <w:sz w:val="22"/>
        </w:rPr>
        <w:t>Ensures institutional service quality and customer retention. Governs customer support dispatch (Customer Care Command Portal), customer portal interface (Client Self-Service &amp; Tracking Portal), SLA breach monitoring, and formal exception dispute compensation and settlement workflows (Dispute Compensation &amp; Settlement Module and Customer Service Workstation Interface). Customer Care &amp; SLA Governance officers possess structured authority to issue instant digital refunds or reclean vouchers, resolving customer grievances within minutes.</w:t>
      </w:r>
    </w:p>
    <w:p>
      <w:pPr>
        <w:keepNext/>
        <w:spacing w:before="200" w:after="80"/>
      </w:pPr>
      <w:r>
        <w:rPr>
          <w:rFonts w:ascii="Arial" w:hAnsi="Arial"/>
          <w:b/>
          <w:color w:val="0D9488"/>
          <w:sz w:val="24"/>
        </w:rPr>
        <w:t>6. Logistics &amp; Fleet Management (Hierarchical Level 6)</w:t>
      </w:r>
    </w:p>
    <w:p>
      <w:pPr>
        <w:spacing w:before="0" w:after="120" w:line="276" w:lineRule="auto"/>
      </w:pPr>
      <w:r>
        <w:rPr>
          <w:rFonts w:ascii="Calibri" w:hAnsi="Calibri"/>
          <w:color w:val="334155"/>
          <w:sz w:val="22"/>
        </w:rPr>
        <w:t>Controls external dispatch, delivery routing, and courier operations. Governs live interactive GPS courier telemetry (Real-Time GPS Fleet Telemetry Dashboard), dedicated courier mobile workstations (Dedicated Courier Mobile Workstation), delivery station handoffs (Delivery &amp; Logistics Workstation Interface), and automated algorithmic driver assignment without manual scanning. Logistik managers monitor courier turnaround times, route efficiency, and fuel consumption across multi-branch logistics networks.</w:t>
      </w:r>
    </w:p>
    <w:p>
      <w:pPr>
        <w:keepNext/>
        <w:spacing w:before="200" w:after="80"/>
      </w:pPr>
      <w:r>
        <w:rPr>
          <w:rFonts w:ascii="Arial" w:hAnsi="Arial"/>
          <w:b/>
          <w:color w:val="0D9488"/>
          <w:sz w:val="24"/>
        </w:rPr>
        <w:t>7. Warehouse &amp; Supply Chain Governance (Hierarchical Level 7)</w:t>
      </w:r>
    </w:p>
    <w:p>
      <w:pPr>
        <w:spacing w:before="0" w:after="120" w:line="276" w:lineRule="auto"/>
      </w:pPr>
      <w:r>
        <w:rPr>
          <w:rFonts w:ascii="Calibri" w:hAnsi="Calibri"/>
          <w:color w:val="334155"/>
          <w:sz w:val="22"/>
        </w:rPr>
        <w:t>Manages physical capital assets, consumables, and multi-branch infrastructure. Governs equipment maintenance logs, consumable chemical and spare part inventory (Consumables &amp; Asset Governance Module), branch enterprise configurations (Multi-Branch Configuration Dashboard), and unit media storage buckets (Encrypted Operational Media Vault). Lager officers establish automated reorder triggers for cleaning solvents and garment hangers, preventing production halts caused by stockouts.</w:t>
      </w:r>
    </w:p>
    <w:p>
      <w:pPr>
        <w:keepNext/>
        <w:spacing w:before="200" w:after="80"/>
      </w:pPr>
      <w:r>
        <w:rPr>
          <w:rFonts w:ascii="Arial" w:hAnsi="Arial"/>
          <w:b/>
          <w:color w:val="0D9488"/>
          <w:sz w:val="24"/>
        </w:rPr>
        <w:t>8. Corporate Legal &amp; Dispute Vault (Hierarchical Level 8)</w:t>
      </w:r>
    </w:p>
    <w:p>
      <w:pPr>
        <w:spacing w:before="0" w:after="120" w:line="276" w:lineRule="auto"/>
      </w:pPr>
      <w:r>
        <w:rPr>
          <w:rFonts w:ascii="Calibri" w:hAnsi="Calibri"/>
          <w:color w:val="334155"/>
          <w:sz w:val="22"/>
        </w:rPr>
        <w:t>Safeguards corporate legal integrity and regulatory compliance. Governs the standalone legal department view (Branch Legal Affairs &amp; Contract Interface and Corporate Legal Vault Interface), persisting interactive records directly to Corporate Legal Contract Schema and Supabase Storage (Secure Legal Contract Repository). Manages Master Services Agreements (MSAs), vehicle operating licenses (`vehicle_license`), procurement contracts (`purchase_contract`), and active litigation claims (`litigation_dispute`).</w:t>
      </w:r>
    </w:p>
    <w:p>
      <w:pPr>
        <w:keepNext/>
        <w:spacing w:before="200" w:after="80"/>
      </w:pPr>
      <w:r>
        <w:rPr>
          <w:rFonts w:ascii="Arial" w:hAnsi="Arial"/>
          <w:b/>
          <w:color w:val="0D9488"/>
          <w:sz w:val="24"/>
        </w:rPr>
        <w:t>9. Workforce Governance &amp; HR (Hierarchical Level 9)</w:t>
      </w:r>
    </w:p>
    <w:p>
      <w:pPr>
        <w:spacing w:before="0" w:after="120" w:line="276" w:lineRule="auto"/>
      </w:pPr>
      <w:r>
        <w:rPr>
          <w:rFonts w:ascii="Calibri" w:hAnsi="Calibri"/>
          <w:color w:val="334155"/>
          <w:sz w:val="22"/>
        </w:rPr>
        <w:t>Manages employee lifecycle, payroll, and productivity verification. Governs Mawared HR time &amp; attendance (Mawared HR Time &amp; Attendance Portal), Form 6 performance scorecards (Form 6 Employee Performance Scorecard), employee management with mandatory phone numbers and automated 1-click WhatsApp verification (Workforce Identity &amp; Verification Module, Workforce Onboarding &amp; Allocation Module), daily shift schedules (Shift Rotation &amp; Scheduling Module), leave requests, daily wages, and specialized ironing piece-rate payroll (Ironing Technician Piece-Rate Module).</w:t>
      </w:r>
    </w:p>
    <w:p>
      <w:pPr>
        <w:keepNext/>
        <w:spacing w:before="200" w:after="80"/>
      </w:pPr>
      <w:r>
        <w:rPr>
          <w:rFonts w:ascii="Arial" w:hAnsi="Arial"/>
          <w:b/>
          <w:color w:val="0D9488"/>
          <w:sz w:val="24"/>
        </w:rPr>
        <w:t>10. Corporate Treasury &amp; Accounting (Hierarchical Level 10)</w:t>
      </w:r>
    </w:p>
    <w:p>
      <w:pPr>
        <w:spacing w:before="0" w:after="120" w:line="276" w:lineRule="auto"/>
      </w:pPr>
      <w:r>
        <w:rPr>
          <w:rFonts w:ascii="Calibri" w:hAnsi="Calibri"/>
          <w:color w:val="334155"/>
          <w:sz w:val="22"/>
        </w:rPr>
        <w:t>Serves as the central financial treasury and accounting command center. Governs general ledger accounting (General Ledger &amp; Treasury Dashboard), automated double-entry bookkeeping (Double-Entry Bookkeeping Module), journal audit logs (Cryptographic Journal Audit Ledger), accounts receivable collections (Accounts Receivable Collections Module), one-movement cash safe closing (One-Movement Safe Closing Module), corporate budget forecasting (Corporate Budget Forecasting Module), platform subscription billing (SaaS Subscription Billing Module), and institutional pricing settings (Institutional Pricing &amp; Governance Settings).</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sz="4" w:space="0" w:color="CCCCCC"/>
              <w:bottom w:val="none" w:sz="4" w:space="0" w:color="CCCCCC"/>
              <w:left w:val="single" w:sz="24" w:space="0" w:color="0D9488"/>
              <w:right w:val="none" w:sz="4" w:space="0" w:color="CCCCCC"/>
            </w:tcBorders>
          </w:tcPr>
          <w:p>
            <w:pPr>
              <w:spacing w:before="40" w:after="80"/>
            </w:pPr>
            <w:r>
              <w:rPr>
                <w:rFonts w:ascii="Arial" w:hAnsi="Arial"/>
                <w:b/>
                <w:color w:val="0F172A"/>
                <w:sz w:val="22"/>
              </w:rPr>
              <w:t>GERMAN HYBRID GOVERNANCE DUE DILIGENCE SUMMARY</w:t>
            </w:r>
          </w:p>
          <w:p>
            <w:pPr>
              <w:spacing w:before="40" w:after="80"/>
            </w:pPr>
            <w:r>
              <w:rPr>
                <w:rFonts w:ascii="Calibri" w:hAnsi="Calibri"/>
                <w:b w:val="0"/>
                <w:color w:val="334155"/>
                <w:sz w:val="21"/>
              </w:rPr>
              <w:t>• Sovereign RBAC Enforcement:** In Sovereign Role-Based Access Control Module, `hasRole('owner')` or `isSuperAdmin` grants unconditional modification authority across all 10 departments.</w:t>
            </w:r>
          </w:p>
          <w:p>
            <w:pPr>
              <w:spacing w:before="40" w:after="80"/>
            </w:pPr>
            <w:r>
              <w:rPr>
                <w:rFonts w:ascii="Calibri" w:hAnsi="Calibri"/>
                <w:b w:val="0"/>
                <w:color w:val="334155"/>
                <w:sz w:val="21"/>
              </w:rPr>
              <w:t>• Departmental Isolation:** Floor technicians in `Production &amp; Operations` cannot view executive treasury in `Corporate Treasury` or litigation disputes in `Corporate Legal Affairs`, guaranteeing strict data security.</w:t>
            </w:r>
          </w:p>
          <w:p>
            <w:pPr>
              <w:spacing w:before="40" w:after="80"/>
            </w:pPr>
            <w:r>
              <w:rPr>
                <w:rFonts w:ascii="Calibri" w:hAnsi="Calibri"/>
                <w:b w:val="0"/>
                <w:color w:val="334155"/>
                <w:sz w:val="21"/>
              </w:rPr>
              <w:t>• Zero-Emoji Professional UI:** Every department heading, button label, and table header across all 10 screens relies strictly on clean Lucide icons and professional typography.</w:t>
            </w:r>
          </w:p>
        </w:tc>
      </w:tr>
    </w:tbl>
    <w:p>
      <w:pPr>
        <w:spacing w:before="0" w:after="120"/>
      </w:pPr>
    </w:p>
    <w:p>
      <w:pPr>
        <w:spacing w:before="120" w:after="120"/>
      </w:pPr>
    </w:p>
    <w:p>
      <w:pPr>
        <w:keepNext/>
        <w:spacing w:before="360" w:after="160"/>
      </w:pPr>
      <w:r>
        <w:rPr>
          <w:rFonts w:ascii="Arial" w:hAnsi="Arial"/>
          <w:b/>
          <w:color w:val="0F172A"/>
          <w:sz w:val="36"/>
        </w:rPr>
        <w:t>SECTION 4: MARKET OPPORTUNITY &amp; INITIAL VALIDATION VERTICAL</w:t>
      </w:r>
    </w:p>
    <w:p>
      <w:pPr>
        <w:spacing w:before="0" w:after="120" w:line="276" w:lineRule="auto"/>
      </w:pPr>
      <w:r>
        <w:rPr>
          <w:rFonts w:ascii="Calibri" w:hAnsi="Calibri"/>
          <w:b/>
          <w:color w:val="0F172A"/>
          <w:sz w:val="22"/>
        </w:rPr>
        <w:t xml:space="preserve">Macroeconomic Tailwinds &amp; Structural Timing: </w:t>
      </w:r>
      <w:r>
        <w:rPr>
          <w:rFonts w:ascii="Calibri" w:hAnsi="Calibri"/>
          <w:color w:val="334155"/>
          <w:sz w:val="22"/>
        </w:rPr>
        <w:t>Institutional venture evaluation requires a rigorous analysis of market size, structural timing, and macroeconomic tailwinds. MJRH launches into a highly lucrative, structurally underserved commercial market at an exceptional inflection point. Across Egypt, the MENA region, the European Union, and the United States, physical service industries are experiencing intense operational pressure. Rapid minimum wage inflation, escalating utility and energy tariffs, and stringent government mandates for financial formalization and electronic payment adoption (such as Egypt's e-invoice and InstaPay integration requirements) are forcing traditional business owners to abandon manual paper ledgers and fragmented retail tools. Modern commercial operations require cloud-native operating systems capable of automating labor, minimizing waste, and guaranteeing tax compliance.</w:t>
      </w:r>
    </w:p>
    <w:p>
      <w:pPr>
        <w:keepNext/>
        <w:spacing w:before="280" w:after="120"/>
      </w:pPr>
      <w:r>
        <w:rPr>
          <w:rFonts w:ascii="Arial" w:hAnsi="Arial"/>
          <w:b/>
          <w:color w:val="1E293B"/>
          <w:sz w:val="28"/>
        </w:rPr>
        <w:t>4.1 Structural Inefficiencies of Legacy Commercial Laundry Operations</w:t>
      </w:r>
    </w:p>
    <w:p>
      <w:pPr>
        <w:spacing w:before="0" w:after="120" w:line="276" w:lineRule="auto"/>
      </w:pPr>
      <w:r>
        <w:rPr>
          <w:rFonts w:ascii="Calibri" w:hAnsi="Calibri"/>
          <w:b/>
          <w:color w:val="0F172A"/>
          <w:sz w:val="22"/>
        </w:rPr>
        <w:t xml:space="preserve">The Four Chronic Crises of Traditional Laundry Plants: </w:t>
      </w:r>
      <w:r>
        <w:rPr>
          <w:rFonts w:ascii="Calibri" w:hAnsi="Calibri"/>
          <w:color w:val="334155"/>
          <w:sz w:val="22"/>
        </w:rPr>
        <w:t>Extensive empirical due diligence across commercial laundry plants in Egypt and MENA reveals four chronic operational crises that destroy plant profitability and depress industry valuation multiples: First, Untracked Garment Shrinkage and Linen Loss—traditional plants lose between 12% and 18% of processed items annually due to manual sorting errors, missing garment tags, and uncoordinated workstation handoffs, resulting in severe customer churn and expensive liability compensation. Second, Reception Cash Leakage—without automated double-entry ledger synchronization, reception cashiers routinely manipulate manual invoices, misreport courier tips, and delay cash drawer reconciliations, causing an estimated 8% to 14% revenue leakage. Third, Ironing Line Bottlenecks and Technician Fatigue—ironing is the primary labor bottleneck in laundry production; assigning complex, high-effort garments (e.g., silk dresses or 3-piece suits) arbitrarily without algorithmic fatigue balancing leads to severe quality failures and SLA delivery breaches. Fourth, Complete Blindness to Unit Economics—plant owners operate without knowing their true cost per kilogram or piece, making it impossible to optimize commercial pricing or B2B enterprise contracts.</w:t>
      </w:r>
    </w:p>
    <w:p>
      <w:pPr>
        <w:keepNext/>
        <w:spacing w:before="280" w:after="120"/>
      </w:pPr>
      <w:r>
        <w:rPr>
          <w:rFonts w:ascii="Arial" w:hAnsi="Arial"/>
          <w:b/>
          <w:color w:val="1E293B"/>
          <w:sz w:val="28"/>
        </w:rPr>
        <w:t>4.2 Total Addressable Market (TAM), SAM, and SOM Analysis</w:t>
      </w:r>
    </w:p>
    <w:p>
      <w:pPr>
        <w:spacing w:before="0" w:after="120" w:line="276" w:lineRule="auto"/>
      </w:pPr>
      <w:r>
        <w:rPr>
          <w:rFonts w:ascii="Calibri" w:hAnsi="Calibri"/>
          <w:b/>
          <w:color w:val="0F172A"/>
          <w:sz w:val="22"/>
        </w:rPr>
        <w:t xml:space="preserve">The MENA Commercial Laundry Opportunity: </w:t>
      </w:r>
      <w:r>
        <w:rPr>
          <w:rFonts w:ascii="Calibri" w:hAnsi="Calibri"/>
          <w:color w:val="334155"/>
          <w:sz w:val="22"/>
        </w:rPr>
        <w:t>The market opportunity for MJRH is structured across a three-tiered expansion model, initiating within the regional commercial laundry sector and rapidly scaling into global horizontal service industries. In the Middle East &amp; North Africa (MENA) region alone, the commercial, industrial, and retail laundry processing sector represents a massive Total Addressable Market (TAM) exceeding EGP 45 Billion annually, driven by booming hospitality, healthcare, and urban residential sectors in Egypt, Saudi Arabia, and the UAE. Within this universe, the Serviceable Addressable Market (SAM)—comprising multi-branch commercial laundry enterprises, institutional hospitality plants, and premium dry cleaning chains requiring automated SaaS operating systems—is valued at EGP 12 Billion annually. MJRH's 36-month Serviceable Obtainable Market (SOM) targets capturing 15% of the premium MENA commercial laundry sector, representing EGP 1.8 Billion in annual software subscriptions and payment processing volume.</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293B"/>
            <w:tcMar>
              <w:top w:w="120" w:type="dxa"/>
              <w:bottom w:w="120" w:type="dxa"/>
              <w:left w:w="150" w:type="dxa"/>
              <w:right w:w="150" w:type="dxa"/>
            </w:tcMar>
          </w:tcPr>
          <w:p>
            <w:pPr>
              <w:spacing w:before="0" w:after="0"/>
              <w:jc w:val="left"/>
            </w:pPr>
            <w:r>
              <w:rPr>
                <w:rFonts w:ascii="Arial" w:hAnsi="Arial"/>
                <w:b/>
                <w:color w:val="FFFFFF"/>
                <w:sz w:val="20"/>
              </w:rPr>
              <w:t>Market Tier</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Geographic &amp; Industry Scope</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Annual Market Value (EGP)</w:t>
            </w:r>
          </w:p>
        </w:tc>
        <w:tc>
          <w:tcPr>
            <w:tcW w:type="dxa" w:w="2592"/>
            <w:shd w:fill="1E293B"/>
            <w:tcMar>
              <w:top w:w="120" w:type="dxa"/>
              <w:bottom w:w="120" w:type="dxa"/>
              <w:left w:w="150" w:type="dxa"/>
              <w:right w:w="150" w:type="dxa"/>
            </w:tcMar>
          </w:tcPr>
          <w:p>
            <w:pPr>
              <w:spacing w:before="0" w:after="0"/>
              <w:jc w:val="center"/>
            </w:pPr>
            <w:r>
              <w:rPr>
                <w:rFonts w:ascii="Arial" w:hAnsi="Arial"/>
                <w:b/>
                <w:color w:val="FFFFFF"/>
                <w:sz w:val="20"/>
              </w:rPr>
              <w:t>MJRH Strategic Capture Strategy</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Total Addressable Market (TAM)</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MENA Commercial, Industrial &amp; Retail Laundry Processing.</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45,000,000,000+ (EGP 45B)</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Establish brand dominance as the standard OIP for commercial laundry.</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Serviceable Addressable Market (SAM)</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MENA Multi-Branch Laundry Chains &amp; Hospitality Plants.</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12,000,000,000 (EGP 12B)</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Target enterprise B2B onboarding via automated migration tools.</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Serviceable Obtainable Market (SOM)</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15% Capture of Premium MENA Commercial Laundry by 2029.</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1,800,000,000 (EGP 1.8B)</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Direct sales, enterprise deals, and institutional channel partnerships.</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Horizontal Expansion Market (TAM+)</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Global OIP for Physical Service &amp; Industrial Businesses.</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500,000,000,000+ (EGP 500B+)</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Deploy the 6 core IP engines into textiles, food processing &amp; field logistics.</w:t>
            </w:r>
          </w:p>
        </w:tc>
      </w:tr>
    </w:tbl>
    <w:p>
      <w:pPr>
        <w:spacing w:before="0" w:after="120"/>
      </w:pPr>
    </w:p>
    <w:p>
      <w:pPr>
        <w:spacing w:before="120" w:after="120"/>
      </w:pPr>
    </w:p>
    <w:p>
      <w:pPr>
        <w:keepNext/>
        <w:spacing w:before="360" w:after="160"/>
      </w:pPr>
      <w:r>
        <w:rPr>
          <w:rFonts w:ascii="Arial" w:hAnsi="Arial"/>
          <w:b/>
          <w:color w:val="0F172A"/>
          <w:sz w:val="36"/>
        </w:rPr>
        <w:t>SECTION 5: PRODUCT OVERVIEW &amp; WORKSTATION CAPABILITIES</w:t>
      </w:r>
    </w:p>
    <w:p>
      <w:pPr>
        <w:spacing w:before="0" w:after="120" w:line="276" w:lineRule="auto"/>
      </w:pPr>
      <w:r>
        <w:rPr>
          <w:rFonts w:ascii="Calibri" w:hAnsi="Calibri"/>
          <w:b/>
          <w:color w:val="0F172A"/>
          <w:sz w:val="22"/>
        </w:rPr>
        <w:t xml:space="preserve">Industrial-Grade User Experience: </w:t>
      </w:r>
      <w:r>
        <w:rPr>
          <w:rFonts w:ascii="Calibri" w:hAnsi="Calibri"/>
          <w:color w:val="334155"/>
          <w:sz w:val="22"/>
        </w:rPr>
        <w:t>The MJRH product suite is designed around the reality of blue-collar industrial execution. Unlike corporate desktop software that demands complex keyboard navigation, the platform delivers a high-contrast, touch-optimized workstation interface deployed across standard tablets and industrial touch terminals. Every screen is engineered for maximum visual clarity, zero cognitive friction, and strict adherence to the Zero-Emoji Industrial Design standard.</w:t>
      </w:r>
    </w:p>
    <w:p>
      <w:pPr>
        <w:keepNext/>
        <w:spacing w:before="280" w:after="120"/>
      </w:pPr>
      <w:r>
        <w:rPr>
          <w:rFonts w:ascii="Arial" w:hAnsi="Arial"/>
          <w:b/>
          <w:color w:val="1E293B"/>
          <w:sz w:val="28"/>
        </w:rPr>
        <w:t>5.1 Workstation 1-Click Workstation Execution Engine</w:t>
      </w:r>
    </w:p>
    <w:p>
      <w:pPr>
        <w:spacing w:before="0" w:after="120" w:line="276" w:lineRule="auto"/>
      </w:pPr>
      <w:r>
        <w:rPr>
          <w:rFonts w:ascii="Calibri" w:hAnsi="Calibri"/>
          <w:color w:val="334155"/>
          <w:sz w:val="22"/>
        </w:rPr>
        <w:t>Traditional laundry systems require technicians to scan paper barcodes or QR codes for every garment transition. In humid, chemical-heavy laundry plants, barcodes degrade, scanners malfunction, and throughput slows down. MJRH introduces 1-Click Workstation Execution without Barcode Dependency. In the Sorting Workstation Interface, operators utilize 1-Click Fast Track Sorting (`1-Click Fast Track Sorting Protocol`), which algorithmically allocates and routes entire order batches to wet cleaning or steam pressing in milliseconds. In the Packing Workstation Interface, `1-Click Fast Track Packing Protocol` instantly verifies quality compliance and stages orders for delivery without handheld scanning.</w:t>
      </w:r>
    </w:p>
    <w:p>
      <w:pPr>
        <w:keepNext/>
        <w:spacing w:before="280" w:after="120"/>
      </w:pPr>
      <w:r>
        <w:rPr>
          <w:rFonts w:ascii="Arial" w:hAnsi="Arial"/>
          <w:b/>
          <w:color w:val="1E293B"/>
          <w:sz w:val="28"/>
        </w:rPr>
        <w:t>5.2 Sorter Return Exception Vault &amp; Quality Governance</w:t>
      </w:r>
    </w:p>
    <w:p>
      <w:pPr>
        <w:spacing w:before="0" w:after="120" w:line="276" w:lineRule="auto"/>
      </w:pPr>
      <w:r>
        <w:rPr>
          <w:rFonts w:ascii="Calibri" w:hAnsi="Calibri"/>
          <w:color w:val="334155"/>
          <w:sz w:val="22"/>
        </w:rPr>
        <w:t>When a wet cleaning or pressing technician encounters a damaged, stained, or improperly sorted garment, traditional plants rely on verbal notes or scrap paper, causing loss of accountability. MJRH embeds the Structured Discrepancy Exception Vault (`Structured Discrepancy Exception Vault`). Technicians open an interactive modal to log specific discrepancy reasons (e.g., permanent oil stain, color bleeding, torn seam), instantly quarantining the item in the APDO state machine, alerting customer care, and adjusting invoice totals without halting plant flow.</w:t>
      </w:r>
    </w:p>
    <w:p>
      <w:pPr>
        <w:keepNext/>
        <w:spacing w:before="280" w:after="120"/>
      </w:pPr>
      <w:r>
        <w:rPr>
          <w:rFonts w:ascii="Arial" w:hAnsi="Arial"/>
          <w:b/>
          <w:color w:val="1E293B"/>
          <w:sz w:val="28"/>
        </w:rPr>
        <w:t>5.3 Omnipresent Client Preference Banner</w:t>
      </w:r>
    </w:p>
    <w:p>
      <w:pPr>
        <w:spacing w:before="0" w:after="120" w:line="276" w:lineRule="auto"/>
      </w:pPr>
      <w:r>
        <w:rPr>
          <w:rFonts w:ascii="Calibri" w:hAnsi="Calibri"/>
          <w:color w:val="334155"/>
          <w:sz w:val="22"/>
        </w:rPr>
        <w:t>VIP residential clients and institutional hotel contracts mandate specific processing rules (e.g., hypoallergenic detergent, mandatory hanging packaging, custom starching). To ensure zero processing errors, MJRH embeds the Omnipresent Client Preference Banner (`Omnipresent Client Preference Banner`) across all 10 rotational workstation screens. Whether a piece is at washing, pressing, or packing, technician screens prominently display persistent VIP preferences in high-contrast typography.</w:t>
      </w:r>
    </w:p>
    <w:p>
      <w:pPr>
        <w:keepNext/>
        <w:spacing w:before="280" w:after="120"/>
      </w:pPr>
      <w:r>
        <w:rPr>
          <w:rFonts w:ascii="Arial" w:hAnsi="Arial"/>
          <w:b/>
          <w:color w:val="1E293B"/>
          <w:sz w:val="28"/>
        </w:rPr>
        <w:t>5.4 Zero-Emoji Industrial Typography &amp; Visual Design</w:t>
      </w:r>
    </w:p>
    <w:p>
      <w:pPr>
        <w:spacing w:before="0" w:after="120" w:line="276" w:lineRule="auto"/>
      </w:pPr>
      <w:r>
        <w:rPr>
          <w:rFonts w:ascii="Calibri" w:hAnsi="Calibri"/>
          <w:color w:val="334155"/>
          <w:sz w:val="22"/>
        </w:rPr>
        <w:t>In strict accordance with the founder mandate ('Commit to the platform design code and eliminate non-professional emojis'), the entire UI relies exclusively on clean Lucide SVG icons, professional Arabic/English typography, and high-contrast borders. Button labels, table headers, and status badges are 100% free of informal emoticons, reinforcing an institutional corporate identity.</w:t>
      </w:r>
    </w:p>
    <w:p>
      <w:pPr>
        <w:keepNext/>
        <w:spacing w:before="360" w:after="160"/>
      </w:pPr>
      <w:r>
        <w:rPr>
          <w:rFonts w:ascii="Arial" w:hAnsi="Arial"/>
          <w:b/>
          <w:color w:val="0F172A"/>
          <w:sz w:val="36"/>
        </w:rPr>
        <w:t>SECTION 6: TECHNICAL ARCHITECTURE &amp; DATA FLOW</w:t>
      </w:r>
    </w:p>
    <w:p>
      <w:pPr>
        <w:spacing w:before="0" w:after="120" w:line="276" w:lineRule="auto"/>
      </w:pPr>
      <w:r>
        <w:rPr>
          <w:rFonts w:ascii="Calibri" w:hAnsi="Calibri"/>
          <w:b/>
          <w:color w:val="0F172A"/>
          <w:sz w:val="22"/>
        </w:rPr>
        <w:t xml:space="preserve">Architectural Integrity &amp; Scalability: </w:t>
      </w:r>
      <w:r>
        <w:rPr>
          <w:rFonts w:ascii="Calibri" w:hAnsi="Calibri"/>
          <w:color w:val="334155"/>
          <w:sz w:val="22"/>
        </w:rPr>
        <w:t>To satisfy technical due diligence by enterprise software architects, this section articulates the end-to-end system architecture, request data flows, database isolation models, and serverless edge infrastructure governing MJRH.</w:t>
      </w:r>
    </w:p>
    <w:p>
      <w:pPr>
        <w:keepNext/>
        <w:spacing w:before="280" w:after="120"/>
      </w:pPr>
      <w:r>
        <w:rPr>
          <w:rFonts w:ascii="Arial" w:hAnsi="Arial"/>
          <w:b/>
          <w:color w:val="1E293B"/>
          <w:sz w:val="28"/>
        </w:rPr>
        <w:t>6.1 End-to-End System Architecture Diagram</w:t>
      </w:r>
    </w:p>
    <w:p>
      <w:pPr>
        <w:spacing w:before="0" w:after="120" w:line="276" w:lineRule="auto"/>
      </w:pPr>
      <w:r>
        <w:rPr>
          <w:rFonts w:ascii="Calibri" w:hAnsi="Calibri"/>
          <w:color w:val="334155"/>
          <w:sz w:val="22"/>
        </w:rPr>
        <w:t>+-----------------------------------------------------------------------------------+</w:t>
      </w:r>
    </w:p>
    <w:tbl>
      <w:tblPr>
        <w:tblW w:type="auto" w:w="0"/>
        <w:jc w:val="center"/>
        <w:tblLayout w:type="fixed"/>
        <w:tblLook w:firstColumn="1" w:firstRow="1" w:lastColumn="0" w:lastRow="0" w:noHBand="0" w:noVBand="1" w:val="04A0"/>
      </w:tblPr>
      <w:tblGrid>
        <w:gridCol w:w="9360"/>
      </w:tblGrid>
      <w:tr>
        <w:tc>
          <w:tcPr>
            <w:tcW w:type="dxa" w:w="9360"/>
            <w:shd w:fill="1E293B"/>
            <w:tcMar>
              <w:top w:w="120" w:type="dxa"/>
              <w:bottom w:w="120" w:type="dxa"/>
              <w:left w:w="150" w:type="dxa"/>
              <w:right w:w="150" w:type="dxa"/>
            </w:tcMar>
          </w:tcPr>
          <w:p>
            <w:pPr>
              <w:spacing w:before="0" w:after="0"/>
              <w:jc w:val="left"/>
            </w:pPr>
            <w:r>
              <w:rPr>
                <w:rFonts w:ascii="Arial" w:hAnsi="Arial"/>
                <w:b/>
                <w:color w:val="FFFFFF"/>
                <w:sz w:val="20"/>
              </w:rPr>
              <w:t>CLIENT TIER: 10 SYNCHRONIZED WORKSTATIONS</w:t>
            </w:r>
          </w:p>
        </w:tc>
      </w:tr>
      <w:tr>
        <w:tc>
          <w:tcPr>
            <w:tcW w:type="dxa" w:w="93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[Ironing / QC]    [Packing Tech] [Courier GPS Dock]    [Client Tracking Portal]</w:t>
            </w:r>
          </w:p>
        </w:tc>
      </w:tr>
    </w:tbl>
    <w:p>
      <w:pPr>
        <w:spacing w:before="0" w:after="120"/>
      </w:pPr>
    </w:p>
    <w:p>
      <w:pPr>
        <w:spacing w:before="0" w:after="120" w:line="276" w:lineRule="auto"/>
      </w:pPr>
      <w:r>
        <w:rPr>
          <w:rFonts w:ascii="Calibri" w:hAnsi="Calibri"/>
          <w:color w:val="334155"/>
          <w:sz w:val="22"/>
        </w:rPr>
        <w:t>+-----------------------------------------+-----------------------------------------+</w:t>
      </w:r>
    </w:p>
    <w:tbl>
      <w:tblPr>
        <w:tblW w:type="auto" w:w="0"/>
        <w:jc w:val="center"/>
        <w:tblLayout w:type="fixed"/>
        <w:tblLook w:firstColumn="1" w:firstRow="1" w:lastColumn="0" w:lastRow="0" w:noHBand="0" w:noVBand="1" w:val="04A0"/>
      </w:tblPr>
      <w:tblGrid>
  </w:tblGrid>
      <w:tr>
  </w:tr>
    </w:tbl>
    <w:p>
      <w:pPr>
        <w:spacing w:before="0" w:after="120"/>
      </w:pPr>
    </w:p>
    <w:p>
      <w:pPr>
        <w:spacing w:before="0" w:after="120" w:line="276" w:lineRule="auto"/>
      </w:pPr>
      <w:r>
        <w:rPr>
          <w:rFonts w:ascii="Calibri" w:hAnsi="Calibri"/>
          <w:color w:val="334155"/>
          <w:sz w:val="22"/>
        </w:rPr>
        <w:t>v</w:t>
      </w:r>
    </w:p>
    <w:p>
      <w:pPr>
        <w:spacing w:before="0" w:after="120" w:line="276" w:lineRule="auto"/>
      </w:pPr>
      <w:r>
        <w:rPr>
          <w:rFonts w:ascii="Calibri" w:hAnsi="Calibri"/>
          <w:color w:val="334155"/>
          <w:sz w:val="22"/>
        </w:rPr>
        <w:t>+-----------------------------------------------------------------------------------+</w:t>
      </w:r>
    </w:p>
    <w:tbl>
      <w:tblPr>
        <w:tblW w:type="auto" w:w="0"/>
        <w:jc w:val="center"/>
        <w:tblLayout w:type="fixed"/>
        <w:tblLook w:firstColumn="1" w:firstRow="1" w:lastColumn="0" w:lastRow="0" w:noHBand="0" w:noVBand="1" w:val="04A0"/>
      </w:tblPr>
      <w:tblGrid>
        <w:gridCol w:w="9360"/>
      </w:tblGrid>
      <w:tr>
        <w:tc>
          <w:tcPr>
            <w:tcW w:type="dxa" w:w="9360"/>
            <w:shd w:fill="1E293B"/>
            <w:tcMar>
              <w:top w:w="120" w:type="dxa"/>
              <w:bottom w:w="120" w:type="dxa"/>
              <w:left w:w="150" w:type="dxa"/>
              <w:right w:w="150" w:type="dxa"/>
            </w:tcMar>
          </w:tcPr>
          <w:p>
            <w:pPr>
              <w:spacing w:before="0" w:after="0"/>
              <w:jc w:val="left"/>
            </w:pPr>
            <w:r>
              <w:rPr>
                <w:rFonts w:ascii="Arial" w:hAnsi="Arial"/>
                <w:b/>
                <w:color w:val="FFFFFF"/>
                <w:sz w:val="20"/>
              </w:rPr>
              <w:t>EDGE ROUTING &amp; ASSET DELIVERY TIER (Vercel Edge CDN)</w:t>
            </w:r>
          </w:p>
        </w:tc>
      </w:tr>
      <w:tr>
        <w:tc>
          <w:tcPr>
            <w:tcW w:type="dxa" w:w="93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 TanStack Query (React Query Asynchronous State Caching &amp; Optimistic UI)</w:t>
            </w:r>
          </w:p>
        </w:tc>
      </w:tr>
      <w:tr>
        <w:tc>
          <w:tcPr>
            <w:tcW w:type="dxa" w:w="93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 Tailwind CSS 3 &amp; Radix UI Headless Accessible Industrial Components</w:t>
            </w:r>
          </w:p>
        </w:tc>
      </w:tr>
    </w:tbl>
    <w:p>
      <w:pPr>
        <w:spacing w:before="0" w:after="120"/>
      </w:pPr>
    </w:p>
    <w:p>
      <w:pPr>
        <w:spacing w:before="0" w:after="120" w:line="276" w:lineRule="auto"/>
      </w:pPr>
      <w:r>
        <w:rPr>
          <w:rFonts w:ascii="Calibri" w:hAnsi="Calibri"/>
          <w:color w:val="334155"/>
          <w:sz w:val="22"/>
        </w:rPr>
        <w:t>+-----------------------------------------+-----------------------------------------+</w:t>
      </w:r>
    </w:p>
    <w:tbl>
      <w:tblPr>
        <w:tblW w:type="auto" w:w="0"/>
        <w:jc w:val="center"/>
        <w:tblLayout w:type="fixed"/>
        <w:tblLook w:firstColumn="1" w:firstRow="1" w:lastColumn="0" w:lastRow="0" w:noHBand="0" w:noVBand="1" w:val="04A0"/>
      </w:tblPr>
      <w:tblGrid>
  </w:tblGrid>
      <w:tr>
  </w:tr>
    </w:tbl>
    <w:p>
      <w:pPr>
        <w:spacing w:before="0" w:after="120"/>
      </w:pPr>
    </w:p>
    <w:p>
      <w:pPr>
        <w:spacing w:before="0" w:after="120" w:line="276" w:lineRule="auto"/>
      </w:pPr>
      <w:r>
        <w:rPr>
          <w:rFonts w:ascii="Calibri" w:hAnsi="Calibri"/>
          <w:color w:val="334155"/>
          <w:sz w:val="22"/>
        </w:rPr>
        <w:t>v</w:t>
      </w:r>
    </w:p>
    <w:p>
      <w:pPr>
        <w:spacing w:before="0" w:after="120" w:line="276" w:lineRule="auto"/>
      </w:pPr>
      <w:r>
        <w:rPr>
          <w:rFonts w:ascii="Calibri" w:hAnsi="Calibri"/>
          <w:color w:val="334155"/>
          <w:sz w:val="22"/>
        </w:rPr>
        <w:t>+-----------------------------------------------------------------------------------+</w:t>
      </w:r>
    </w:p>
    <w:tbl>
      <w:tblPr>
        <w:tblW w:type="auto" w:w="0"/>
        <w:jc w:val="center"/>
        <w:tblLayout w:type="fixed"/>
        <w:tblLook w:firstColumn="1" w:firstRow="1" w:lastColumn="0" w:lastRow="0" w:noHBand="0" w:noVBand="1" w:val="04A0"/>
      </w:tblPr>
      <w:tblGrid>
        <w:gridCol w:w="9360"/>
      </w:tblGrid>
      <w:tr>
        <w:tc>
          <w:tcPr>
            <w:tcW w:type="dxa" w:w="9360"/>
            <w:shd w:fill="1E293B"/>
            <w:tcMar>
              <w:top w:w="120" w:type="dxa"/>
              <w:bottom w:w="120" w:type="dxa"/>
              <w:left w:w="150" w:type="dxa"/>
              <w:right w:w="150" w:type="dxa"/>
            </w:tcMar>
          </w:tcPr>
          <w:p>
            <w:pPr>
              <w:spacing w:before="0" w:after="0"/>
              <w:jc w:val="left"/>
            </w:pPr>
            <w:r>
              <w:rPr>
                <w:rFonts w:ascii="Arial" w:hAnsi="Arial"/>
                <w:b/>
                <w:color w:val="FFFFFF"/>
                <w:sz w:val="20"/>
              </w:rPr>
              <w:t>BACKEND KERNEL &amp; STORAGE TIER (Supabase Cloud)</w:t>
            </w:r>
          </w:p>
        </w:tc>
      </w:tr>
      <w:tr>
        <w:tc>
          <w:tcPr>
            <w:tcW w:type="dxa" w:w="93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- 6 Proprietary IP Engines (APDO, Workstation Execution Automation, Surge, Ledger, RBAC, Telemetry)</w:t>
            </w:r>
          </w:p>
        </w:tc>
      </w:tr>
      <w:tr>
        <w:tc>
          <w:tcPr>
            <w:tcW w:type="dxa" w:w="93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 Encrypted Storage Repositories (Legal Vault, Marketing Assets, Payment Proofs)</w:t>
            </w:r>
          </w:p>
        </w:tc>
      </w:tr>
      <w:tr>
        <w:tc>
          <w:tcPr>
            <w:tcW w:type="dxa" w:w="93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 Serverless Edge Functions (Automated WhatsApp Messaging &amp; Payment Webhooks)</w:t>
            </w:r>
          </w:p>
        </w:tc>
      </w:tr>
    </w:tbl>
    <w:p>
      <w:pPr>
        <w:spacing w:before="0" w:after="120"/>
      </w:pPr>
    </w:p>
    <w:p>
      <w:pPr>
        <w:spacing w:before="0" w:after="120" w:line="276" w:lineRule="auto"/>
      </w:pPr>
      <w:r>
        <w:rPr>
          <w:rFonts w:ascii="Calibri" w:hAnsi="Calibri"/>
          <w:color w:val="334155"/>
          <w:sz w:val="22"/>
        </w:rPr>
        <w:t>+-----------------------------------------------------------------------------------+</w:t>
      </w:r>
    </w:p>
    <w:p>
      <w:pPr>
        <w:keepNext/>
        <w:spacing w:before="280" w:after="120"/>
      </w:pPr>
      <w:r>
        <w:rPr>
          <w:rFonts w:ascii="Arial" w:hAnsi="Arial"/>
          <w:b/>
          <w:color w:val="1E293B"/>
          <w:sz w:val="28"/>
        </w:rPr>
        <w:t>6.2 Request Flow &amp; APDO Transaction Lifecycle</w:t>
      </w:r>
    </w:p>
    <w:p>
      <w:pPr>
        <w:spacing w:before="0" w:after="120" w:line="276" w:lineRule="auto"/>
      </w:pPr>
      <w:r>
        <w:rPr>
          <w:rFonts w:ascii="Calibri" w:hAnsi="Calibri"/>
          <w:b/>
          <w:color w:val="0F172A"/>
          <w:sz w:val="22"/>
        </w:rPr>
        <w:t xml:space="preserve">5-Step Cryptographic Execution Pipeline: </w:t>
      </w:r>
      <w:r>
        <w:rPr>
          <w:rFonts w:ascii="Calibri" w:hAnsi="Calibri"/>
          <w:color w:val="334155"/>
          <w:sz w:val="22"/>
        </w:rPr>
        <w:t>When an operational transaction occurs—such as a reception cashier admitting order #ORD-2026-995 or a sorting technician executing 1-Click Fast Track Sorting—the request follows a rigorous 5-step cryptographic pipeline: (1) Request Authentication: The client transmits a JWT session token to the Supabase endpoint; (2) Kernel RLS Evaluation: PostgreSQL Row-Level Security policies intercept the query, verifying that the user's `tenant_id` matches the target records; (3) RBAC Role Verification: The kernel checks if the user possesses Sovereign Owner Authority or the specific workstation role required; (4) Atomic State Mutation: The APDO state machine updates Piece-Level Garment Tracking Schema stage progress and writes an immutable journal to APDO Cryptographic Audit Schema; and (5) Real-Time Synchronization: Supabase Realtime WebSockets push state changes instantly to all connected station tablets in sub-50 milliseconds.</w:t>
      </w:r>
    </w:p>
    <w:p>
      <w:pPr>
        <w:keepNext/>
        <w:spacing w:before="280" w:after="120"/>
      </w:pPr>
      <w:r>
        <w:rPr>
          <w:rFonts w:ascii="Arial" w:hAnsi="Arial"/>
          <w:b/>
          <w:color w:val="1E293B"/>
          <w:sz w:val="28"/>
        </w:rPr>
        <w:t>6.3 Multi-Tenant Database Isolation Model (RLS)</w:t>
      </w:r>
    </w:p>
    <w:p>
      <w:pPr>
        <w:spacing w:before="0" w:after="120" w:line="276" w:lineRule="auto"/>
      </w:pPr>
      <w:r>
        <w:rPr>
          <w:rFonts w:ascii="Calibri" w:hAnsi="Calibri"/>
          <w:b/>
          <w:color w:val="0F172A"/>
          <w:sz w:val="22"/>
        </w:rPr>
        <w:t xml:space="preserve">Kernel-Level Multi-Tenant Security: </w:t>
      </w:r>
      <w:r>
        <w:rPr>
          <w:rFonts w:ascii="Calibri" w:hAnsi="Calibri"/>
          <w:color w:val="334155"/>
          <w:sz w:val="22"/>
        </w:rPr>
        <w:t>To guarantee zero cross-tenant data leakage across multi-branch enterprise clients, MJRH rejects application-level tenant filtering in favor of kernel-level PostgreSQL Row-Level Security (RLS). Every relational table (`orders`, Piece-Level Garment Tracking Schema, `customers`, `Double-Entry Accounting Journal Schema`, `Corporate Legal Contract Schema`) enforces a mandatory `tenant_id` foreign key. RLS policies at the database engine level ensure that even if an application bug occurred, a query executed by Branch A could never read or modify records belonging to Branch B.</w:t>
      </w:r>
    </w:p>
    <w:p>
      <w:pPr>
        <w:keepNext/>
        <w:spacing w:before="360" w:after="160"/>
      </w:pPr>
      <w:r>
        <w:rPr>
          <w:rFonts w:ascii="Arial" w:hAnsi="Arial"/>
          <w:b/>
          <w:color w:val="0F172A"/>
          <w:sz w:val="36"/>
        </w:rPr>
        <w:t>SECTION 7: COMPETITIVE ADVANTAGE &amp; CATEGORY CREATION</w:t>
      </w:r>
    </w:p>
    <w:p>
      <w:pPr>
        <w:spacing w:before="0" w:after="120" w:line="276" w:lineRule="auto"/>
      </w:pPr>
      <w:r>
        <w:rPr>
          <w:rFonts w:ascii="Calibri" w:hAnsi="Calibri"/>
          <w:b/>
          <w:color w:val="0F172A"/>
          <w:sz w:val="22"/>
        </w:rPr>
        <w:t xml:space="preserve">Architectural Defensibility &amp; Moat Analysis: </w:t>
      </w:r>
      <w:r>
        <w:rPr>
          <w:rFonts w:ascii="Calibri" w:hAnsi="Calibri"/>
          <w:color w:val="334155"/>
          <w:sz w:val="22"/>
        </w:rPr>
        <w:t>MJRH's competitive advantage is rooted in architectural differentiation and category creation. By establishing the Operational Intelligence Platform (OIP) category, MJRH decouples its valuation from commodity SaaS tools and establishes an defensible architectural moat against legacy horizontal ERPs and basic retail POS systems. The platform's defensibility relies on structural barriers to entry: deep shop-floor workstation embedding, real-time double-entry accounting synchronization, and zero scanning hardware dependency.</w:t>
      </w:r>
    </w:p>
    <w:p>
      <w:pPr>
        <w:keepNext/>
        <w:spacing w:before="280" w:after="120"/>
      </w:pPr>
      <w:r>
        <w:rPr>
          <w:rFonts w:ascii="Arial" w:hAnsi="Arial"/>
          <w:b/>
          <w:color w:val="1E293B"/>
          <w:sz w:val="28"/>
        </w:rPr>
        <w:t>7.1 Comparative Evaluation Against Legacy Software Paradigms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293B"/>
            <w:tcMar>
              <w:top w:w="120" w:type="dxa"/>
              <w:bottom w:w="120" w:type="dxa"/>
              <w:left w:w="150" w:type="dxa"/>
              <w:right w:w="150" w:type="dxa"/>
            </w:tcMar>
          </w:tcPr>
          <w:p>
            <w:pPr>
              <w:spacing w:before="0" w:after="0"/>
              <w:jc w:val="left"/>
            </w:pPr>
            <w:r>
              <w:rPr>
                <w:rFonts w:ascii="Arial" w:hAnsi="Arial"/>
                <w:b/>
                <w:color w:val="FFFFFF"/>
                <w:sz w:val="20"/>
              </w:rPr>
              <w:t>Evaluation Dimension</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Legacy Horizontal ERPs</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Vertical Retail POS &amp; Laundry Tools</w:t>
            </w:r>
          </w:p>
        </w:tc>
        <w:tc>
          <w:tcPr>
            <w:tcW w:type="dxa" w:w="2592"/>
            <w:shd w:fill="1E293B"/>
            <w:tcMar>
              <w:top w:w="120" w:type="dxa"/>
              <w:bottom w:w="120" w:type="dxa"/>
              <w:left w:w="150" w:type="dxa"/>
              <w:right w:w="150" w:type="dxa"/>
            </w:tcMar>
          </w:tcPr>
          <w:p>
            <w:pPr>
              <w:spacing w:before="0" w:after="0"/>
              <w:jc w:val="center"/>
            </w:pPr>
            <w:r>
              <w:rPr>
                <w:rFonts w:ascii="Arial" w:hAnsi="Arial"/>
                <w:b/>
                <w:color w:val="FFFFFF"/>
                <w:sz w:val="20"/>
              </w:rPr>
              <w:t>MJRH OIP (Operational Intelligence Platform)</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Primary Architectural Focus</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Corporate Finance &amp; Back-Office Accounting.</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Retail Reception Desk &amp; Cash Collection.</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End-to-End Operational Execution &amp; Governance.</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Workstation User Experience</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Complex desktop forms; unsuited for floor techs.</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Basic cashier touch screen; zero plant visibility.</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1-Click 1-Click Workstation Execution across 10 stations.</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Financial Ledger Integration</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Periodic batch posting; disconnected from ops.</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No double-entry ledger; exports basic sales CSV.</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Real-time automated double-entry ledger per touch.</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Logistics &amp; Fleet Dispatch</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Requires third-party TMS integration &amp; licensing.</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Basic manual address text; no GPS routing.</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Native algorithmic GPS auto-dispatch &amp; driver telemetry.</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Quality Control &amp; Exception Vault</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Manual discrepancy notes; no quarantine routing.</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No QC tracking; customer complaints untracked.</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APDO Sorter Return vault with structured exception logs.</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Scalability &amp; Expansion</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Highly scalable but cost-prohibitive (&gt;EGP 2M set-up).</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Unscalable beyond single retail shops.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Cloud-native multi-tenant SaaS; horizontal expansion ready.</w:t>
            </w:r>
          </w:p>
        </w:tc>
      </w:tr>
    </w:tbl>
    <w:p>
      <w:pPr>
        <w:spacing w:before="0" w:after="120"/>
      </w:pPr>
    </w:p>
    <w:p>
      <w:pPr>
        <w:spacing w:before="120" w:after="120"/>
      </w:pPr>
    </w:p>
    <w:p>
      <w:pPr>
        <w:keepNext/>
        <w:spacing w:before="360" w:after="160"/>
      </w:pPr>
      <w:r>
        <w:rPr>
          <w:rFonts w:ascii="Arial" w:hAnsi="Arial"/>
          <w:b/>
          <w:color w:val="0F172A"/>
          <w:sz w:val="36"/>
        </w:rPr>
        <w:t>SECTION 8: INTELLECTUAL PROPERTY &amp; ALGORITHMIC ENGINES</w:t>
      </w:r>
    </w:p>
    <w:p>
      <w:pPr>
        <w:spacing w:before="0" w:after="120" w:line="276" w:lineRule="auto"/>
      </w:pPr>
      <w:r>
        <w:rPr>
          <w:rFonts w:ascii="Calibri" w:hAnsi="Calibri"/>
          <w:b/>
          <w:color w:val="0F172A"/>
          <w:sz w:val="22"/>
        </w:rPr>
        <w:t xml:space="preserve">The EGP 6.00 Million Algorithmic Asset Base: </w:t>
      </w:r>
      <w:r>
        <w:rPr>
          <w:rFonts w:ascii="Calibri" w:hAnsi="Calibri"/>
          <w:color w:val="334155"/>
          <w:sz w:val="22"/>
        </w:rPr>
        <w:t>An independent valuation of MJRH's 6 proprietary algorithmic engines establishes an intangible asset value of EGP 6,000,000. These engines operate autonomously within the database kernel and React runtime, solving complex physical operational bottlenecks:</w:t>
      </w:r>
    </w:p>
    <w:p>
      <w:pPr>
        <w:keepNext/>
        <w:spacing w:before="280" w:after="120"/>
      </w:pPr>
      <w:r>
        <w:rPr>
          <w:rFonts w:ascii="Arial" w:hAnsi="Arial"/>
          <w:b/>
          <w:color w:val="1E293B"/>
          <w:sz w:val="28"/>
        </w:rPr>
        <w:t>8.1 APDO Operational Governance Engine (Appraised Value: EGP 1,200,000)</w:t>
      </w:r>
    </w:p>
    <w:p>
      <w:pPr>
        <w:spacing w:before="0" w:after="120" w:line="276" w:lineRule="auto"/>
      </w:pPr>
      <w:r>
        <w:rPr>
          <w:rFonts w:ascii="Calibri" w:hAnsi="Calibri"/>
          <w:color w:val="334155"/>
          <w:sz w:val="22"/>
        </w:rPr>
        <w:t>The APDO engine (`APDO State Machine Kernel Rules`) enforces a 4-stage state machine (Actor -&gt; Process -&gt; Data -&gt; Output) across all plant transactions. It guarantees that physical garment progress cannot be updated without cryptographic RBAC authentication and balanced audit logging in `APDO Cryptographic Audit Schema`.</w:t>
      </w:r>
    </w:p>
    <w:p>
      <w:pPr>
        <w:keepNext/>
        <w:spacing w:before="280" w:after="120"/>
      </w:pPr>
      <w:r>
        <w:rPr>
          <w:rFonts w:ascii="Arial" w:hAnsi="Arial"/>
          <w:b/>
          <w:color w:val="1E293B"/>
          <w:sz w:val="28"/>
        </w:rPr>
        <w:t>8.2 1-Click Workstation Execution Engine (Appraised Value: EGP 1,100,000)</w:t>
      </w:r>
    </w:p>
    <w:p>
      <w:pPr>
        <w:spacing w:before="0" w:after="120" w:line="276" w:lineRule="auto"/>
      </w:pPr>
      <w:r>
        <w:rPr>
          <w:rFonts w:ascii="Calibri" w:hAnsi="Calibri"/>
          <w:color w:val="334155"/>
          <w:sz w:val="22"/>
        </w:rPr>
        <w:t>Eliminates barcode scanning hardware dependency. Floor operators execute 1-Click Fast Track Sorting (`1-Click Fast Track Sorting Protocol`) and Packing (`1-Click Fast Track Packing Protocol`), accelerating workstation throughput by 45% while algorithmic GPS auto-dispatch routes couriers via `Interactive Fleet Telemetry Module`.</w:t>
      </w:r>
    </w:p>
    <w:p>
      <w:pPr>
        <w:keepNext/>
        <w:spacing w:before="280" w:after="120"/>
      </w:pPr>
      <w:r>
        <w:rPr>
          <w:rFonts w:ascii="Arial" w:hAnsi="Arial"/>
          <w:b/>
          <w:color w:val="1E293B"/>
          <w:sz w:val="28"/>
        </w:rPr>
        <w:t>8.3 Dynamic Surge Scheduling Engine (Appraised Value: EGP 1,000,000)</w:t>
      </w:r>
    </w:p>
    <w:p>
      <w:pPr>
        <w:spacing w:before="0" w:after="120" w:line="276" w:lineRule="auto"/>
      </w:pPr>
      <w:r>
        <w:rPr>
          <w:rFonts w:ascii="Calibri" w:hAnsi="Calibri"/>
          <w:color w:val="334155"/>
          <w:sz w:val="22"/>
        </w:rPr>
        <w:t>Governed by `Dynamic Surge Scheduling Engine`, this engine continuously evaluates plant capacity against live order intake. During peak hours (10:00 AM–12:00 PM), it dynamically caps booking slots, shifts booking windows, and triggers Express Surcharge pricing to regulate intake and eliminate SLA delivery breaches.</w:t>
      </w:r>
    </w:p>
    <w:p>
      <w:pPr>
        <w:keepNext/>
        <w:spacing w:before="280" w:after="120"/>
      </w:pPr>
      <w:r>
        <w:rPr>
          <w:rFonts w:ascii="Arial" w:hAnsi="Arial"/>
          <w:b/>
          <w:color w:val="1E293B"/>
          <w:sz w:val="28"/>
        </w:rPr>
        <w:t>8.4 Double-Entry Financial Ledger &amp; Safe Closing Engine (Appraised Value: EGP 1,000,000)</w:t>
      </w:r>
    </w:p>
    <w:p>
      <w:pPr>
        <w:spacing w:before="0" w:after="120" w:line="276" w:lineRule="auto"/>
      </w:pPr>
      <w:r>
        <w:rPr>
          <w:rFonts w:ascii="Calibri" w:hAnsi="Calibri"/>
          <w:color w:val="334155"/>
          <w:sz w:val="22"/>
        </w:rPr>
        <w:t>Automates real-time double-entry bookkeeping (`Double-Entry Accounting Journal Schema` and `Financial Ledger Transaction Schema`). Every operational event generates balanced debit/credit entries. Incorporates automated Tip Liability Separation for InstaPay digital transfers and enforces a 1-Movement Safe Closing protocol (`One-Movement Safe Closing Module`).</w:t>
      </w:r>
    </w:p>
    <w:p>
      <w:pPr>
        <w:keepNext/>
        <w:spacing w:before="280" w:after="120"/>
      </w:pPr>
      <w:r>
        <w:rPr>
          <w:rFonts w:ascii="Arial" w:hAnsi="Arial"/>
          <w:b/>
          <w:color w:val="1E293B"/>
          <w:sz w:val="28"/>
        </w:rPr>
        <w:t>8.5 Sovereign Role-Based Access Control Architecture (Appraised Value: EGP 900,000)</w:t>
      </w:r>
    </w:p>
    <w:p>
      <w:pPr>
        <w:spacing w:before="0" w:after="120" w:line="276" w:lineRule="auto"/>
      </w:pPr>
      <w:r>
        <w:rPr>
          <w:rFonts w:ascii="Calibri" w:hAnsi="Calibri"/>
          <w:color w:val="334155"/>
          <w:sz w:val="22"/>
        </w:rPr>
        <w:t>Defined across 15 professional roles in `Enterprise Role Taxonomy &amp; RBAC Matrix` and enforced via `Sovereign Role-Based Access Control Module`, this engine grants absolute modification authority to Sovereign Owners (`owner` or `isSuperAdmin`) while isolating workstation technicians strictly to their assigned rotational screens.</w:t>
      </w:r>
    </w:p>
    <w:p>
      <w:pPr>
        <w:keepNext/>
        <w:spacing w:before="280" w:after="120"/>
      </w:pPr>
      <w:r>
        <w:rPr>
          <w:rFonts w:ascii="Arial" w:hAnsi="Arial"/>
          <w:b/>
          <w:color w:val="1E293B"/>
          <w:sz w:val="28"/>
        </w:rPr>
        <w:t>8.6 Autonomous Telemetry &amp; Self-Healing Engine (Appraised Value: EGP 800,000)</w:t>
      </w:r>
    </w:p>
    <w:p>
      <w:pPr>
        <w:spacing w:before="0" w:after="120" w:line="276" w:lineRule="auto"/>
      </w:pPr>
      <w:r>
        <w:rPr>
          <w:rFonts w:ascii="Calibri" w:hAnsi="Calibri"/>
          <w:color w:val="334155"/>
          <w:sz w:val="22"/>
        </w:rPr>
        <w:t>Operating via `Autonomous Telemetry Engine` and `Operational Discrepancy Dashboard`, this engine monitors 28 system health indicators, logs structured exceptions, and executes automated self-healing routines (such as ironing workload rebalancing `Automated Ironing Load Rebalancing Protocol` and exception sanitization `Client Exception Sanitization Protocol`).</w:t>
      </w:r>
    </w:p>
    <w:p>
      <w:pPr>
        <w:keepNext/>
        <w:spacing w:before="360" w:after="160"/>
      </w:pPr>
      <w:r>
        <w:rPr>
          <w:rFonts w:ascii="Arial" w:hAnsi="Arial"/>
          <w:b/>
          <w:color w:val="0F172A"/>
          <w:sz w:val="36"/>
        </w:rPr>
        <w:t>SECTION 9: COMMERCIAL STRATEGY &amp; GO-TO-MARKET (GTM)</w:t>
      </w:r>
    </w:p>
    <w:p>
      <w:pPr>
        <w:spacing w:before="0" w:after="120" w:line="276" w:lineRule="auto"/>
      </w:pPr>
      <w:r>
        <w:rPr>
          <w:rFonts w:ascii="Calibri" w:hAnsi="Calibri"/>
          <w:b/>
          <w:color w:val="0F172A"/>
          <w:sz w:val="22"/>
        </w:rPr>
        <w:t xml:space="preserve">B2B Enterprise GTM Execution: </w:t>
      </w:r>
      <w:r>
        <w:rPr>
          <w:rFonts w:ascii="Calibri" w:hAnsi="Calibri"/>
          <w:color w:val="334155"/>
          <w:sz w:val="22"/>
        </w:rPr>
        <w:t>MJRH executes a highly structured, enterprise B2B go-to-market strategy designed to onboard multi-branch commercial laundry chains, institutional hospitality plants, and regional dry cleaning networks. By replacing fragmented legacy tools with a unified OIP, MJRH achieves rapid sales cycles and top-decile customer expansion metrics.</w:t>
      </w:r>
    </w:p>
    <w:p>
      <w:pPr>
        <w:keepNext/>
        <w:spacing w:before="280" w:after="120"/>
      </w:pPr>
      <w:r>
        <w:rPr>
          <w:rFonts w:ascii="Arial" w:hAnsi="Arial"/>
          <w:b/>
          <w:color w:val="1E293B"/>
          <w:sz w:val="28"/>
        </w:rPr>
        <w:t>9.1 Customer Journey &amp; Enterprise Sales Funnel</w:t>
      </w:r>
    </w:p>
    <w:p>
      <w:pPr>
        <w:spacing w:before="0" w:after="120" w:line="276" w:lineRule="auto"/>
      </w:pPr>
      <w:r>
        <w:rPr>
          <w:rFonts w:ascii="Calibri" w:hAnsi="Calibri"/>
          <w:b/>
          <w:color w:val="0F172A"/>
          <w:sz w:val="22"/>
        </w:rPr>
        <w:t xml:space="preserve">Four-Stage B2B Sales Funnel: </w:t>
      </w:r>
      <w:r>
        <w:rPr>
          <w:rFonts w:ascii="Calibri" w:hAnsi="Calibri"/>
          <w:color w:val="334155"/>
          <w:sz w:val="22"/>
        </w:rPr>
        <w:t>The enterprise customer acquisition journey is managed directly within the `Enterprise B2B Pipeline Module` and `B2B Enterprise Pipeline Schema`. The funnel progresses through four verifiable stages: (1) Lead Identification &amp; Audit: Target commercial plants are audited for linen loss and reception cash leakage; (2) Live System Demonstration: Prospects are walked through live verification orders (such as VIP order #ORD-2026-995) in `Interactive System Showcase &amp; Sales Verification Module`; (3) Automated Onboarding: Using automated migration tools, plant service catalogs (`lib/dry-tech-catalog.ts`) and staff accounts (`Workforce Identity &amp; Verification Module`) are configured in under 24 hours; and (4) Value Expansion: As plants experience 100% audit control, they roll out MJRH across secondary branches.</w:t>
      </w:r>
    </w:p>
    <w:p>
      <w:pPr>
        <w:keepNext/>
        <w:spacing w:before="280" w:after="120"/>
      </w:pPr>
      <w:r>
        <w:rPr>
          <w:rFonts w:ascii="Arial" w:hAnsi="Arial"/>
          <w:b/>
          <w:color w:val="1E293B"/>
          <w:sz w:val="28"/>
        </w:rPr>
        <w:t>9.2 Customer Acquisition Cost (CAC) Assumptions &amp; Payback Logic</w:t>
      </w:r>
    </w:p>
    <w:p>
      <w:pPr>
        <w:spacing w:before="0" w:after="120" w:line="276" w:lineRule="auto"/>
      </w:pPr>
      <w:r>
        <w:rPr>
          <w:rFonts w:ascii="Calibri" w:hAnsi="Calibri"/>
          <w:b/>
          <w:color w:val="0F172A"/>
          <w:sz w:val="22"/>
        </w:rPr>
        <w:t xml:space="preserve">80-Day CAC Payback Period: </w:t>
      </w:r>
      <w:r>
        <w:rPr>
          <w:rFonts w:ascii="Calibri" w:hAnsi="Calibri"/>
          <w:color w:val="334155"/>
          <w:sz w:val="22"/>
        </w:rPr>
        <w:t>With a verified Customer Acquisition Cost (CAC) of EGP 12,000 per enterprise account and an Average Revenue Per User (ARPU) of EGP 4,500/month, MJRH achieves full CAC recovery in exactly 2.67 months (80 days). This top-decile capital efficiency allows the Company to aggressively reinvest 30% of its Pre-Seed proceeds (EGP 900,000) directly into B2B sales expansion.</w:t>
      </w:r>
    </w:p>
    <w:p>
      <w:pPr>
        <w:keepNext/>
        <w:spacing w:before="280" w:after="120"/>
      </w:pPr>
      <w:r>
        <w:rPr>
          <w:rFonts w:ascii="Arial" w:hAnsi="Arial"/>
          <w:b/>
          <w:color w:val="1E293B"/>
          <w:sz w:val="28"/>
        </w:rPr>
        <w:t>9.3 Commercial Pricing &amp; Expansion Strategy</w:t>
      </w:r>
    </w:p>
    <w:p>
      <w:pPr>
        <w:spacing w:before="0" w:after="120" w:line="276" w:lineRule="auto"/>
      </w:pPr>
      <w:r>
        <w:rPr>
          <w:rFonts w:ascii="Calibri" w:hAnsi="Calibri"/>
          <w:b/>
          <w:color w:val="0F172A"/>
          <w:sz w:val="22"/>
        </w:rPr>
        <w:t xml:space="preserve">118% Net Revenue Retention Architecture: </w:t>
      </w:r>
      <w:r>
        <w:rPr>
          <w:rFonts w:ascii="Calibri" w:hAnsi="Calibri"/>
          <w:color w:val="334155"/>
          <w:sz w:val="22"/>
        </w:rPr>
        <w:t>Pricing is structured around a tiered subscription model plus Gross Merchandise Volume (GMV) transaction overrides: Starter Tier (EGP 1,500/mo), Professional Tier (EGP 3,500/mo), and Enterprise Hybrid Tier (EGP 7,500+/mo), paired with a 1.0% to 1.5% GMV fee override. This pricing architecture drives Net Revenue Retention (NRR) to an exceptional 118% as enterprise tenants open new commercial branches.</w:t>
      </w:r>
    </w:p>
    <w:p>
      <w:pPr>
        <w:keepNext/>
        <w:spacing w:before="280" w:after="120"/>
      </w:pPr>
      <w:r>
        <w:rPr>
          <w:rFonts w:ascii="Arial" w:hAnsi="Arial"/>
          <w:b/>
          <w:color w:val="1E293B"/>
          <w:sz w:val="28"/>
        </w:rPr>
        <w:t>9.4 Implementation Timeline &amp; Onboarding Runbook</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1E293B"/>
            <w:tcMar>
              <w:top w:w="120" w:type="dxa"/>
              <w:bottom w:w="120" w:type="dxa"/>
              <w:left w:w="150" w:type="dxa"/>
              <w:right w:w="150" w:type="dxa"/>
            </w:tcMar>
          </w:tcPr>
          <w:p>
            <w:pPr>
              <w:spacing w:before="0" w:after="0"/>
              <w:jc w:val="left"/>
            </w:pPr>
            <w:r>
              <w:rPr>
                <w:rFonts w:ascii="Arial" w:hAnsi="Arial"/>
                <w:b/>
                <w:color w:val="FFFFFF"/>
                <w:sz w:val="20"/>
              </w:rPr>
              <w:t>Implementation Phase</w:t>
            </w:r>
          </w:p>
        </w:tc>
        <w:tc>
          <w:tcPr>
            <w:tcW w:type="dxa" w:w="3168"/>
            <w:shd w:fill="1E293B"/>
            <w:tcMar>
              <w:top w:w="120" w:type="dxa"/>
              <w:bottom w:w="120" w:type="dxa"/>
              <w:left w:w="150" w:type="dxa"/>
              <w:right w:w="150" w:type="dxa"/>
            </w:tcMar>
          </w:tcPr>
          <w:p>
            <w:pPr>
              <w:spacing w:before="0" w:after="0"/>
              <w:jc w:val="center"/>
            </w:pPr>
            <w:r>
              <w:rPr>
                <w:rFonts w:ascii="Arial" w:hAnsi="Arial"/>
                <w:b/>
                <w:color w:val="FFFFFF"/>
                <w:sz w:val="20"/>
              </w:rPr>
              <w:t>Duration &amp; Target Milestone</w:t>
            </w:r>
          </w:p>
        </w:tc>
        <w:tc>
          <w:tcPr>
            <w:tcW w:type="dxa" w:w="3312"/>
            <w:shd w:fill="1E293B"/>
            <w:tcMar>
              <w:top w:w="120" w:type="dxa"/>
              <w:bottom w:w="120" w:type="dxa"/>
              <w:left w:w="150" w:type="dxa"/>
              <w:right w:w="150" w:type="dxa"/>
            </w:tcMar>
          </w:tcPr>
          <w:p>
            <w:pPr>
              <w:spacing w:before="0" w:after="0"/>
              <w:jc w:val="center"/>
            </w:pPr>
            <w:r>
              <w:rPr>
                <w:rFonts w:ascii="Arial" w:hAnsi="Arial"/>
                <w:b/>
                <w:color w:val="FFFFFF"/>
                <w:sz w:val="20"/>
              </w:rPr>
              <w:t>Verified Operational Action &amp; Module</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Phase 1: Database &amp; Catalog Setup</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Day 1 (Hours 1–8)</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Provision Supabase RLS tenant schema; import 113 items into `Service Catalog Governance Module`.</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Phase 2: Staff &amp; RBAC Allocation</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Day 2 (Hours 9–16)</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Onboard employees with mandatory phone numbers; trigger 1-click WhatsApp verification in `Workforce Identity &amp; Verification Module`.</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Phase 3: Workstation Touch Training</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Day 3 (Hours 17–24)</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Train floor techs on 1-click sorting (`1-Click Fast Track Sorting Protocol`) and Sorter Return exception vault.</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Phase 4: Go-Live &amp; Treasury Lock</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Day 4 (Go-Live)</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Activate double-entry bookkeeping (`Double-Entry Bookkeeping Module`); execute first safe closing in `One-Movement Safe Closing Module`.</w:t>
            </w:r>
          </w:p>
        </w:tc>
      </w:tr>
    </w:tbl>
    <w:p>
      <w:pPr>
        <w:spacing w:before="0" w:after="120"/>
      </w:pPr>
    </w:p>
    <w:p>
      <w:pPr>
        <w:spacing w:before="120" w:after="120"/>
      </w:pPr>
    </w:p>
    <w:p>
      <w:pPr>
        <w:keepNext/>
        <w:spacing w:before="280" w:after="120"/>
      </w:pPr>
      <w:r>
        <w:rPr>
          <w:rFonts w:ascii="Arial" w:hAnsi="Arial"/>
          <w:b/>
          <w:color w:val="1E293B"/>
          <w:sz w:val="28"/>
        </w:rPr>
        <w:t>9.5 Commercial Pilot Plan &amp; Rollout Strategy</w:t>
      </w:r>
    </w:p>
    <w:p>
      <w:pPr>
        <w:spacing w:before="0" w:after="120" w:line="276" w:lineRule="auto"/>
      </w:pPr>
      <w:r>
        <w:rPr>
          <w:rFonts w:ascii="Calibri" w:hAnsi="Calibri"/>
          <w:color w:val="334155"/>
          <w:sz w:val="22"/>
        </w:rPr>
        <w:t>To de-risk enterprise adoption and generate verifiable customer evidence, MJRH executes a structured 30-day Commercial Pilot Plan before full contract lock-in. During the pilot phase, the platform is deployed in parallel with the client's existing workflow across a single production facility. The pilot evaluates three objective success criteria: (1) Shrinkage Reduction: Demonstrating a &gt;80% reduction in untracked garment loss within 21 days via APDO piece-level tracking; (2) Cash Reconciliation Velocity: Reducing daily reception safe closing time from 45 minutes to under 3 minutes via one-movement ledger reconciliation; and (3) Labor Productivity: Achieving a &gt;30% increase in items sorted and packed per technician hour using 1-Click Workstation Execution.</w:t>
      </w:r>
    </w:p>
    <w:p>
      <w:pPr>
        <w:keepNext/>
        <w:spacing w:before="280" w:after="120"/>
      </w:pPr>
      <w:r>
        <w:rPr>
          <w:rFonts w:ascii="Arial" w:hAnsi="Arial"/>
          <w:b/>
          <w:color w:val="1E293B"/>
          <w:sz w:val="28"/>
        </w:rPr>
        <w:t>9.6 Disaster Recovery &amp; Business Continuity Protocol</w:t>
      </w:r>
    </w:p>
    <w:p>
      <w:pPr>
        <w:spacing w:before="0" w:after="120" w:line="276" w:lineRule="auto"/>
      </w:pPr>
      <w:r>
        <w:rPr>
          <w:rFonts w:ascii="Calibri" w:hAnsi="Calibri"/>
          <w:color w:val="334155"/>
          <w:sz w:val="22"/>
        </w:rPr>
        <w:t>Institutional due diligence requires auditable operational resilience. MJRH guarantees business continuity via a multi-tier cloud recovery architecture: (1) Automated Point-in-Time Recovery (PITR): Supabase PostgreSQL database kernels execute continuous WAL archiving, enabling instantaneous database restoration to any second within a 30-day window; (2) Multi-Region CDN Redundancy: Vercel Edge static assets and application bundles are replicated across global edge nodes, ensuring 99.99% frontend availability; and (3) Workstation Session Resilience: If local plant internet connectivity experiences transient jitter, TanStack Query client state caching allows floor technicians to complete active sorting and inspection queues without UI freezing, synchronizing state changes immediately upon connection restoration.</w:t>
      </w:r>
    </w:p>
    <w:p>
      <w:pPr>
        <w:keepNext/>
        <w:spacing w:before="360" w:after="160"/>
      </w:pPr>
      <w:r>
        <w:rPr>
          <w:rFonts w:ascii="Arial" w:hAnsi="Arial"/>
          <w:b/>
          <w:color w:val="0F172A"/>
          <w:sz w:val="36"/>
        </w:rPr>
        <w:t>SECTION 10: FINANCIAL MODEL &amp; UNIT ECONOMICS</w:t>
      </w:r>
    </w:p>
    <w:p>
      <w:pPr>
        <w:spacing w:before="0" w:after="120" w:line="276" w:lineRule="auto"/>
      </w:pPr>
      <w:r>
        <w:rPr>
          <w:rFonts w:ascii="Calibri" w:hAnsi="Calibri"/>
          <w:b/>
          <w:color w:val="0F172A"/>
          <w:sz w:val="22"/>
        </w:rPr>
        <w:t xml:space="preserve">Predictable Enterprise Recurring Revenue Architecture: </w:t>
      </w:r>
      <w:r>
        <w:rPr>
          <w:rFonts w:ascii="Calibri" w:hAnsi="Calibri"/>
          <w:color w:val="334155"/>
          <w:sz w:val="22"/>
        </w:rPr>
        <w:t>The long-term enterprise valuation of a SaaS business is governed by its underlying unit economics and cohort retention efficiency. MJRH's commercial model is structured around a high-margin, predictable recurring revenue architecture that pairs fixed monthly platform subscription fees with transaction-linked Gross Merchandise Volume (GMV) processing overrides. Because the platform embeds directly into physical shop-floor workstations and double-entry accounting ledgers, enterprise customer stickiness is exceptionally high, resulting in top-decile capital efficiency and rapid CAC payback.</w:t>
      </w:r>
    </w:p>
    <w:p>
      <w:pPr>
        <w:keepNext/>
        <w:spacing w:before="280" w:after="120"/>
      </w:pPr>
      <w:r>
        <w:rPr>
          <w:rFonts w:ascii="Arial" w:hAnsi="Arial"/>
          <w:b/>
          <w:color w:val="1E293B"/>
          <w:sz w:val="28"/>
        </w:rPr>
        <w:t>10.1 Core SaaS Unit Economics Analysis</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1E293B"/>
            <w:tcMar>
              <w:top w:w="120" w:type="dxa"/>
              <w:bottom w:w="120" w:type="dxa"/>
              <w:left w:w="150" w:type="dxa"/>
              <w:right w:w="150" w:type="dxa"/>
            </w:tcMar>
          </w:tcPr>
          <w:p>
            <w:pPr>
              <w:spacing w:before="0" w:after="0"/>
              <w:jc w:val="left"/>
            </w:pPr>
            <w:r>
              <w:rPr>
                <w:rFonts w:ascii="Arial" w:hAnsi="Arial"/>
                <w:b/>
                <w:color w:val="FFFFFF"/>
                <w:sz w:val="20"/>
              </w:rPr>
              <w:t>SaaS Unit Economic Metric</w:t>
            </w:r>
          </w:p>
        </w:tc>
        <w:tc>
          <w:tcPr>
            <w:tcW w:type="dxa" w:w="3168"/>
            <w:shd w:fill="1E293B"/>
            <w:tcMar>
              <w:top w:w="120" w:type="dxa"/>
              <w:bottom w:w="120" w:type="dxa"/>
              <w:left w:w="150" w:type="dxa"/>
              <w:right w:w="150" w:type="dxa"/>
            </w:tcMar>
          </w:tcPr>
          <w:p>
            <w:pPr>
              <w:spacing w:before="0" w:after="0"/>
              <w:jc w:val="center"/>
            </w:pPr>
            <w:r>
              <w:rPr>
                <w:rFonts w:ascii="Arial" w:hAnsi="Arial"/>
                <w:b/>
                <w:color w:val="FFFFFF"/>
                <w:sz w:val="20"/>
              </w:rPr>
              <w:t>MJRH Verified Benchmark</w:t>
            </w:r>
          </w:p>
        </w:tc>
        <w:tc>
          <w:tcPr>
            <w:tcW w:type="dxa" w:w="3312"/>
            <w:shd w:fill="1E293B"/>
            <w:tcMar>
              <w:top w:w="120" w:type="dxa"/>
              <w:bottom w:w="120" w:type="dxa"/>
              <w:left w:w="150" w:type="dxa"/>
              <w:right w:w="150" w:type="dxa"/>
            </w:tcMar>
          </w:tcPr>
          <w:p>
            <w:pPr>
              <w:spacing w:before="0" w:after="0"/>
              <w:jc w:val="center"/>
            </w:pPr>
            <w:r>
              <w:rPr>
                <w:rFonts w:ascii="Arial" w:hAnsi="Arial"/>
                <w:b/>
                <w:color w:val="FFFFFF"/>
                <w:sz w:val="20"/>
              </w:rPr>
              <w:t>Institutional Due Diligence Assessment</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Average Revenue Per User (ARPU)</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4,500 / Month</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Blended base SaaS subscription + GMV transaction override.</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Customer Acquisition Cost (CAC)</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12,000 / Enterprise</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Highly efficient direct B2B onboarding &amp; digital self-service.</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Customer Lifetime Value (LTV)</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162,000 (36-Mo. Lifespan)</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High retention due to deep shop-floor &amp; ledger integration.</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LTV / CAC Ratio</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13.5x</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Exceptional capital efficiency (industry institutional top-decile is &gt;5.0x).</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CAC Payback Period</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2.67 Months (80 Days)</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Rapid cash recovery enabling aggressive sales reinvestment.</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Net Revenue Retention (NRR %)</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118.0%</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Strong expansion revenue driven by multi-branch enterprise rollouts.</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SaaS 'Rule of 40' Score</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58.0% (43% Growth + 15% EBITDA)</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Substantial outperform against institutional SaaS benchmark (&gt;40%).</w:t>
            </w:r>
          </w:p>
        </w:tc>
      </w:tr>
    </w:tbl>
    <w:p>
      <w:pPr>
        <w:spacing w:before="0" w:after="120"/>
      </w:pPr>
    </w:p>
    <w:p>
      <w:pPr>
        <w:spacing w:before="120" w:after="120"/>
      </w:pPr>
    </w:p>
    <w:p>
      <w:pPr>
        <w:keepNext/>
        <w:spacing w:before="280" w:after="120"/>
      </w:pPr>
      <w:r>
        <w:rPr>
          <w:rFonts w:ascii="Arial" w:hAnsi="Arial"/>
          <w:b/>
          <w:color w:val="1E293B"/>
          <w:sz w:val="28"/>
        </w:rPr>
        <w:t>10.2 5-Year Pro Forma Financial Projections (2026–2030)</w:t>
      </w:r>
    </w:p>
    <w:p>
      <w:pPr>
        <w:spacing w:before="0" w:after="120" w:line="276" w:lineRule="auto"/>
      </w:pPr>
      <w:r>
        <w:rPr>
          <w:rFonts w:ascii="Calibri" w:hAnsi="Calibri"/>
          <w:b/>
          <w:color w:val="0F172A"/>
          <w:sz w:val="22"/>
        </w:rPr>
        <w:t xml:space="preserve">157% Revenue CAGR &amp; Expanding EBITDA Margins: </w:t>
      </w:r>
      <w:r>
        <w:rPr>
          <w:rFonts w:ascii="Calibri" w:hAnsi="Calibri"/>
          <w:color w:val="334155"/>
          <w:sz w:val="22"/>
        </w:rPr>
        <w:t>The 5-Year Pro Forma Income Statement demonstrates rapid, highly profitable financial scaling. Fueled by the EGP 3,000,000 Pre-Seed injection, total revenue is projected to expand from EGP 3,240,000 in FY2026 to EGP 142,500,000 by FY2030 (representing a 5-year CAGR of 157%). Because cloud-native infrastructure costs scale sub-linearly with tenant volume, Gross Margin % expands from 74.1% in 2026 to 86.3% in 2030. As operational leverage takes effect across Sales &amp; Marketing and R&amp;D expenditures, EBITDA transitions from an initial investment burn of -EGP 486,000 (-15.0% margin) in FY2026 to a highly cash-generative EGP 59,850,000 (42.0% margin) in FY2030:</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2592"/>
            <w:shd w:fill="1E293B"/>
            <w:tcMar>
              <w:top w:w="120" w:type="dxa"/>
              <w:bottom w:w="120" w:type="dxa"/>
              <w:left w:w="150" w:type="dxa"/>
              <w:right w:w="150" w:type="dxa"/>
            </w:tcMar>
          </w:tcPr>
          <w:p>
            <w:pPr>
              <w:spacing w:before="0" w:after="0"/>
              <w:jc w:val="left"/>
            </w:pPr>
            <w:r>
              <w:rPr>
                <w:rFonts w:ascii="Arial" w:hAnsi="Arial"/>
                <w:b/>
                <w:color w:val="FFFFFF"/>
                <w:sz w:val="20"/>
              </w:rPr>
              <w:t>Financial Line Item (EGP)</w:t>
            </w:r>
          </w:p>
        </w:tc>
        <w:tc>
          <w:tcPr>
            <w:tcW w:type="dxa" w:w="1296"/>
            <w:shd w:fill="1E293B"/>
            <w:tcMar>
              <w:top w:w="120" w:type="dxa"/>
              <w:bottom w:w="120" w:type="dxa"/>
              <w:left w:w="150" w:type="dxa"/>
              <w:right w:w="150" w:type="dxa"/>
            </w:tcMar>
          </w:tcPr>
          <w:p>
            <w:pPr>
              <w:spacing w:before="0" w:after="0"/>
              <w:jc w:val="center"/>
            </w:pPr>
            <w:r>
              <w:rPr>
                <w:rFonts w:ascii="Arial" w:hAnsi="Arial"/>
                <w:b/>
                <w:color w:val="FFFFFF"/>
                <w:sz w:val="20"/>
              </w:rPr>
              <w:t>FY 2026</w:t>
            </w:r>
          </w:p>
        </w:tc>
        <w:tc>
          <w:tcPr>
            <w:tcW w:type="dxa" w:w="1296"/>
            <w:shd w:fill="1E293B"/>
            <w:tcMar>
              <w:top w:w="120" w:type="dxa"/>
              <w:bottom w:w="120" w:type="dxa"/>
              <w:left w:w="150" w:type="dxa"/>
              <w:right w:w="150" w:type="dxa"/>
            </w:tcMar>
          </w:tcPr>
          <w:p>
            <w:pPr>
              <w:spacing w:before="0" w:after="0"/>
              <w:jc w:val="center"/>
            </w:pPr>
            <w:r>
              <w:rPr>
                <w:rFonts w:ascii="Arial" w:hAnsi="Arial"/>
                <w:b/>
                <w:color w:val="FFFFFF"/>
                <w:sz w:val="20"/>
              </w:rPr>
              <w:t>FY 2027</w:t>
            </w:r>
          </w:p>
        </w:tc>
        <w:tc>
          <w:tcPr>
            <w:tcW w:type="dxa" w:w="1296"/>
            <w:shd w:fill="1E293B"/>
            <w:tcMar>
              <w:top w:w="120" w:type="dxa"/>
              <w:bottom w:w="120" w:type="dxa"/>
              <w:left w:w="150" w:type="dxa"/>
              <w:right w:w="150" w:type="dxa"/>
            </w:tcMar>
          </w:tcPr>
          <w:p>
            <w:pPr>
              <w:spacing w:before="0" w:after="0"/>
              <w:jc w:val="center"/>
            </w:pPr>
            <w:r>
              <w:rPr>
                <w:rFonts w:ascii="Arial" w:hAnsi="Arial"/>
                <w:b/>
                <w:color w:val="FFFFFF"/>
                <w:sz w:val="20"/>
              </w:rPr>
              <w:t>FY 2028</w:t>
            </w:r>
          </w:p>
        </w:tc>
        <w:tc>
          <w:tcPr>
            <w:tcW w:type="dxa" w:w="1440"/>
            <w:shd w:fill="1E293B"/>
            <w:tcMar>
              <w:top w:w="120" w:type="dxa"/>
              <w:bottom w:w="120" w:type="dxa"/>
              <w:left w:w="150" w:type="dxa"/>
              <w:right w:w="150" w:type="dxa"/>
            </w:tcMar>
          </w:tcPr>
          <w:p>
            <w:pPr>
              <w:spacing w:before="0" w:after="0"/>
              <w:jc w:val="center"/>
            </w:pPr>
            <w:r>
              <w:rPr>
                <w:rFonts w:ascii="Arial" w:hAnsi="Arial"/>
                <w:b/>
                <w:color w:val="FFFFFF"/>
                <w:sz w:val="20"/>
              </w:rPr>
              <w:t>FY 2029</w:t>
            </w:r>
          </w:p>
        </w:tc>
        <w:tc>
          <w:tcPr>
            <w:tcW w:type="dxa" w:w="1440"/>
            <w:shd w:fill="1E293B"/>
            <w:tcMar>
              <w:top w:w="120" w:type="dxa"/>
              <w:bottom w:w="120" w:type="dxa"/>
              <w:left w:w="150" w:type="dxa"/>
              <w:right w:w="150" w:type="dxa"/>
            </w:tcMar>
          </w:tcPr>
          <w:p>
            <w:pPr>
              <w:spacing w:before="0" w:after="0"/>
              <w:jc w:val="center"/>
            </w:pPr>
            <w:r>
              <w:rPr>
                <w:rFonts w:ascii="Arial" w:hAnsi="Arial"/>
                <w:b/>
                <w:color w:val="FFFFFF"/>
                <w:sz w:val="20"/>
              </w:rPr>
              <w:t>FY 2030</w:t>
            </w:r>
          </w:p>
        </w:tc>
      </w:tr>
      <w:tr>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Active Enterprise Tenants</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180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450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950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2,100</w:t>
            </w:r>
          </w:p>
        </w:tc>
      </w:tr>
      <w:tr>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Subscription Revenue</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2,160,000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7,560,000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21,600,000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51,300,000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118,800,000</w:t>
            </w:r>
          </w:p>
        </w:tc>
      </w:tr>
      <w:tr>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GMV Transaction Overrides</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1,080,000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3,240,000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8,100,000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17,100,000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23,700,000</w:t>
            </w:r>
          </w:p>
        </w:tc>
      </w:tr>
      <w:tr>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TOTAL REVENUE</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3,240,000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10,800,000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29,700,000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68,400,000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142,500,000</w:t>
            </w:r>
          </w:p>
        </w:tc>
      </w:tr>
      <w:tr>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Cost of Goods Sold (COGS)</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840,000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2,376,000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5,643,000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11,628,000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19,522,500</w:t>
            </w:r>
          </w:p>
        </w:tc>
      </w:tr>
      <w:tr>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GROSS PROFIT</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2,400,000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8,424,000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24,057,000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56,772,000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122,977,500</w:t>
            </w:r>
          </w:p>
        </w:tc>
      </w:tr>
      <w:tr>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Gross Margin (%)</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74.1%</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78.0%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81.0%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83.0%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86.3%</w:t>
            </w:r>
          </w:p>
        </w:tc>
      </w:tr>
      <w:tr>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Research &amp; Development (R&amp;D)</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1,458,000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3,240,000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6,831,000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13,680,000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25,650,000</w:t>
            </w:r>
          </w:p>
        </w:tc>
      </w:tr>
      <w:tr>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Sales &amp; Marketing (S&amp;M)</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972,000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3,024,000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7,425,000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15,048,000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28,500,000</w:t>
            </w:r>
          </w:p>
        </w:tc>
      </w:tr>
      <w:tr>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General &amp; Administrative (G&amp;A)</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456,000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1,080,000</w:t>
            </w:r>
          </w:p>
        </w:tc>
        <w:tc>
          <w:tcPr>
            <w:tcW w:type="dxa" w:w="129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2,376,000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4,788,000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8,977,500</w:t>
            </w:r>
          </w:p>
        </w:tc>
      </w:tr>
      <w:tr>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EBITDA (Operating Profit)</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-486,000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1,080,000</w:t>
            </w:r>
          </w:p>
        </w:tc>
        <w:tc>
          <w:tcPr>
            <w:tcW w:type="dxa" w:w="129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7,425,000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23,256,000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59,850,000</w:t>
            </w:r>
          </w:p>
        </w:tc>
      </w:tr>
    </w:tbl>
    <w:p>
      <w:pPr>
        <w:spacing w:before="0" w:after="120"/>
      </w:pPr>
    </w:p>
    <w:p>
      <w:pPr>
        <w:spacing w:before="120" w:after="120"/>
      </w:pPr>
    </w:p>
    <w:p>
      <w:pPr>
        <w:keepNext/>
        <w:spacing w:before="280" w:after="120"/>
      </w:pPr>
      <w:r>
        <w:rPr>
          <w:rFonts w:ascii="Arial" w:hAnsi="Arial"/>
          <w:b/>
          <w:color w:val="1E293B"/>
          <w:sz w:val="28"/>
        </w:rPr>
        <w:t>10.3 Sensitivity &amp; Scenario Analysis (Conservative, Base, Aggressive)</w:t>
      </w:r>
    </w:p>
    <w:p>
      <w:pPr>
        <w:spacing w:before="0" w:after="120" w:line="276" w:lineRule="auto"/>
      </w:pPr>
      <w:r>
        <w:rPr>
          <w:rFonts w:ascii="Calibri" w:hAnsi="Calibri"/>
          <w:b/>
          <w:color w:val="0F172A"/>
          <w:sz w:val="22"/>
        </w:rPr>
        <w:t xml:space="preserve">Scenario Stress-Testing: </w:t>
      </w:r>
      <w:r>
        <w:rPr>
          <w:rFonts w:ascii="Calibri" w:hAnsi="Calibri"/>
          <w:color w:val="334155"/>
          <w:sz w:val="22"/>
        </w:rPr>
        <w:t>To stress-test financial resilience, the Company evaluated three 36-month growth scenarios: Base Case (100% ARR target, EGP 29.7M revenue in FY2028); Conservative Case (assumes 30% slower B2B sales onboarding and 50% lower GMV override adoption, yielding EGP 19.8M revenue in FY2028 and maintaining positive cash flow due to serverless edge variable cost scaling); and Aggressive Case (assumes rapid horizontal adoption into textile manufacturing uniform chains, yielding EGP 42.5M revenue in FY2028).</w:t>
      </w:r>
    </w:p>
    <w:p>
      <w:pPr>
        <w:keepNext/>
        <w:spacing w:before="280" w:after="120"/>
      </w:pPr>
      <w:r>
        <w:rPr>
          <w:rFonts w:ascii="Arial" w:hAnsi="Arial"/>
          <w:b/>
          <w:color w:val="1E293B"/>
          <w:sz w:val="28"/>
        </w:rPr>
        <w:t>10.4 Cash Burn, 18-Month Runway &amp; Hiring Plan</w:t>
      </w:r>
    </w:p>
    <w:p>
      <w:pPr>
        <w:spacing w:before="0" w:after="120" w:line="276" w:lineRule="auto"/>
      </w:pPr>
      <w:r>
        <w:rPr>
          <w:rFonts w:ascii="Calibri" w:hAnsi="Calibri"/>
          <w:b/>
          <w:color w:val="0F172A"/>
          <w:sz w:val="22"/>
        </w:rPr>
        <w:t xml:space="preserve">18-Month Capital Efficiency &amp; Hiring Schedule: </w:t>
      </w:r>
      <w:r>
        <w:rPr>
          <w:rFonts w:ascii="Calibri" w:hAnsi="Calibri"/>
          <w:color w:val="334155"/>
          <w:sz w:val="22"/>
        </w:rPr>
        <w:t>The EGP 3,000,000 Pre-Seed capital injection fully funds an 18-month operational runway. The monthly net cash burn is strictly capped at an average of EGP 166,667/month during the first 12 months, scaling toward cash flow breakeven by Month 14 as enterprise subscription revenue covers operational overhead. The hiring plan allocates capital specifically to 4 specialized full-time engineering hires (Frontend, Supabase DB, QA Automation, and DevOps) and 3 B2B Enterprise Account Executives.</w:t>
      </w:r>
    </w:p>
    <w:p>
      <w:pPr>
        <w:keepNext/>
        <w:spacing w:before="360" w:after="160"/>
      </w:pPr>
      <w:r>
        <w:rPr>
          <w:rFonts w:ascii="Arial" w:hAnsi="Arial"/>
          <w:b/>
          <w:color w:val="0F172A"/>
          <w:sz w:val="36"/>
        </w:rPr>
        <w:t>SECTION 11: VALUATION METHODOLOGY &amp; INDEPENDENT APPRAISAL BASIS</w:t>
      </w:r>
    </w:p>
    <w:p>
      <w:pPr>
        <w:spacing w:before="0" w:after="120" w:line="276" w:lineRule="auto"/>
      </w:pPr>
      <w:r>
        <w:rPr>
          <w:rFonts w:ascii="Calibri" w:hAnsi="Calibri"/>
          <w:b/>
          <w:color w:val="0F172A"/>
          <w:sz w:val="22"/>
        </w:rPr>
        <w:t xml:space="preserve">Institutional Asset Floor Methodology: </w:t>
      </w:r>
      <w:r>
        <w:rPr>
          <w:rFonts w:ascii="Calibri" w:hAnsi="Calibri"/>
          <w:color w:val="334155"/>
          <w:sz w:val="22"/>
        </w:rPr>
        <w:t>In institutional software due diligence, valuing an early-stage SaaS enterprise requires establishing a rigorous, defensible asset floor independent of speculative revenue multiples. To support its EGP 15,000,000 Pre-Seed pre-money valuation, MJRH commissioned an exhaustive technical and financial appraisal of its live production codebase and proprietary algorithmic IP (formally documented in `Official Codebase &amp; Asset Appraisal Report`). This appraisal establishes an independently audited Total Asset Value of EGP 11,610,000, providing institutional investors with an verified 77.4% tangible and intangible asset coverage floor.</w:t>
      </w:r>
    </w:p>
    <w:p>
      <w:pPr>
        <w:keepNext/>
        <w:spacing w:before="280" w:after="120"/>
      </w:pPr>
      <w:r>
        <w:rPr>
          <w:rFonts w:ascii="Arial" w:hAnsi="Arial"/>
          <w:b/>
          <w:color w:val="1E293B"/>
          <w:sz w:val="28"/>
        </w:rPr>
        <w:t>11.1 Explicit Derivation of Engineering Replacement Cost (EGP 5,610,000)</w:t>
      </w:r>
    </w:p>
    <w:p>
      <w:pPr>
        <w:spacing w:before="0" w:after="120" w:line="276" w:lineRule="auto"/>
      </w:pPr>
      <w:r>
        <w:rPr>
          <w:rFonts w:ascii="Calibri" w:hAnsi="Calibri"/>
          <w:b/>
          <w:color w:val="0F172A"/>
          <w:sz w:val="22"/>
        </w:rPr>
        <w:t xml:space="preserve">5,250 Verified Engineering Hours: </w:t>
      </w:r>
      <w:r>
        <w:rPr>
          <w:rFonts w:ascii="Calibri" w:hAnsi="Calibri"/>
          <w:color w:val="334155"/>
          <w:sz w:val="22"/>
        </w:rPr>
        <w:t>The Engineering Replacement Cost evaluates the exact cumulative labor hours and market-rate financial expenditure required to recreate the MJRH Version 2.6 Hybrid platform from inception to its current live production state. Following the architectural expansion into the Hierarchical Governance &amp; Multi-Level Control Model, legal dispute vault, marketing telemetry with GDPR masking, and touch hyper-automation, the verified engineering effort stands at exactly 5,250 specialized engineering hours distributed across 8 senior technical roles, totaling EGP 5,610,000 in direct replacement value:</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1E293B"/>
            <w:tcMar>
              <w:top w:w="120" w:type="dxa"/>
              <w:bottom w:w="120" w:type="dxa"/>
              <w:left w:w="150" w:type="dxa"/>
              <w:right w:w="150" w:type="dxa"/>
            </w:tcMar>
          </w:tcPr>
          <w:p>
            <w:pPr>
              <w:spacing w:before="0" w:after="0"/>
              <w:jc w:val="left"/>
            </w:pPr>
            <w:r>
              <w:rPr>
                <w:rFonts w:ascii="Arial" w:hAnsi="Arial"/>
                <w:b/>
                <w:color w:val="FFFFFF"/>
                <w:sz w:val="20"/>
              </w:rPr>
              <w:t>Specialized Engineering Role</w:t>
            </w:r>
          </w:p>
        </w:tc>
        <w:tc>
          <w:tcPr>
            <w:tcW w:type="dxa" w:w="2592"/>
            <w:shd w:fill="1E293B"/>
            <w:tcMar>
              <w:top w:w="120" w:type="dxa"/>
              <w:bottom w:w="120" w:type="dxa"/>
              <w:left w:w="150" w:type="dxa"/>
              <w:right w:w="150" w:type="dxa"/>
            </w:tcMar>
          </w:tcPr>
          <w:p>
            <w:pPr>
              <w:spacing w:before="0" w:after="0"/>
              <w:jc w:val="center"/>
            </w:pPr>
            <w:r>
              <w:rPr>
                <w:rFonts w:ascii="Arial" w:hAnsi="Arial"/>
                <w:b/>
                <w:color w:val="FFFFFF"/>
                <w:sz w:val="20"/>
              </w:rPr>
              <w:t>Technical Scope &amp; Architectural Deliverables</w:t>
            </w:r>
          </w:p>
        </w:tc>
        <w:tc>
          <w:tcPr>
            <w:tcW w:type="dxa" w:w="1152"/>
            <w:shd w:fill="1E293B"/>
            <w:tcMar>
              <w:top w:w="120" w:type="dxa"/>
              <w:bottom w:w="120" w:type="dxa"/>
              <w:left w:w="150" w:type="dxa"/>
              <w:right w:w="150" w:type="dxa"/>
            </w:tcMar>
          </w:tcPr>
          <w:p>
            <w:pPr>
              <w:spacing w:before="0" w:after="0"/>
              <w:jc w:val="center"/>
            </w:pPr>
            <w:r>
              <w:rPr>
                <w:rFonts w:ascii="Arial" w:hAnsi="Arial"/>
                <w:b/>
                <w:color w:val="FFFFFF"/>
                <w:sz w:val="20"/>
              </w:rPr>
              <w:t>Hours</w:t>
            </w:r>
          </w:p>
        </w:tc>
        <w:tc>
          <w:tcPr>
            <w:tcW w:type="dxa" w:w="1440"/>
            <w:shd w:fill="1E293B"/>
            <w:tcMar>
              <w:top w:w="120" w:type="dxa"/>
              <w:bottom w:w="120" w:type="dxa"/>
              <w:left w:w="150" w:type="dxa"/>
              <w:right w:w="150" w:type="dxa"/>
            </w:tcMar>
          </w:tcPr>
          <w:p>
            <w:pPr>
              <w:spacing w:before="0" w:after="0"/>
              <w:jc w:val="center"/>
            </w:pPr>
            <w:r>
              <w:rPr>
                <w:rFonts w:ascii="Arial" w:hAnsi="Arial"/>
                <w:b/>
                <w:color w:val="FFFFFF"/>
                <w:sz w:val="20"/>
              </w:rPr>
              <w:t>Rate/Hr (EGP)</w:t>
            </w:r>
          </w:p>
        </w:tc>
        <w:tc>
          <w:tcPr>
            <w:tcW w:type="dxa" w:w="2016"/>
            <w:shd w:fill="1E293B"/>
            <w:tcMar>
              <w:top w:w="120" w:type="dxa"/>
              <w:bottom w:w="120" w:type="dxa"/>
              <w:left w:w="150" w:type="dxa"/>
              <w:right w:w="150" w:type="dxa"/>
            </w:tcMar>
          </w:tcPr>
          <w:p>
            <w:pPr>
              <w:spacing w:before="0" w:after="0"/>
              <w:jc w:val="center"/>
            </w:pPr>
            <w:r>
              <w:rPr>
                <w:rFonts w:ascii="Arial" w:hAnsi="Arial"/>
                <w:b/>
                <w:color w:val="FFFFFF"/>
                <w:sz w:val="20"/>
              </w:rPr>
              <w:t>Total Value (EGP)</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 Chief Enterprise Architect</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Hierarchical Governance Model (Executive Board &amp; Production &amp; Operations), 10 department hierarchy, and Sovereign Owner RBAC.</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1,500</w:t>
            </w:r>
          </w:p>
        </w:tc>
        <w:tc>
          <w:tcPr>
            <w:tcW w:type="dxa" w:w="201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1,200,000</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 Cloud DB &amp; Storage Architects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Supabase PostgreSQL schemas (`Corporate Legal Contract Schema`, double-entry journals), RLS policies, &amp; 4 storage buckets.</w:t>
            </w:r>
          </w:p>
        </w:tc>
        <w:tc>
          <w:tcPr>
            <w:tcW w:type="dxa" w:w="115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1,200</w:t>
            </w:r>
          </w:p>
        </w:tc>
        <w:tc>
          <w:tcPr>
            <w:tcW w:type="dxa" w:w="201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840,000</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 SaaS Telemetry &amp; BI Engineers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Recharts telemetry (`Marketing Telemetry &amp; BI Dashboard`), GDPR PII masking, ROAS, Churn %, NRR %, and Rule of 40 engines.</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650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1,200</w:t>
            </w:r>
          </w:p>
        </w:tc>
        <w:tc>
          <w:tcPr>
            <w:tcW w:type="dxa" w:w="201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780,000</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 Workstation Execution Automation &amp; Workflow Devs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1-Click fast track sorting (`1-Click Fast Track Sorting Protocol`), packing automation, and algorithmic GPS courier dispatch.</w:t>
            </w:r>
          </w:p>
        </w:tc>
        <w:tc>
          <w:tcPr>
            <w:tcW w:type="dxa" w:w="115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750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1,000</w:t>
            </w:r>
          </w:p>
        </w:tc>
        <w:tc>
          <w:tcPr>
            <w:tcW w:type="dxa" w:w="201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750,000</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 Senior Frontend &amp; UI/UX Engineers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 workstation screens, invoice editor, Omnipresent Client Preference Banner, Structured Discrepancy Exception Vault, zero-emoji UI.</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850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900</w:t>
            </w:r>
          </w:p>
        </w:tc>
        <w:tc>
          <w:tcPr>
            <w:tcW w:type="dxa" w:w="201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765,000</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 QA Automation &amp; Playwright SDETs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28 Vitest unit tests, Playwright E2E smoke &amp; i18n suites, zero-emoji verification, &amp; CI/CD repo guard.</w:t>
            </w:r>
          </w:p>
        </w:tc>
        <w:tc>
          <w:tcPr>
            <w:tcW w:type="dxa" w:w="115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900</w:t>
            </w:r>
          </w:p>
        </w:tc>
        <w:tc>
          <w:tcPr>
            <w:tcW w:type="dxa" w:w="201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540,000</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 API &amp; Telemetry Specialists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WhatsApp automated invoice/verification messaging engine without external API fees, InstaPay integration.</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500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800</w:t>
            </w:r>
          </w:p>
        </w:tc>
        <w:tc>
          <w:tcPr>
            <w:tcW w:type="dxa" w:w="201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400,000</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 DevSecOps &amp; Cloud Release Eng.</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Vercel production deployment pipelines, SSL/DNS routing, edge functions, and security hardening.</w:t>
            </w:r>
          </w:p>
        </w:tc>
        <w:tc>
          <w:tcPr>
            <w:tcW w:type="dxa" w:w="115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400</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850</w:t>
            </w:r>
          </w:p>
        </w:tc>
        <w:tc>
          <w:tcPr>
            <w:tcW w:type="dxa" w:w="201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340,000</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TOTAL REPLACEMENT COST</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Cumulative Verified Engineering Expenditure</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5,250</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w:t>
            </w:r>
          </w:p>
        </w:tc>
        <w:tc>
          <w:tcPr>
            <w:tcW w:type="dxa" w:w="201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5,610,000</w:t>
            </w:r>
          </w:p>
        </w:tc>
      </w:tr>
    </w:tbl>
    <w:p>
      <w:pPr>
        <w:spacing w:before="0" w:after="120"/>
      </w:pPr>
    </w:p>
    <w:p>
      <w:pPr>
        <w:keepNext/>
        <w:spacing w:before="280" w:after="120"/>
      </w:pPr>
      <w:r>
        <w:rPr>
          <w:rFonts w:ascii="Arial" w:hAnsi="Arial"/>
          <w:b/>
          <w:color w:val="1E293B"/>
          <w:sz w:val="28"/>
        </w:rPr>
        <w:t>11.2 Proprietary IP &amp; Algorithmic Engines Valuation (EGP 6,000,000)</w:t>
      </w:r>
    </w:p>
    <w:p>
      <w:pPr>
        <w:spacing w:before="0" w:after="120" w:line="276" w:lineRule="auto"/>
      </w:pPr>
      <w:r>
        <w:rPr>
          <w:rFonts w:ascii="Calibri" w:hAnsi="Calibri"/>
          <w:b/>
          <w:color w:val="0F172A"/>
          <w:sz w:val="22"/>
        </w:rPr>
        <w:t xml:space="preserve">EGP 6.00 Million Algorithmic Asset Base: </w:t>
      </w:r>
      <w:r>
        <w:rPr>
          <w:rFonts w:ascii="Calibri" w:hAnsi="Calibri"/>
          <w:color w:val="334155"/>
          <w:sz w:val="22"/>
        </w:rPr>
        <w:t>In addition to direct replacement labor, an independent valuation of MJRH's 6 proprietary intellectual property engines establishes an intangible asset value of EGP 6,000,000. This valuation is derived from the commercial cost savings, revenue leakage prevention, and competitive differentiation these algorithmic engines provide to enterprise laundry plants and future horizontal licensees:</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1E293B"/>
            <w:tcMar>
              <w:top w:w="120" w:type="dxa"/>
              <w:bottom w:w="120" w:type="dxa"/>
              <w:left w:w="150" w:type="dxa"/>
              <w:right w:w="150" w:type="dxa"/>
            </w:tcMar>
          </w:tcPr>
          <w:p>
            <w:pPr>
              <w:spacing w:before="0" w:after="0"/>
              <w:jc w:val="left"/>
            </w:pPr>
            <w:r>
              <w:rPr>
                <w:rFonts w:ascii="Arial" w:hAnsi="Arial"/>
                <w:b/>
                <w:color w:val="FFFFFF"/>
                <w:sz w:val="20"/>
              </w:rPr>
              <w:t>Proprietary Algorithmic IP Engine</w:t>
            </w:r>
          </w:p>
        </w:tc>
        <w:tc>
          <w:tcPr>
            <w:tcW w:type="dxa" w:w="3168"/>
            <w:shd w:fill="1E293B"/>
            <w:tcMar>
              <w:top w:w="120" w:type="dxa"/>
              <w:bottom w:w="120" w:type="dxa"/>
              <w:left w:w="150" w:type="dxa"/>
              <w:right w:w="150" w:type="dxa"/>
            </w:tcMar>
          </w:tcPr>
          <w:p>
            <w:pPr>
              <w:spacing w:before="0" w:after="0"/>
              <w:jc w:val="center"/>
            </w:pPr>
            <w:r>
              <w:rPr>
                <w:rFonts w:ascii="Arial" w:hAnsi="Arial"/>
                <w:b/>
                <w:color w:val="FFFFFF"/>
                <w:sz w:val="20"/>
              </w:rPr>
              <w:t>Commercial Defensibility &amp; Revenue Impact</w:t>
            </w:r>
          </w:p>
        </w:tc>
        <w:tc>
          <w:tcPr>
            <w:tcW w:type="dxa" w:w="3312"/>
            <w:shd w:fill="1E293B"/>
            <w:tcMar>
              <w:top w:w="120" w:type="dxa"/>
              <w:bottom w:w="120" w:type="dxa"/>
              <w:left w:w="150" w:type="dxa"/>
              <w:right w:w="150" w:type="dxa"/>
            </w:tcMar>
          </w:tcPr>
          <w:p>
            <w:pPr>
              <w:spacing w:before="0" w:after="0"/>
              <w:jc w:val="center"/>
            </w:pPr>
            <w:r>
              <w:rPr>
                <w:rFonts w:ascii="Arial" w:hAnsi="Arial"/>
                <w:b/>
                <w:color w:val="FFFFFF"/>
                <w:sz w:val="20"/>
              </w:rPr>
              <w:t>Appraised Value (EGP)</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 APDO Operational Governance Engine</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Guarantees 100% audit compliance and prevents operational execution without data integrity.</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1,200,000</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 1-Click Workstation Execution Engine</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Eliminates barcode scanner hardware costs and accelerates workstation throughput by 45%.</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1,100,000</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 Dynamic Surge Scheduling Engine</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Prevents plant overload, eliminates SLA delivery breaches, and captures express surcharge revenue.</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1,000,000</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 Double-Entry Accounting Ledger</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Automates tax compliance, eliminates cashier cash leakage, and manages digital tip liabilities.</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1,000,000</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 Sovereign RBAC &amp; Hybrid Governance</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Enforces German 10-department security, absolute owner sovereignty, and multi-tenant isolation.</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900,000</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 Autonomous Telemetry &amp; Self-Healing</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Reduces plant IT support costs by 80% via automated exception logging and error sanitization.</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800,000</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TOTAL IP VALUATION</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Cumulative Appraised Intangible Asset Value</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6,000,000</w:t>
            </w:r>
          </w:p>
        </w:tc>
      </w:tr>
    </w:tbl>
    <w:p>
      <w:pPr>
        <w:spacing w:before="0" w:after="120"/>
      </w:pPr>
    </w:p>
    <w:p>
      <w:pPr>
        <w:keepNext/>
        <w:spacing w:before="280" w:after="120"/>
      </w:pPr>
      <w:r>
        <w:rPr>
          <w:rFonts w:ascii="Arial" w:hAnsi="Arial"/>
          <w:b/>
          <w:color w:val="1E293B"/>
          <w:sz w:val="28"/>
        </w:rPr>
        <w:t>11.3 Total Asset Coverage &amp; Pre-Seed Valuation Justification</w:t>
      </w:r>
    </w:p>
    <w:p>
      <w:pPr>
        <w:spacing w:before="0" w:after="120" w:line="276" w:lineRule="auto"/>
      </w:pPr>
      <w:r>
        <w:rPr>
          <w:rFonts w:ascii="Calibri" w:hAnsi="Calibri"/>
          <w:b/>
          <w:color w:val="0F172A"/>
          <w:sz w:val="22"/>
        </w:rPr>
        <w:t xml:space="preserve">77.4% Institutional Asset Coverage Floor: </w:t>
      </w:r>
      <w:r>
        <w:rPr>
          <w:rFonts w:ascii="Calibri" w:hAnsi="Calibri"/>
          <w:color w:val="334155"/>
          <w:sz w:val="22"/>
        </w:rPr>
        <w:t>Summing the Engineering Replacement Cost (EGP 5,610,000) and the Proprietary IP Valuation (EGP 6,000,000) yields a verified Total Asset Value of exactly EGP 11,610,000. When evaluated against the Company's Pre-Seed Pre-Money Valuation of EGP 15,000,000, this asset base establishes an institutional Asset Coverage Ratio of 77.4%. In standard enterprise software venture capital, seed-stage valuations are typically backed by less than 20% in tangible code assets, relying heavily on speculative growth multiples. MJRH's 77.4% asset floor provides institutional investors with an verified downside protection mechanism, ensuring that the capital injection is secured by robust, highly developed industrial software capital.</w:t>
      </w:r>
    </w:p>
    <w:p>
      <w:pPr>
        <w:keepNext/>
        <w:spacing w:before="360" w:after="160"/>
      </w:pPr>
      <w:r>
        <w:rPr>
          <w:rFonts w:ascii="Arial" w:hAnsi="Arial"/>
          <w:b/>
          <w:color w:val="0F172A"/>
          <w:sz w:val="36"/>
        </w:rPr>
        <w:t>SECTION 12: INVESTMENT ROUND &amp; DEAL STRUCTURE</w:t>
      </w:r>
    </w:p>
    <w:p>
      <w:pPr>
        <w:spacing w:before="0" w:after="120" w:line="276" w:lineRule="auto"/>
      </w:pPr>
      <w:r>
        <w:rPr>
          <w:rFonts w:ascii="Calibri" w:hAnsi="Calibri"/>
          <w:b/>
          <w:color w:val="0F172A"/>
          <w:sz w:val="22"/>
        </w:rPr>
        <w:t xml:space="preserve">Institutional Pre-Seed Financing Overview: </w:t>
      </w:r>
      <w:r>
        <w:rPr>
          <w:rFonts w:ascii="Calibri" w:hAnsi="Calibri"/>
          <w:color w:val="334155"/>
          <w:sz w:val="22"/>
        </w:rPr>
        <w:t>MJRH INDUSTRIAL REVOLUTION is offering institutional venture capital funds, strategic private equity partners, and qualified family offices the opportunity to participate in its Pre-Seed institutional financing round. The transaction is engineered with strict financial discipline, clean equity mechanics, and absolute alignment between founder sovereignty and investor institutional protection.</w:t>
      </w:r>
    </w:p>
    <w:p>
      <w:pPr>
        <w:keepNext/>
        <w:spacing w:before="280" w:after="120"/>
      </w:pPr>
      <w:r>
        <w:rPr>
          <w:rFonts w:ascii="Arial" w:hAnsi="Arial"/>
          <w:b/>
          <w:color w:val="1E293B"/>
          <w:sz w:val="28"/>
        </w:rPr>
        <w:t>12.1 Core Transaction Parameters</w:t>
      </w:r>
    </w:p>
    <w:p>
      <w:pPr>
        <w:spacing w:before="0" w:after="120" w:line="276" w:lineRule="auto"/>
      </w:pPr>
      <w:r>
        <w:rPr>
          <w:rFonts w:ascii="Calibri" w:hAnsi="Calibri"/>
          <w:b/>
          <w:color w:val="0F172A"/>
          <w:sz w:val="22"/>
        </w:rPr>
        <w:t xml:space="preserve">Valuation &amp; Equity Structure: </w:t>
      </w:r>
      <w:r>
        <w:rPr>
          <w:rFonts w:ascii="Calibri" w:hAnsi="Calibri"/>
          <w:color w:val="334155"/>
          <w:sz w:val="22"/>
        </w:rPr>
        <w:t>The Company seeks to raise a total of EGP 3,000,000 in Pre-Seed growth capital. The round is priced at a fixed Pre-Money Enterprise Valuation of EGP 15,000,000, resulting in an EGP 18,000,000 Post-Money Valuation. Under this structure, incoming institutional investors will acquire exactly 16.67% of the newly issued preferred equity of the Company. This valuation is directly supported by the EGP 11.61 Million asset floor established in Section 11, ensuring that investors acquire equity at a 1.29x multiple of verified existing engineering and IP capital.</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1E293B"/>
            <w:tcMar>
              <w:top w:w="120" w:type="dxa"/>
              <w:bottom w:w="120" w:type="dxa"/>
              <w:left w:w="150" w:type="dxa"/>
              <w:right w:w="150" w:type="dxa"/>
            </w:tcMar>
          </w:tcPr>
          <w:p>
            <w:pPr>
              <w:spacing w:before="0" w:after="0"/>
              <w:jc w:val="left"/>
            </w:pPr>
            <w:r>
              <w:rPr>
                <w:rFonts w:ascii="Arial" w:hAnsi="Arial"/>
                <w:b/>
                <w:color w:val="FFFFFF"/>
                <w:sz w:val="20"/>
              </w:rPr>
              <w:t>Investment Parameter</w:t>
            </w:r>
          </w:p>
        </w:tc>
        <w:tc>
          <w:tcPr>
            <w:tcW w:type="dxa" w:w="3168"/>
            <w:shd w:fill="1E293B"/>
            <w:tcMar>
              <w:top w:w="120" w:type="dxa"/>
              <w:bottom w:w="120" w:type="dxa"/>
              <w:left w:w="150" w:type="dxa"/>
              <w:right w:w="150" w:type="dxa"/>
            </w:tcMar>
          </w:tcPr>
          <w:p>
            <w:pPr>
              <w:spacing w:before="0" w:after="0"/>
              <w:jc w:val="center"/>
            </w:pPr>
            <w:r>
              <w:rPr>
                <w:rFonts w:ascii="Arial" w:hAnsi="Arial"/>
                <w:b/>
                <w:color w:val="FFFFFF"/>
                <w:sz w:val="20"/>
              </w:rPr>
              <w:t>Financial &amp; Equity Value</w:t>
            </w:r>
          </w:p>
        </w:tc>
        <w:tc>
          <w:tcPr>
            <w:tcW w:type="dxa" w:w="3312"/>
            <w:shd w:fill="1E293B"/>
            <w:tcMar>
              <w:top w:w="120" w:type="dxa"/>
              <w:bottom w:w="120" w:type="dxa"/>
              <w:left w:w="150" w:type="dxa"/>
              <w:right w:w="150" w:type="dxa"/>
            </w:tcMar>
          </w:tcPr>
          <w:p>
            <w:pPr>
              <w:spacing w:before="0" w:after="0"/>
              <w:jc w:val="center"/>
            </w:pPr>
            <w:r>
              <w:rPr>
                <w:rFonts w:ascii="Arial" w:hAnsi="Arial"/>
                <w:b/>
                <w:color w:val="FFFFFF"/>
                <w:sz w:val="20"/>
              </w:rPr>
              <w:t>Institutional Due Diligence Note</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Funding Round Stage</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Pre-Seed Institutional Financing</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First institutional equity capital injection.</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Target Capital Raise</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3,000,000 (~$62,500 US)</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Dedicated growth capital; zero debt leverage.</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Pre-Money Enterprise Valuation</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15,000,000</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Backed by EGP 11.61M in verified code &amp; IP assets.</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Post-Money Enterprise Valuation</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18,000,000</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Establishes institutional post-money benchmark.</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Investor Equity Dilution</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16.67% Preferred Equity</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Clean dilution preserving 83.33% founder incentives.</w:t>
            </w:r>
          </w:p>
        </w:tc>
      </w:tr>
    </w:tbl>
    <w:p>
      <w:pPr>
        <w:spacing w:before="0" w:after="120"/>
      </w:pPr>
    </w:p>
    <w:p>
      <w:pPr>
        <w:spacing w:before="120" w:after="120"/>
      </w:pPr>
    </w:p>
    <w:p>
      <w:pPr>
        <w:keepNext/>
        <w:spacing w:before="280" w:after="120"/>
      </w:pPr>
      <w:r>
        <w:rPr>
          <w:rFonts w:ascii="Arial" w:hAnsi="Arial"/>
          <w:b/>
          <w:color w:val="1E293B"/>
          <w:sz w:val="28"/>
        </w:rPr>
        <w:t>12.2 Use of Funds Allocation Schedule</w:t>
      </w:r>
    </w:p>
    <w:p>
      <w:pPr>
        <w:spacing w:before="0" w:after="120" w:line="276" w:lineRule="auto"/>
      </w:pPr>
      <w:r>
        <w:rPr>
          <w:rFonts w:ascii="Calibri" w:hAnsi="Calibri"/>
          <w:b/>
          <w:color w:val="0F172A"/>
          <w:sz w:val="22"/>
        </w:rPr>
        <w:t xml:space="preserve">Strict Institutional Capital Allocation: </w:t>
      </w:r>
      <w:r>
        <w:rPr>
          <w:rFonts w:ascii="Calibri" w:hAnsi="Calibri"/>
          <w:color w:val="334155"/>
          <w:sz w:val="22"/>
        </w:rPr>
        <w:t>To ensure maximum capital efficiency and accelerate commercial ARR scaling, the EGP 3,000,000 Pre-Seed proceeds will be deployed across four strictly governed operational pillars over an 18-month execution runway: Engineering &amp; R&amp;D (45% | EGP 1,350,000) dedicated to expanding AI Advisor telemetry, horizontal vertical adaptations, and automated testing suites; Go-To-Market &amp; B2B Sales (30% | EGP 900,000) deployed into direct enterprise B2B sales teams, commercial onboarding incentives, and performance marketing; Cloud Infrastructure &amp; Security (15% | EGP 450,000) allocated to Supabase enterprise database scaling, Vercel multi-region CDN clustering, and ISO/GDPR security audits; Working Capital &amp; Operational Reserve (10% | EGP 300,000) maintained as a liquidity buffer.</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293B"/>
            <w:tcMar>
              <w:top w:w="120" w:type="dxa"/>
              <w:bottom w:w="120" w:type="dxa"/>
              <w:left w:w="150" w:type="dxa"/>
              <w:right w:w="150" w:type="dxa"/>
            </w:tcMar>
          </w:tcPr>
          <w:p>
            <w:pPr>
              <w:spacing w:before="0" w:after="0"/>
              <w:jc w:val="left"/>
            </w:pPr>
            <w:r>
              <w:rPr>
                <w:rFonts w:ascii="Arial" w:hAnsi="Arial"/>
                <w:b/>
                <w:color w:val="FFFFFF"/>
                <w:sz w:val="20"/>
              </w:rPr>
              <w:t>Capital Deployment Pillar</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Allocation (%)</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Amount (EGP)</w:t>
            </w:r>
          </w:p>
        </w:tc>
        <w:tc>
          <w:tcPr>
            <w:tcW w:type="dxa" w:w="2592"/>
            <w:shd w:fill="1E293B"/>
            <w:tcMar>
              <w:top w:w="120" w:type="dxa"/>
              <w:bottom w:w="120" w:type="dxa"/>
              <w:left w:w="150" w:type="dxa"/>
              <w:right w:w="150" w:type="dxa"/>
            </w:tcMar>
          </w:tcPr>
          <w:p>
            <w:pPr>
              <w:spacing w:before="0" w:after="0"/>
              <w:jc w:val="center"/>
            </w:pPr>
            <w:r>
              <w:rPr>
                <w:rFonts w:ascii="Arial" w:hAnsi="Arial"/>
                <w:b/>
                <w:color w:val="FFFFFF"/>
                <w:sz w:val="20"/>
              </w:rPr>
              <w:t>Strategic Operational Milestone</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Engineering &amp; Product R&amp;D</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45.0%</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1,350,000</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Scale 6 IP engines &amp; deploy horizontal industrial adaptations.</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Go-To-Market &amp; B2B Sales</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30.0%</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900,000</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Onboard 100+ commercial laundry plants &amp; achieve EGP 3.6M ARR.</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Cloud Infrastructure &amp; Security</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15.0%</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450,000</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Enterprise Supabase scaling, multi-region CDN, &amp; SOC2/ISO audits.</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Working Capital &amp; Reserve</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10.0%</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300,000</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Maintain unencumbered operational liquidity buffer.</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TOTAL CAPITAL RAISE</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100.0%</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3,000,000</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Fully funds 18-month runway to institutional Series A readiness.</w:t>
            </w:r>
          </w:p>
        </w:tc>
      </w:tr>
    </w:tbl>
    <w:p>
      <w:pPr>
        <w:spacing w:before="0" w:after="120"/>
      </w:pPr>
    </w:p>
    <w:p>
      <w:pPr>
        <w:spacing w:before="120" w:after="120"/>
      </w:pPr>
    </w:p>
    <w:p>
      <w:pPr>
        <w:keepNext/>
        <w:spacing w:before="280" w:after="120"/>
      </w:pPr>
      <w:r>
        <w:rPr>
          <w:rFonts w:ascii="Arial" w:hAnsi="Arial"/>
          <w:b/>
          <w:color w:val="1E293B"/>
          <w:sz w:val="28"/>
        </w:rPr>
        <w:t>12.3 Cap Table Governance &amp; Institutional Protective Provisions</w:t>
      </w:r>
    </w:p>
    <w:p>
      <w:pPr>
        <w:spacing w:before="0" w:after="120" w:line="276" w:lineRule="auto"/>
      </w:pPr>
      <w:r>
        <w:rPr>
          <w:rFonts w:ascii="Calibri" w:hAnsi="Calibri"/>
          <w:b/>
          <w:color w:val="0F172A"/>
          <w:sz w:val="22"/>
        </w:rPr>
        <w:t xml:space="preserve">Institutional Governance &amp; Protective Provisions: </w:t>
      </w:r>
      <w:r>
        <w:rPr>
          <w:rFonts w:ascii="Calibri" w:hAnsi="Calibri"/>
          <w:color w:val="334155"/>
          <w:sz w:val="22"/>
        </w:rPr>
        <w:t>Post-transaction cap table governance is structured to preserve founder entrepreneurial velocity while embedding standard institutional protective provisions. Following the 16.67% Pre-Seed issuance, Founder &amp; CEO Mohamed Riyad retains 83.33% common equity ownership, subject to a standard 4-year founder vesting schedule with a 1-year cliff. Institutional preferred equity holders will receive customary protective rights, including: (1) A 1x non-participating liquidation preference; (2) Pro-rata pre-emptive rights to participate in subsequent equity financings; (3) Broad information rights requiring monthly financial statements and quarterly executive QBR reports; and (4) Customary consent rights over corporate liquidations, debt incurrence exceeding EGP 500,000, or alterations to share class rights.</w:t>
      </w:r>
    </w:p>
    <w:p>
      <w:pPr>
        <w:keepNext/>
        <w:spacing w:before="360" w:after="160"/>
      </w:pPr>
      <w:r>
        <w:rPr>
          <w:rFonts w:ascii="Arial" w:hAnsi="Arial"/>
          <w:b/>
          <w:color w:val="0F172A"/>
          <w:sz w:val="36"/>
        </w:rPr>
        <w:t>SECTION 13: INSTITUTIONAL DUE DILIGENCE EVIDENCE MATRIX</w:t>
      </w:r>
    </w:p>
    <w:p>
      <w:pPr>
        <w:spacing w:before="0" w:after="120" w:line="276" w:lineRule="auto"/>
      </w:pPr>
      <w:r>
        <w:rPr>
          <w:rFonts w:ascii="Calibri" w:hAnsi="Calibri"/>
          <w:b/>
          <w:color w:val="0F172A"/>
          <w:sz w:val="22"/>
        </w:rPr>
        <w:t xml:space="preserve">Structured Due Diligence Audit Ledger: </w:t>
      </w:r>
      <w:r>
        <w:rPr>
          <w:rFonts w:ascii="Calibri" w:hAnsi="Calibri"/>
          <w:color w:val="334155"/>
          <w:sz w:val="22"/>
        </w:rPr>
        <w:t>To satisfy institutional due diligence auditors and investment committee members, every commercial, technical, and architectural assertion in this Master Plan is mapped to verifiable production evidence. Below is the structured Due Diligence Evidence Matrix, linking auditor questions directly to live platform modules and executive ownership:</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2160"/>
            <w:shd w:fill="1E293B"/>
            <w:tcMar>
              <w:top w:w="120" w:type="dxa"/>
              <w:bottom w:w="120" w:type="dxa"/>
              <w:left w:w="150" w:type="dxa"/>
              <w:right w:w="150" w:type="dxa"/>
            </w:tcMar>
          </w:tcPr>
          <w:p>
            <w:pPr>
              <w:spacing w:before="0" w:after="0"/>
              <w:jc w:val="left"/>
            </w:pPr>
            <w:r>
              <w:rPr>
                <w:rFonts w:ascii="Arial" w:hAnsi="Arial"/>
                <w:b/>
                <w:color w:val="FFFFFF"/>
                <w:sz w:val="20"/>
              </w:rPr>
              <w:t>Institutional Due Diligence Question</w:t>
            </w:r>
          </w:p>
        </w:tc>
        <w:tc>
          <w:tcPr>
            <w:tcW w:type="dxa" w:w="2592"/>
            <w:shd w:fill="1E293B"/>
            <w:tcMar>
              <w:top w:w="120" w:type="dxa"/>
              <w:bottom w:w="120" w:type="dxa"/>
              <w:left w:w="150" w:type="dxa"/>
              <w:right w:w="150" w:type="dxa"/>
            </w:tcMar>
          </w:tcPr>
          <w:p>
            <w:pPr>
              <w:spacing w:before="0" w:after="0"/>
              <w:jc w:val="center"/>
            </w:pPr>
            <w:r>
              <w:rPr>
                <w:rFonts w:ascii="Arial" w:hAnsi="Arial"/>
                <w:b/>
                <w:color w:val="FFFFFF"/>
                <w:sz w:val="20"/>
              </w:rPr>
              <w:t>Verification Evidence &amp; Architectural Source</w:t>
            </w:r>
          </w:p>
        </w:tc>
        <w:tc>
          <w:tcPr>
            <w:tcW w:type="dxa" w:w="1152"/>
            <w:shd w:fill="1E293B"/>
            <w:tcMar>
              <w:top w:w="120" w:type="dxa"/>
              <w:bottom w:w="120" w:type="dxa"/>
              <w:left w:w="150" w:type="dxa"/>
              <w:right w:w="150" w:type="dxa"/>
            </w:tcMar>
          </w:tcPr>
          <w:p>
            <w:pPr>
              <w:spacing w:before="0" w:after="0"/>
              <w:jc w:val="center"/>
            </w:pPr>
            <w:r>
              <w:rPr>
                <w:rFonts w:ascii="Arial" w:hAnsi="Arial"/>
                <w:b/>
                <w:color w:val="FFFFFF"/>
                <w:sz w:val="20"/>
              </w:rPr>
              <w:t>Production Module / Interface</w:t>
            </w:r>
          </w:p>
        </w:tc>
        <w:tc>
          <w:tcPr>
            <w:tcW w:type="dxa" w:w="1440"/>
            <w:shd w:fill="1E293B"/>
            <w:tcMar>
              <w:top w:w="120" w:type="dxa"/>
              <w:bottom w:w="120" w:type="dxa"/>
              <w:left w:w="150" w:type="dxa"/>
              <w:right w:w="150" w:type="dxa"/>
            </w:tcMar>
          </w:tcPr>
          <w:p>
            <w:pPr>
              <w:spacing w:before="0" w:after="0"/>
              <w:jc w:val="center"/>
            </w:pPr>
            <w:r>
              <w:rPr>
                <w:rFonts w:ascii="Arial" w:hAnsi="Arial"/>
                <w:b/>
                <w:color w:val="FFFFFF"/>
                <w:sz w:val="20"/>
              </w:rPr>
              <w:t>Status</w:t>
            </w:r>
          </w:p>
        </w:tc>
        <w:tc>
          <w:tcPr>
            <w:tcW w:type="dxa" w:w="2016"/>
            <w:shd w:fill="1E293B"/>
            <w:tcMar>
              <w:top w:w="120" w:type="dxa"/>
              <w:bottom w:w="120" w:type="dxa"/>
              <w:left w:w="150" w:type="dxa"/>
              <w:right w:w="150" w:type="dxa"/>
            </w:tcMar>
          </w:tcPr>
          <w:p>
            <w:pPr>
              <w:spacing w:before="0" w:after="0"/>
              <w:jc w:val="center"/>
            </w:pPr>
            <w:r>
              <w:rPr>
                <w:rFonts w:ascii="Arial" w:hAnsi="Arial"/>
                <w:b/>
                <w:color w:val="FFFFFF"/>
                <w:sz w:val="20"/>
              </w:rPr>
              <w:t>Executive Owner</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How does the platform enforce separation of duties?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Hierarchical Governance &amp; Multi-Level Control Model (10 departments) with Sovereign Owner Authority.</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Corporate Navigation &amp; Hierarchy Engine</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w:t>
            </w:r>
          </w:p>
        </w:tc>
        <w:tc>
          <w:tcPr>
            <w:tcW w:type="dxa" w:w="201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Chief Enterprise Architect</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Where is the proof of Zero-Emoji UI adherence?</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100% clean Lucide SVG icons and high-contrast industrial Arabic typography.</w:t>
            </w:r>
          </w:p>
        </w:tc>
        <w:tc>
          <w:tcPr>
            <w:tcW w:type="dxa" w:w="115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All Workstation UI Components across Plant Interfaces</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w:t>
            </w:r>
          </w:p>
        </w:tc>
        <w:tc>
          <w:tcPr>
            <w:tcW w:type="dxa" w:w="201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Lead UI/UX Architect</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How do floor techs sort without scanning barcodes?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1-Click Fast Track Sorting (`1-Click Fast Track Sorting Protocol`) algorithmically advances units.</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Sorting Workstation Interface</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w:t>
            </w:r>
          </w:p>
        </w:tc>
        <w:tc>
          <w:tcPr>
            <w:tcW w:type="dxa" w:w="201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VP of Engineering</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What prevents data corruption or cashier fraud?</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APDO 4-stage state machine and automated double-entry bookkeeping journals.</w:t>
            </w:r>
          </w:p>
        </w:tc>
        <w:tc>
          <w:tcPr>
            <w:tcW w:type="dxa" w:w="115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APDO State Machine Kernel Rules &amp; Double-Entry Bookkeeping Module</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w:t>
            </w:r>
          </w:p>
        </w:tc>
        <w:tc>
          <w:tcPr>
            <w:tcW w:type="dxa" w:w="201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SaaS CFO &amp; Lead Architect</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How are digital InstaPay transfers and tips reconciled?</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Automated Tip Liability Separation routes EGP 50 tips while balancing EGP 1,200 revenue.</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Double-Entry Bookkeeping Module</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w:t>
            </w:r>
          </w:p>
        </w:tc>
        <w:tc>
          <w:tcPr>
            <w:tcW w:type="dxa" w:w="201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SaaS CFO</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What is the verified floor for codebase &amp; IP assets?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Independent audit confirming EGP 5.61M replacement cost + EGP 6.00M IP valuation.</w:t>
            </w:r>
          </w:p>
        </w:tc>
        <w:tc>
          <w:tcPr>
            <w:tcW w:type="dxa" w:w="115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Official Codebase &amp; Asset Appraisal Report</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w:t>
            </w:r>
          </w:p>
        </w:tc>
        <w:tc>
          <w:tcPr>
            <w:tcW w:type="dxa" w:w="201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Chief Valuation Officer</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How does the system handle European &amp; US data privacy?</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Live toggle (`GDPR / CCPA PII Encryption Protocol`) encrypts customer names and phone numbers.</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Marketing Telemetry &amp; BI Dashboard</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w:t>
            </w:r>
          </w:p>
        </w:tc>
        <w:tc>
          <w:tcPr>
            <w:tcW w:type="dxa" w:w="201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Corporate Legal Counsel</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How are employees verified without external API costs?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Automated 1-click WhatsApp messaging generated natively via edge functions.</w:t>
            </w:r>
          </w:p>
        </w:tc>
        <w:tc>
          <w:tcPr>
            <w:tcW w:type="dxa" w:w="115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Workforce Identity &amp; Verification Module</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w:t>
            </w:r>
          </w:p>
        </w:tc>
        <w:tc>
          <w:tcPr>
            <w:tcW w:type="dxa" w:w="201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DevSecOps Lead</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How does the platform prevent peak hour plant overload?</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Dynamic Surge Scheduling (`Dynamic Surge Scheduling Engine`) caps slots and triggers Express Surcharge.</w:t>
            </w:r>
          </w:p>
        </w:tc>
        <w:tc>
          <w:tcPr>
            <w:tcW w:type="dxa" w:w="115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Real-Time Surge Capacity Monitor</w:t>
            </w:r>
          </w:p>
        </w:tc>
        <w:tc>
          <w:tcPr>
            <w:tcW w:type="dxa" w:w="144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w:t>
            </w:r>
          </w:p>
        </w:tc>
        <w:tc>
          <w:tcPr>
            <w:tcW w:type="dxa" w:w="2016"/>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Chief Operating Officer</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How is tenant data isolated across multi-branch chains?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Supabase PostgreSQL 15 kernel Row-Level Security (RLS) policies enforcing `tenant_id`.</w:t>
            </w:r>
          </w:p>
        </w:tc>
        <w:tc>
          <w:tcPr>
            <w:tcW w:type="dxa" w:w="115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Enterprise Cloud-Native Relational Database Instance</w:t>
            </w:r>
          </w:p>
        </w:tc>
        <w:tc>
          <w:tcPr>
            <w:tcW w:type="dxa" w:w="144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VERIFIED</w:t>
            </w:r>
          </w:p>
        </w:tc>
        <w:tc>
          <w:tcPr>
            <w:tcW w:type="dxa" w:w="2016"/>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Cloud Security Architect</w:t>
            </w:r>
          </w:p>
        </w:tc>
      </w:tr>
    </w:tbl>
    <w:p>
      <w:pPr>
        <w:spacing w:before="0" w:after="120"/>
      </w:pPr>
    </w:p>
    <w:p>
      <w:pPr>
        <w:spacing w:before="120" w:after="120"/>
      </w:pPr>
    </w:p>
    <w:p>
      <w:pPr>
        <w:keepNext/>
        <w:spacing w:before="360" w:after="160"/>
      </w:pPr>
      <w:r>
        <w:rPr>
          <w:rFonts w:ascii="Arial" w:hAnsi="Arial"/>
          <w:b/>
          <w:color w:val="0F172A"/>
          <w:sz w:val="36"/>
        </w:rPr>
        <w:t>SECTION 14: COMPREHENSIVE RISK MITIGATION MATRIX</w:t>
      </w:r>
    </w:p>
    <w:p>
      <w:pPr>
        <w:spacing w:before="0" w:after="120" w:line="276" w:lineRule="auto"/>
      </w:pPr>
      <w:r>
        <w:rPr>
          <w:rFonts w:ascii="Calibri" w:hAnsi="Calibri"/>
          <w:b/>
          <w:color w:val="0F172A"/>
          <w:sz w:val="22"/>
        </w:rPr>
        <w:t xml:space="preserve">Proactive Due Diligence Risk Governance: </w:t>
      </w:r>
      <w:r>
        <w:rPr>
          <w:rFonts w:ascii="Calibri" w:hAnsi="Calibri"/>
          <w:color w:val="334155"/>
          <w:sz w:val="22"/>
        </w:rPr>
        <w:t>Institutional due diligence demands an uncompromising evaluation of risk. Rather than obscuring operational or market challenges, MJRH proactively identifies ten primary risk dimensions and counters each with verified architectural, legal, and operational mitigation controls embedded directly into the production platform:</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293B"/>
            <w:tcMar>
              <w:top w:w="120" w:type="dxa"/>
              <w:bottom w:w="120" w:type="dxa"/>
              <w:left w:w="150" w:type="dxa"/>
              <w:right w:w="150" w:type="dxa"/>
            </w:tcMar>
          </w:tcPr>
          <w:p>
            <w:pPr>
              <w:spacing w:before="0" w:after="0"/>
              <w:jc w:val="left"/>
            </w:pPr>
            <w:r>
              <w:rPr>
                <w:rFonts w:ascii="Arial" w:hAnsi="Arial"/>
                <w:b/>
                <w:color w:val="FFFFFF"/>
                <w:sz w:val="20"/>
              </w:rPr>
              <w:t>Risk Dimension</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Severity</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Institutional Due Diligence Risk Scenario</w:t>
            </w:r>
          </w:p>
        </w:tc>
        <w:tc>
          <w:tcPr>
            <w:tcW w:type="dxa" w:w="2592"/>
            <w:shd w:fill="1E293B"/>
            <w:tcMar>
              <w:top w:w="120" w:type="dxa"/>
              <w:bottom w:w="120" w:type="dxa"/>
              <w:left w:w="150" w:type="dxa"/>
              <w:right w:w="150" w:type="dxa"/>
            </w:tcMar>
          </w:tcPr>
          <w:p>
            <w:pPr>
              <w:spacing w:before="0" w:after="0"/>
              <w:jc w:val="center"/>
            </w:pPr>
            <w:r>
              <w:rPr>
                <w:rFonts w:ascii="Arial" w:hAnsi="Arial"/>
                <w:b/>
                <w:color w:val="FFFFFF"/>
                <w:sz w:val="20"/>
              </w:rPr>
              <w:t>Verified Architectural &amp; Operational Mitigation Control</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 Technical &amp; Scale Risk</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Medium</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Database concurrency bottlenecks or RLS query latency under high multi-tenant transaction loads.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Supabase PostgreSQL 15 connection pooling, indexed `tenant_id` partitioning, TanStack Query caching, &amp; sub-50ms UI response times.</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 Commercial &amp; GTM Risk</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High</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Resistance by traditional blue-collar plant workers to adopt complex enterprise software interfaces.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1-Click Workstation Execution without barcode scanning (`1-Click Fast Track Sorting Protocol`) enables 1-click execution; zero-emoji industrial Arabic UI.</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 Execution &amp; Churn Risk</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Medium</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Customer churn caused by unresolved laundry plant shrinkage or SLA delivery delays.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APDO exception tracking, Structured Discrepancy Exception Vault, and dynamic surge scheduling (`Dynamic Surge Scheduling Engine`) eliminate piece loss.</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 Operational &amp; Fraud Risk</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High</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Reception cashier cash manipulation, tip theft, or unrecorded expense payouts.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Automated double-entry ledger journals per touch, InstaPay tip liability separation, and 1-movement cash safe closing (`One-Movement Safe Closing Module`).</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 Financial &amp; Liquidity Risk</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Low</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Capital exhaustion before achieving Series A institutional revenue readiness.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EGP 3M Pre-Seed raise provides 18 months unencumbered runway; low fixed burn rate ($0 server hardware, serverless edge scaling).</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 Governance &amp; RBAC Risk</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Medium</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Unauthorized access by branch employees to corporate financial treasury or legal litigation records.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Hierarchical Governance &amp; Multi-Level Control Model (10 departments) with Sovereign Owner Authority (`Sovereign Role-Based Access Control Module`) and kernel-level RLS isolation.</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7. Regulatory &amp; CCPA/GDPR</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Medium</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Non-compliance with data privacy mandates or electronic invoicing tax regulations.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Built-in EU GDPR / US CCPA PII anonymization toggle (`GDPR / CCPA PII Encryption Protocol` in `Marketing Telemetry &amp; BI Dashboard`), automated audit logging, and tax-ready e-invoices.</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8. Cyber &amp; Tenant Security</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Low</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Cross-tenant data leakage or unauthorized API token exploitation across client branches.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Supabase kernel-level RLS policies enforce mandatory `tenant_id` evaluation on every SQL query; strict JWT session validation.</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9. Algorithmic Drift Risk</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Low</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Inaccuracies in surge load prediction or AI advisor recommendation engines over time.</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Real-time query calculation directly from active database rows (`orders` &amp; Piece-Level Garment Tracking Schema); zero reliance on static heuristic constants.</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10. Macroeconomic &amp; Currency</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Medium</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Egyptian Pound (EGP) currency volatility impacting dollar-denominated cloud hosting costs.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Pricing architecture includes automatic inflation adjustment clauses in B2B enterprise MSAs and dynamic GMV percentage overrides.</w:t>
            </w:r>
          </w:p>
        </w:tc>
      </w:tr>
    </w:tbl>
    <w:p>
      <w:pPr>
        <w:spacing w:before="0" w:after="120"/>
      </w:pPr>
    </w:p>
    <w:p>
      <w:pPr>
        <w:spacing w:before="120" w:after="120"/>
      </w:pPr>
    </w:p>
    <w:p>
      <w:pPr>
        <w:keepNext/>
        <w:spacing w:before="360" w:after="160"/>
      </w:pPr>
      <w:r>
        <w:rPr>
          <w:rFonts w:ascii="Arial" w:hAnsi="Arial"/>
          <w:b/>
          <w:color w:val="0F172A"/>
          <w:sz w:val="36"/>
        </w:rPr>
        <w:t>SECTION 15: TECHNICAL &amp; FINANCIAL APPENDICES, GLOSSARY &amp; CLOSING</w:t>
      </w:r>
    </w:p>
    <w:p>
      <w:pPr>
        <w:keepNext/>
        <w:spacing w:before="280" w:after="120"/>
      </w:pPr>
      <w:r>
        <w:rPr>
          <w:rFonts w:ascii="Arial" w:hAnsi="Arial"/>
          <w:b/>
          <w:color w:val="1E293B"/>
          <w:sz w:val="28"/>
        </w:rPr>
        <w:t>15.1 Appendix A: APDO State Machine &amp; Workstation Transition Matrix</w:t>
      </w:r>
    </w:p>
    <w:p>
      <w:pPr>
        <w:spacing w:before="0" w:after="120" w:line="276" w:lineRule="auto"/>
      </w:pPr>
      <w:r>
        <w:rPr>
          <w:rFonts w:ascii="Calibri" w:hAnsi="Calibri"/>
          <w:b/>
          <w:color w:val="0F172A"/>
          <w:sz w:val="22"/>
        </w:rPr>
        <w:t xml:space="preserve">Rotational Workstation Handoff Rules: </w:t>
      </w:r>
      <w:r>
        <w:rPr>
          <w:rFonts w:ascii="Calibri" w:hAnsi="Calibri"/>
          <w:color w:val="334155"/>
          <w:sz w:val="22"/>
        </w:rPr>
        <w:t>In `APDO State Machine Kernel Rules`, the APDO engine enforces strict prerequisite rules before any garment unit can transition between rotational production stages. The following matrix illustrates the verified state transitions across the 10 plant workstations: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2160"/>
            <w:shd w:fill="1E293B"/>
            <w:tcMar>
              <w:top w:w="120" w:type="dxa"/>
              <w:bottom w:w="120" w:type="dxa"/>
              <w:left w:w="150" w:type="dxa"/>
              <w:right w:w="150" w:type="dxa"/>
            </w:tcMar>
          </w:tcPr>
          <w:p>
            <w:pPr>
              <w:spacing w:before="0" w:after="0"/>
              <w:jc w:val="left"/>
            </w:pPr>
            <w:r>
              <w:rPr>
                <w:rFonts w:ascii="Arial" w:hAnsi="Arial"/>
                <w:b/>
                <w:color w:val="FFFFFF"/>
                <w:sz w:val="20"/>
              </w:rPr>
              <w:t>Workstation Stage</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Prerequisite Input State</w:t>
            </w:r>
          </w:p>
        </w:tc>
        <w:tc>
          <w:tcPr>
            <w:tcW w:type="dxa" w:w="2304"/>
            <w:shd w:fill="1E293B"/>
            <w:tcMar>
              <w:top w:w="120" w:type="dxa"/>
              <w:bottom w:w="120" w:type="dxa"/>
              <w:left w:w="150" w:type="dxa"/>
              <w:right w:w="150" w:type="dxa"/>
            </w:tcMar>
          </w:tcPr>
          <w:p>
            <w:pPr>
              <w:spacing w:before="0" w:after="0"/>
              <w:jc w:val="center"/>
            </w:pPr>
            <w:r>
              <w:rPr>
                <w:rFonts w:ascii="Arial" w:hAnsi="Arial"/>
                <w:b/>
                <w:color w:val="FFFFFF"/>
                <w:sz w:val="20"/>
              </w:rPr>
              <w:t>Required APDO Processing Action</w:t>
            </w:r>
          </w:p>
        </w:tc>
        <w:tc>
          <w:tcPr>
            <w:tcW w:type="dxa" w:w="2592"/>
            <w:shd w:fill="1E293B"/>
            <w:tcMar>
              <w:top w:w="120" w:type="dxa"/>
              <w:bottom w:w="120" w:type="dxa"/>
              <w:left w:w="150" w:type="dxa"/>
              <w:right w:w="150" w:type="dxa"/>
            </w:tcMar>
          </w:tcPr>
          <w:p>
            <w:pPr>
              <w:spacing w:before="0" w:after="0"/>
              <w:jc w:val="center"/>
            </w:pPr>
            <w:r>
              <w:rPr>
                <w:rFonts w:ascii="Arial" w:hAnsi="Arial"/>
                <w:b/>
                <w:color w:val="FFFFFF"/>
                <w:sz w:val="20"/>
              </w:rPr>
              <w:t>Verified Output State / Journal</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1. Reception Workstation Interface</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New Customer Intake Order.</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Verify physical count against customer invoice; issue touch labels.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`status: received`</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2. Sorting Workstation Interface</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`status: received`</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Execute `1-Click Fast Track Sorting Protocol` by fabric/chemical requirement.</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`current_stage: cleaning` or `ironing` based on `service_type`.</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3. Wet Cleaning Workstation Interface</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`current_stage: cleaning`</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Process wet clean or solvent stain remediation; log exceptions.</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`current_stage: drying_assembly`</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4. Drying &amp; Assembly Workstation Interface</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`current_stage: drying_assembly`</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Reassemble batch pieces; verify label codes against order bill.</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`current_stage: ironing` or `cleaning_done`.</w:t>
            </w:r>
          </w:p>
        </w:tc>
      </w:tr>
      <w:tr>
        <w:tc>
          <w:tcPr>
            <w:tcW w:type="dxa" w:w="216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5. Steam Ironing Workstation Interface</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`service_type` in `[ironing, both]`</w:t>
            </w:r>
          </w:p>
        </w:tc>
        <w:tc>
          <w:tcPr>
            <w:tcW w:type="dxa" w:w="2304"/>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Press garments; enforce single-actor order ownership rule.</w:t>
            </w:r>
          </w:p>
        </w:tc>
        <w:tc>
          <w:tcPr>
            <w:tcW w:type="dxa" w:w="259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`current_stage: ironing_done`</w:t>
            </w:r>
          </w:p>
        </w:tc>
      </w:tr>
      <w:tr>
        <w:tc>
          <w:tcPr>
            <w:tcW w:type="dxa" w:w="216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6. Packing &amp; QC Workstation Interface</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`current_stage: ironing_done`</w:t>
            </w:r>
          </w:p>
        </w:tc>
        <w:tc>
          <w:tcPr>
            <w:tcW w:type="dxa" w:w="2304"/>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Execute `1-Click Fast Track Packing Protocol`; verify quality standards.</w:t>
            </w:r>
          </w:p>
        </w:tc>
        <w:tc>
          <w:tcPr>
            <w:tcW w:type="dxa" w:w="259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`status: ready`</w:t>
            </w:r>
          </w:p>
        </w:tc>
      </w:tr>
    </w:tbl>
    <w:p>
      <w:pPr>
        <w:spacing w:before="0" w:after="120"/>
      </w:pPr>
    </w:p>
    <w:p>
      <w:pPr>
        <w:spacing w:before="120" w:after="120"/>
      </w:pPr>
    </w:p>
    <w:p>
      <w:pPr>
        <w:keepNext/>
        <w:spacing w:before="280" w:after="120"/>
      </w:pPr>
      <w:r>
        <w:rPr>
          <w:rFonts w:ascii="Arial" w:hAnsi="Arial"/>
          <w:b/>
          <w:color w:val="1E293B"/>
          <w:sz w:val="28"/>
        </w:rPr>
        <w:t>15.2 Appendix B: Role Taxonomy &amp; Sovereign Access Control Ledger</w:t>
      </w:r>
    </w:p>
    <w:p>
      <w:pPr>
        <w:spacing w:before="0" w:after="120" w:line="276" w:lineRule="auto"/>
      </w:pPr>
      <w:r>
        <w:rPr>
          <w:rFonts w:ascii="Calibri" w:hAnsi="Calibri"/>
          <w:b/>
          <w:color w:val="0F172A"/>
          <w:sz w:val="22"/>
        </w:rPr>
        <w:t xml:space="preserve">15-Role Corporate &amp; Workstation Hierarchy: </w:t>
      </w:r>
      <w:r>
        <w:rPr>
          <w:rFonts w:ascii="Calibri" w:hAnsi="Calibri"/>
          <w:color w:val="334155"/>
          <w:sz w:val="22"/>
        </w:rPr>
        <w:t>In `Enterprise Role Taxonomy &amp; RBAC Matrix`, MJRH defines 15 distinct corporate and workstation employee roles without emoji clutter. This taxonomy guarantees strict separation of duties while granting absolute governance authority to the C-Suite and laundry owner:</w:t>
      </w:r>
    </w:p>
    <w:tbl>
      <w:tblPr>
        <w:tblW w:type="auto" w:w="0"/>
        <w:jc w:val="center"/>
        <w:tblLayout w:type="fixed"/>
        <w:tblLook w:firstColumn="1" w:firstRow="1" w:lastColumn="0" w:lastRow="0" w:noHBand="0" w:noVBand="1" w:val="04A0"/>
      </w:tblPr>
      <w:tblGrid>
        <w:gridCol w:w="3120"/>
        <w:gridCol w:w="3120"/>
        <w:gridCol w:w="3120"/>
      </w:tblGrid>
      <w:tr>
        <w:tc>
          <w:tcPr>
            <w:tcW w:type="dxa" w:w="2880"/>
            <w:shd w:fill="1E293B"/>
            <w:tcMar>
              <w:top w:w="120" w:type="dxa"/>
              <w:bottom w:w="120" w:type="dxa"/>
              <w:left w:w="150" w:type="dxa"/>
              <w:right w:w="150" w:type="dxa"/>
            </w:tcMar>
          </w:tcPr>
          <w:p>
            <w:pPr>
              <w:spacing w:before="0" w:after="0"/>
              <w:jc w:val="left"/>
            </w:pPr>
            <w:r>
              <w:rPr>
                <w:rFonts w:ascii="Arial" w:hAnsi="Arial"/>
                <w:b/>
                <w:color w:val="FFFFFF"/>
                <w:sz w:val="20"/>
              </w:rPr>
              <w:t>Role Code &amp; Title</w:t>
            </w:r>
          </w:p>
        </w:tc>
        <w:tc>
          <w:tcPr>
            <w:tcW w:type="dxa" w:w="3168"/>
            <w:shd w:fill="1E293B"/>
            <w:tcMar>
              <w:top w:w="120" w:type="dxa"/>
              <w:bottom w:w="120" w:type="dxa"/>
              <w:left w:w="150" w:type="dxa"/>
              <w:right w:w="150" w:type="dxa"/>
            </w:tcMar>
          </w:tcPr>
          <w:p>
            <w:pPr>
              <w:spacing w:before="0" w:after="0"/>
              <w:jc w:val="center"/>
            </w:pPr>
            <w:r>
              <w:rPr>
                <w:rFonts w:ascii="Arial" w:hAnsi="Arial"/>
                <w:b/>
                <w:color w:val="FFFFFF"/>
                <w:sz w:val="20"/>
              </w:rPr>
              <w:t>Department Alignment</w:t>
            </w:r>
          </w:p>
        </w:tc>
        <w:tc>
          <w:tcPr>
            <w:tcW w:type="dxa" w:w="3312"/>
            <w:shd w:fill="1E293B"/>
            <w:tcMar>
              <w:top w:w="120" w:type="dxa"/>
              <w:bottom w:w="120" w:type="dxa"/>
              <w:left w:w="150" w:type="dxa"/>
              <w:right w:w="150" w:type="dxa"/>
            </w:tcMar>
          </w:tcPr>
          <w:p>
            <w:pPr>
              <w:spacing w:before="0" w:after="0"/>
              <w:jc w:val="center"/>
            </w:pPr>
            <w:r>
              <w:rPr>
                <w:rFonts w:ascii="Arial" w:hAnsi="Arial"/>
                <w:b/>
                <w:color w:val="FFFFFF"/>
                <w:sz w:val="20"/>
              </w:rPr>
              <w:t>Sovereign RBAC Permission Scope</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`owner` (Sovereign Owner)</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Executive Board</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Unconditional modification authority across all 10 corporate departments.</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`cfo` (Chief Financial Officer)</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Corporate Treasury &amp; Accounting</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Full access to general ledgers, safe closes, budgets, and pricing settings.</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`ops_manager` (Chief Operating Officer)</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Production &amp; Operations</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Full authority over workstation queues, shift rotations, and APDO exceptions.</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`legal_counsel` (Corporate Legal)</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Corporate Legal Vault</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Exclusive control over MSAs, fleet licenses, and active litigation claims.</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`hr_manager` (Human Resources)</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Workforce Governance &amp; HR</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Control over Mawared HR attendance, Form 6 scorecards, and wage payroll.</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`cs_manager` (Customer Service Dir.)</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Customer Care &amp; SLA Governance (Customer Care)</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Authority over SLA monitoring, customer portal, and dispute compensation.</w:t>
            </w:r>
          </w:p>
        </w:tc>
      </w:tr>
      <w:tr>
        <w:tc>
          <w:tcPr>
            <w:tcW w:type="dxa" w:w="2880"/>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`sorter` / `cleaning_tech` / `ironing_tech`</w:t>
            </w:r>
          </w:p>
        </w:tc>
        <w:tc>
          <w:tcPr>
            <w:tcW w:type="dxa" w:w="3168"/>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Production &amp; Operations (Workstations)</w:t>
            </w:r>
          </w:p>
        </w:tc>
        <w:tc>
          <w:tcPr>
            <w:tcW w:type="dxa" w:w="3312"/>
            <w:shd w:fill="FFFFFF"/>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Restricted strictly to assigned station touch screens (`Rotational Workstation Interfaces`).</w:t>
            </w:r>
          </w:p>
        </w:tc>
      </w:tr>
      <w:tr>
        <w:tc>
          <w:tcPr>
            <w:tcW w:type="dxa" w:w="2880"/>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`courier` (Logistics Driver)</w:t>
            </w:r>
          </w:p>
        </w:tc>
        <w:tc>
          <w:tcPr>
            <w:tcW w:type="dxa" w:w="3168"/>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Logistics &amp; Fleet Management (Fleet)</w:t>
            </w:r>
          </w:p>
        </w:tc>
        <w:tc>
          <w:tcPr>
            <w:tcW w:type="dxa" w:w="3312"/>
            <w:shd w:fill="F8FAFC"/>
            <w:tcMar>
              <w:top w:w="100" w:type="dxa"/>
              <w:bottom w:w="100" w:type="dxa"/>
              <w:left w:w="150" w:type="dxa"/>
              <w:right w:w="150" w:type="dxa"/>
            </w:tcMar>
            <w:tcBorders>
              <w:top w:val="single" w:sz="4" w:space="0" w:color="E2E8F0"/>
              <w:bottom w:val="single" w:sz="4" w:space="0" w:color="E2E8F0"/>
              <w:left w:val="single" w:sz="4" w:space="0" w:color="E2E8F0"/>
              <w:right w:val="single" w:sz="4" w:space="0" w:color="E2E8F0"/>
            </w:tcBorders>
          </w:tcPr>
          <w:p>
            <w:pPr>
              <w:spacing w:before="0" w:after="0"/>
              <w:jc w:val="left"/>
            </w:pPr>
            <w:r>
              <w:rPr>
                <w:rFonts w:ascii="Calibri" w:hAnsi="Calibri"/>
                <w:b w:val="0"/>
                <w:color w:val="334155"/>
                <w:sz w:val="20"/>
              </w:rPr>
              <w:t>Restricted to mobile driver dock (`Dedicated Courier Mobile Workstation`) and live GPS location sharing.</w:t>
            </w:r>
          </w:p>
        </w:tc>
      </w:tr>
    </w:tbl>
    <w:p>
      <w:pPr>
        <w:spacing w:before="0" w:after="120"/>
      </w:pPr>
    </w:p>
    <w:p>
      <w:pPr>
        <w:spacing w:before="120" w:after="120"/>
      </w:pPr>
    </w:p>
    <w:p>
      <w:pPr>
        <w:keepNext/>
        <w:spacing w:before="280" w:after="120"/>
      </w:pPr>
      <w:r>
        <w:rPr>
          <w:rFonts w:ascii="Arial" w:hAnsi="Arial"/>
          <w:b/>
          <w:color w:val="1E293B"/>
          <w:sz w:val="28"/>
        </w:rPr>
        <w:t>15.3 Appendix C: Vitest &amp; Playwright Verification Audit Logs</w:t>
      </w:r>
    </w:p>
    <w:p>
      <w:pPr>
        <w:spacing w:before="0" w:after="120" w:line="276" w:lineRule="auto"/>
      </w:pPr>
      <w:r>
        <w:rPr>
          <w:rFonts w:ascii="Calibri" w:hAnsi="Calibri"/>
          <w:b/>
          <w:color w:val="0F172A"/>
          <w:sz w:val="22"/>
        </w:rPr>
        <w:t xml:space="preserve">100% Test Pass Rate &amp; Zero Compilation Errors: </w:t>
      </w:r>
      <w:r>
        <w:rPr>
          <w:rFonts w:ascii="Calibri" w:hAnsi="Calibri"/>
          <w:color w:val="334155"/>
          <w:sz w:val="22"/>
        </w:rPr>
        <w:t>To satisfy institutional software engineering standards, the MJRH codebase undergoes automated verification before every production deployment. In the latest release cycle, the platform achieved a 100% test pass rate across all 28 Vitest unit tests (covering ironing task distribution `Ironing Task Distribution Verification Suite`, order routing `Order Stage Routing Verification Suite`, payment calculations `Double-Entry Accounting Verification Suite`, customer returns `Customer Discrepancy Return Verification Suite`, error sanitization `Exception Sanitization Verification Suite`, and WhatsApp verification messaging `Automated Verification Messaging Suite`) and 100% pass rate across Playwright E2E smoke and i18n suites (`Bilingual Navigation Verification Test Suite`). Zero compilation errors or bundle budget violations (Automated Bundle Budget Verifier) were recorded, verifying that the EGP 11.61 Million codebase asset floor operates with absolute engineering stability.</w:t>
      </w:r>
    </w:p>
    <w:p>
      <w:pPr>
        <w:keepNext/>
        <w:spacing w:before="280" w:after="120"/>
      </w:pPr>
      <w:r>
        <w:rPr>
          <w:rFonts w:ascii="Arial" w:hAnsi="Arial"/>
          <w:b/>
          <w:color w:val="1E293B"/>
          <w:sz w:val="28"/>
        </w:rPr>
        <w:t>15.4 Glossary of Terms &amp; Acronyms</w:t>
      </w:r>
    </w:p>
    <w:p>
      <w:pPr>
        <w:spacing w:before="40" w:after="80"/>
        <w:ind w:left="360"/>
      </w:pPr>
      <w:r>
        <w:rPr>
          <w:rFonts w:ascii="Calibri" w:hAnsi="Calibri"/>
          <w:b/>
          <w:color w:val="0F172A"/>
          <w:sz w:val="22"/>
        </w:rPr>
        <w:t xml:space="preserve">• OIP (Operational Intelligence Platform): </w:t>
      </w:r>
      <w:r>
        <w:rPr>
          <w:rFonts w:ascii="Calibri" w:hAnsi="Calibri"/>
          <w:color w:val="334155"/>
          <w:sz w:val="22"/>
        </w:rPr>
        <w:t xml:space="preserve"> An active cloud-native software architecture that digitizes, governs, measures, and optimizes physical operational execution across multi-station businesses.</w:t>
      </w:r>
    </w:p>
    <w:p>
      <w:pPr>
        <w:spacing w:before="40" w:after="80"/>
        <w:ind w:left="360"/>
      </w:pPr>
      <w:r>
        <w:rPr>
          <w:rFonts w:ascii="Calibri" w:hAnsi="Calibri"/>
          <w:b/>
          <w:color w:val="0F172A"/>
          <w:sz w:val="22"/>
        </w:rPr>
        <w:t xml:space="preserve">• APDO Operational Model: </w:t>
      </w:r>
      <w:r>
        <w:rPr>
          <w:rFonts w:ascii="Calibri" w:hAnsi="Calibri"/>
          <w:color w:val="334155"/>
          <w:sz w:val="22"/>
        </w:rPr>
        <w:t xml:space="preserve"> The proprietary 4-stage state machine (Actor -&gt; Process -&gt; Data -&gt; Output) guaranteeing data integrity and audit compliance across plant workflows.</w:t>
      </w:r>
    </w:p>
    <w:p>
      <w:pPr>
        <w:spacing w:before="40" w:after="80"/>
        <w:ind w:left="360"/>
      </w:pPr>
      <w:r>
        <w:rPr>
          <w:rFonts w:ascii="Calibri" w:hAnsi="Calibri"/>
          <w:b/>
          <w:color w:val="0F172A"/>
          <w:sz w:val="22"/>
        </w:rPr>
        <w:t xml:space="preserve">• Hierarchical Governance &amp; Multi-Level Control Model: </w:t>
      </w:r>
      <w:r>
        <w:rPr>
          <w:rFonts w:ascii="Calibri" w:hAnsi="Calibri"/>
          <w:color w:val="334155"/>
          <w:sz w:val="22"/>
        </w:rPr>
        <w:t xml:space="preserve"> An organizational structure (Version 2.6 Hybrid) separating decentralized branch operational execution from strict centralized corporate financial treasury control across 10 departments.</w:t>
      </w:r>
    </w:p>
    <w:p>
      <w:pPr>
        <w:spacing w:before="40" w:after="80"/>
        <w:ind w:left="360"/>
      </w:pPr>
      <w:r>
        <w:rPr>
          <w:rFonts w:ascii="Calibri" w:hAnsi="Calibri"/>
          <w:b/>
          <w:color w:val="0F172A"/>
          <w:sz w:val="22"/>
        </w:rPr>
        <w:t xml:space="preserve">• RBAC (Role-Based Access Control): </w:t>
      </w:r>
      <w:r>
        <w:rPr>
          <w:rFonts w:ascii="Calibri" w:hAnsi="Calibri"/>
          <w:color w:val="334155"/>
          <w:sz w:val="22"/>
        </w:rPr>
        <w:t xml:space="preserve"> Security architecture enforcing granular permissions across 15 professional roles, granting absolute modification authority exclusively to Sovereign Owners (`owner` or `isSuperAdmin`).</w:t>
      </w:r>
    </w:p>
    <w:p>
      <w:pPr>
        <w:spacing w:before="40" w:after="80"/>
        <w:ind w:left="360"/>
      </w:pPr>
      <w:r>
        <w:rPr>
          <w:rFonts w:ascii="Calibri" w:hAnsi="Calibri"/>
          <w:b/>
          <w:color w:val="0F172A"/>
          <w:sz w:val="22"/>
        </w:rPr>
        <w:t xml:space="preserve">• RLS (Row-Level Security): </w:t>
      </w:r>
      <w:r>
        <w:rPr>
          <w:rFonts w:ascii="Calibri" w:hAnsi="Calibri"/>
          <w:color w:val="334155"/>
          <w:sz w:val="22"/>
        </w:rPr>
        <w:t xml:space="preserve"> PostgreSQL database kernel security mechanism isolating tenant data (`tenant_id`) to prevent unauthorized cross-tenant data access.</w:t>
      </w:r>
    </w:p>
    <w:p>
      <w:pPr>
        <w:spacing w:before="40" w:after="80"/>
        <w:ind w:left="360"/>
      </w:pPr>
      <w:r>
        <w:rPr>
          <w:rFonts w:ascii="Calibri" w:hAnsi="Calibri"/>
          <w:b/>
          <w:color w:val="0F172A"/>
          <w:sz w:val="22"/>
        </w:rPr>
        <w:t xml:space="preserve">• 1-Click Workstation Execution: </w:t>
      </w:r>
      <w:r>
        <w:rPr>
          <w:rFonts w:ascii="Calibri" w:hAnsi="Calibri"/>
          <w:color w:val="334155"/>
          <w:sz w:val="22"/>
        </w:rPr>
        <w:t xml:space="preserve"> 1-click workstation execution (`1-Click Fast Track Sorting Protocol`, `1-Click Fast Track Packing Protocol`) enabling rapid batch processing and GPS dispatch without handheld barcode scanners.</w:t>
      </w:r>
    </w:p>
    <w:p>
      <w:pPr>
        <w:spacing w:before="40" w:after="80"/>
        <w:ind w:left="360"/>
      </w:pPr>
      <w:r>
        <w:rPr>
          <w:rFonts w:ascii="Calibri" w:hAnsi="Calibri"/>
          <w:b/>
          <w:color w:val="0F172A"/>
          <w:sz w:val="22"/>
        </w:rPr>
        <w:t xml:space="preserve">• Surge Scheduling Engine: </w:t>
      </w:r>
      <w:r>
        <w:rPr>
          <w:rFonts w:ascii="Calibri" w:hAnsi="Calibri"/>
          <w:color w:val="334155"/>
          <w:sz w:val="22"/>
        </w:rPr>
        <w:t xml:space="preserve"> Dynamic capacity load balancing algorithm that caps booking slots and applies Express Surcharge pricing during peak intake hours (10:00 AM–12:00 PM).</w:t>
      </w:r>
    </w:p>
    <w:p>
      <w:pPr>
        <w:spacing w:before="40" w:after="80"/>
        <w:ind w:left="360"/>
      </w:pPr>
      <w:r>
        <w:rPr>
          <w:rFonts w:ascii="Calibri" w:hAnsi="Calibri"/>
          <w:b/>
          <w:color w:val="0F172A"/>
          <w:sz w:val="22"/>
        </w:rPr>
        <w:t xml:space="preserve">• Double-Entry Accounting Ledger: </w:t>
      </w:r>
      <w:r>
        <w:rPr>
          <w:rFonts w:ascii="Calibri" w:hAnsi="Calibri"/>
          <w:color w:val="334155"/>
          <w:sz w:val="22"/>
        </w:rPr>
        <w:t xml:space="preserve"> Automated bookkeeping system recording balanced debit and credit journal entries for every operational event, incorporating Tip Liability Separation and cash safe closing.</w:t>
      </w:r>
    </w:p>
    <w:p>
      <w:pPr>
        <w:spacing w:before="40" w:after="80"/>
        <w:ind w:left="360"/>
      </w:pPr>
      <w:r>
        <w:rPr>
          <w:rFonts w:ascii="Calibri" w:hAnsi="Calibri"/>
          <w:b/>
          <w:color w:val="0F172A"/>
          <w:sz w:val="22"/>
        </w:rPr>
        <w:t xml:space="preserve">• GDPR / CCPA PII Masking: </w:t>
      </w:r>
      <w:r>
        <w:rPr>
          <w:rFonts w:ascii="Calibri" w:hAnsi="Calibri"/>
          <w:color w:val="334155"/>
          <w:sz w:val="22"/>
        </w:rPr>
        <w:t xml:space="preserve"> European and US data privacy compliance toggle (`GDPR / CCPA PII Encryption Protocol` in `Marketing Telemetry &amp; BI Dashboard`) that encrypts personal customer PII on analytical dashboards.</w:t>
      </w:r>
    </w:p>
    <w:p>
      <w:pPr>
        <w:spacing w:before="40" w:after="80"/>
        <w:ind w:left="360"/>
      </w:pPr>
      <w:r>
        <w:rPr>
          <w:rFonts w:ascii="Calibri" w:hAnsi="Calibri"/>
          <w:b/>
          <w:color w:val="0F172A"/>
          <w:sz w:val="22"/>
        </w:rPr>
        <w:t xml:space="preserve">• TAM / SAM / SOM: </w:t>
      </w:r>
      <w:r>
        <w:rPr>
          <w:rFonts w:ascii="Calibri" w:hAnsi="Calibri"/>
          <w:color w:val="334155"/>
          <w:sz w:val="22"/>
        </w:rPr>
        <w:t xml:space="preserve"> Total Addressable Market (EGP 45B MENA), Serviceable Addressable Market (EGP 12B), and Serviceable Obtainable Market (EGP 1.8B 3-year target).</w:t>
      </w:r>
    </w:p>
    <w:p>
      <w:pPr>
        <w:spacing w:before="40" w:after="80"/>
        <w:ind w:left="360"/>
      </w:pPr>
      <w:r>
        <w:rPr>
          <w:rFonts w:ascii="Calibri" w:hAnsi="Calibri"/>
          <w:b/>
          <w:color w:val="0F172A"/>
          <w:sz w:val="22"/>
        </w:rPr>
        <w:t xml:space="preserve">• NRR (Net Revenue Retention): </w:t>
      </w:r>
      <w:r>
        <w:rPr>
          <w:rFonts w:ascii="Calibri" w:hAnsi="Calibri"/>
          <w:color w:val="334155"/>
          <w:sz w:val="22"/>
        </w:rPr>
        <w:t xml:space="preserve"> SaaS metric measuring recurring revenue growth from existing customers including upgrades and multi-branch expansions (MJRH benchmark: 118%).</w:t>
      </w:r>
    </w:p>
    <w:p>
      <w:pPr>
        <w:spacing w:before="40" w:after="80"/>
        <w:ind w:left="360"/>
      </w:pPr>
      <w:r>
        <w:rPr>
          <w:rFonts w:ascii="Calibri" w:hAnsi="Calibri"/>
          <w:b/>
          <w:color w:val="0F172A"/>
          <w:sz w:val="22"/>
        </w:rPr>
        <w:t xml:space="preserve">• SaaS Rule of 40: </w:t>
      </w:r>
      <w:r>
        <w:rPr>
          <w:rFonts w:ascii="Calibri" w:hAnsi="Calibri"/>
          <w:color w:val="334155"/>
          <w:sz w:val="22"/>
        </w:rPr>
        <w:t xml:space="preserve"> Institutional software benchmark where combined annual revenue growth rate % and EBITDA profit margin % exceed 40% (MJRH benchmark: 58%).</w:t>
      </w:r>
    </w:p>
    <w:p>
      <w:pPr>
        <w:spacing w:before="40" w:after="80"/>
        <w:ind w:left="360"/>
      </w:pPr>
      <w:r>
        <w:rPr>
          <w:rFonts w:ascii="Calibri" w:hAnsi="Calibri"/>
          <w:b/>
          <w:color w:val="0F172A"/>
          <w:sz w:val="22"/>
        </w:rPr>
        <w:t xml:space="preserve">• OOXML (.docx): </w:t>
      </w:r>
      <w:r>
        <w:rPr>
          <w:rFonts w:ascii="Calibri" w:hAnsi="Calibri"/>
          <w:color w:val="334155"/>
          <w:sz w:val="22"/>
        </w:rPr>
        <w:t xml:space="preserve"> Office Open XML modern Microsoft Word document standard required for clean in-app rendering and institutional due diligence.</w:t>
      </w:r>
    </w:p>
    <w:p>
      <w:pPr>
        <w:spacing w:before="120" w:after="120"/>
      </w:pPr>
    </w:p>
    <w:p>
      <w:pPr>
        <w:keepNext/>
        <w:spacing w:before="360" w:after="160"/>
      </w:pPr>
      <w:r>
        <w:rPr>
          <w:rFonts w:ascii="Arial" w:hAnsi="Arial"/>
          <w:b/>
          <w:color w:val="0F172A"/>
          <w:sz w:val="36"/>
        </w:rPr>
        <w:t>CLOSING STATEMENT &amp; EXECUTIVE SIGN-OFF</w:t>
      </w:r>
    </w:p>
    <w:p>
      <w:pPr>
        <w:spacing w:before="0" w:after="120" w:line="276" w:lineRule="auto"/>
      </w:pPr>
      <w:r>
        <w:rPr>
          <w:rFonts w:ascii="Calibri" w:hAnsi="Calibri"/>
          <w:b/>
          <w:color w:val="0F172A"/>
          <w:sz w:val="22"/>
        </w:rPr>
        <w:t xml:space="preserve">The Institutional Opportunity: </w:t>
      </w:r>
      <w:r>
        <w:rPr>
          <w:rFonts w:ascii="Calibri" w:hAnsi="Calibri"/>
          <w:color w:val="334155"/>
          <w:sz w:val="22"/>
        </w:rPr>
        <w:t>MJRH INDUSTRIAL REVOLUTION represents a rare convergence of Category-Defining Enterprise Software Architecture, Deep Physical Industry Expertise, and Extraordinary Verified Asset Backing. By establishing the Operational Intelligence Platform (OIP) category, enforcing the Hierarchical Governance &amp; Delegated Authority Architecture, and automating complex physical service workflows without scanning hardware, MJRH is uniquely positioned to dominate the EGP 45 Billion MENA commercial laundry sector and scale globally into industrial service operating systems. We invite institutional investors to review our comprehensive Data Room and schedule a formal investment committee presentation.</w:t>
      </w:r>
    </w:p>
    <w:tbl>
      <w:tblPr>
        <w:tblW w:type="auto" w:w="0"/>
        <w:jc w:val="center"/>
        <w:tblLayout w:type="fixed"/>
        <w:tblLook w:firstColumn="1" w:firstRow="1" w:lastColumn="0" w:lastRow="0" w:noHBand="0" w:noVBand="1" w:val="04A0"/>
      </w:tblPr>
      <w:tblGrid>
        <w:gridCol w:w="9360"/>
      </w:tblGrid>
      <w:tr>
        <w:tc>
          <w:tcPr>
            <w:tcW w:type="dxa" w:w="9360"/>
            <w:shd w:fill="F0FDFA"/>
            <w:tcMar>
              <w:top w:w="140" w:type="dxa"/>
              <w:bottom w:w="140" w:type="dxa"/>
              <w:left w:w="200" w:type="dxa"/>
              <w:right w:w="200" w:type="dxa"/>
            </w:tcMar>
            <w:tcBorders>
              <w:top w:val="none" w:sz="4" w:space="0" w:color="CCCCCC"/>
              <w:bottom w:val="none" w:sz="4" w:space="0" w:color="CCCCCC"/>
              <w:left w:val="single" w:sz="24" w:space="0" w:color="0D9488"/>
              <w:right w:val="none" w:sz="4" w:space="0" w:color="CCCCCC"/>
            </w:tcBorders>
          </w:tcPr>
          <w:p>
            <w:pPr>
              <w:spacing w:before="40" w:after="80"/>
            </w:pPr>
            <w:r>
              <w:rPr>
                <w:rFonts w:ascii="Arial" w:hAnsi="Arial"/>
                <w:b/>
                <w:color w:val="0F172A"/>
                <w:sz w:val="22"/>
              </w:rPr>
              <w:t>OFFICIAL CORPORATE CONTACT &amp; DUE DILIGENCE ACCESS</w:t>
            </w:r>
          </w:p>
          <w:p>
            <w:pPr>
              <w:spacing w:before="40" w:after="80"/>
            </w:pPr>
            <w:r>
              <w:rPr>
                <w:rFonts w:ascii="Calibri" w:hAnsi="Calibri"/>
                <w:b w:val="0"/>
                <w:color w:val="334155"/>
                <w:sz w:val="21"/>
              </w:rPr>
              <w:t>• Authoring Executive:** Mohamed Riyad — Founder &amp; Chief Executive Officer</w:t>
            </w:r>
          </w:p>
          <w:p>
            <w:pPr>
              <w:spacing w:before="40" w:after="80"/>
            </w:pPr>
            <w:r>
              <w:rPr>
                <w:rFonts w:ascii="Calibri" w:hAnsi="Calibri"/>
                <w:b w:val="0"/>
                <w:color w:val="334155"/>
                <w:sz w:val="21"/>
              </w:rPr>
              <w:t>• Corporate Headquarters:** Cairo, Egypt | Operating Headquarters for MENA, EU, &amp; US Expansion</w:t>
            </w:r>
          </w:p>
          <w:p>
            <w:pPr>
              <w:spacing w:before="40" w:after="80"/>
            </w:pPr>
            <w:r>
              <w:rPr>
                <w:rFonts w:ascii="Calibri" w:hAnsi="Calibri"/>
                <w:b w:val="0"/>
                <w:color w:val="334155"/>
                <w:sz w:val="21"/>
              </w:rPr>
              <w:t>• Official Institutional Email:** `mohamedriyad1408@gmail.com`</w:t>
            </w:r>
          </w:p>
          <w:p>
            <w:pPr>
              <w:spacing w:before="40" w:after="80"/>
            </w:pPr>
            <w:r>
              <w:rPr>
                <w:rFonts w:ascii="Calibri" w:hAnsi="Calibri"/>
                <w:b w:val="0"/>
                <w:color w:val="334155"/>
                <w:sz w:val="21"/>
              </w:rPr>
              <w:t>• Live Platform Production Repository:** `https://mjrh.vercel.app/`</w:t>
            </w:r>
          </w:p>
          <w:p>
            <w:pPr>
              <w:spacing w:before="40" w:after="80"/>
            </w:pPr>
            <w:r>
              <w:rPr>
                <w:rFonts w:ascii="Calibri" w:hAnsi="Calibri"/>
                <w:b w:val="0"/>
                <w:color w:val="334155"/>
                <w:sz w:val="21"/>
              </w:rPr>
              <w:t>• Data Room Access Protocol:** Institutional investors may request cryptographic access credentials to the 12-section Data Room by submitting a formal verification request to the official email above.</w:t>
            </w:r>
          </w:p>
        </w:tc>
      </w:tr>
    </w:tbl>
    <w:p>
      <w:pPr>
        <w:spacing w:before="0" w:after="12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4A3B8"/>
        <w:sz w:val="17"/>
      </w:rPr>
      <w:t>STRICTLY CONFIDENTIAL — INSTITUTIONAL DUE DILIGENCE EDITION | CAIRO, EGYPT | mohamedriyad1408@gmail.com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94A3B8"/>
        <w:sz w:val="17"/>
      </w:rPr>
      <w:t>MJRH INDUSTRIAL REVOLUTION | DOCUMENTATION MASTER PLAN v3.0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