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Times New Roman" w:hAnsi="Times New Roman"/>
          <w:b/>
          <w:i w:val="0"/>
          <w:sz w:val="20"/>
        </w:rPr>
        <w:t>Supplementary Table 1. PPMI Parkinson’s cohort: biophysical ODE model as predictor of cortical thickness. Observations: 8,160; Groups: 120; Log-likelihood: −4,739.66.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Predictor</w:t>
            </w:r>
          </w:p>
        </w:tc>
        <w:tc>
          <w:tcPr>
            <w:tcW w:type="dxa" w:w="144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Coeff (β)</w:t>
            </w:r>
          </w:p>
        </w:tc>
        <w:tc>
          <w:tcPr>
            <w:tcW w:type="dxa" w:w="144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SE</w:t>
            </w:r>
          </w:p>
        </w:tc>
        <w:tc>
          <w:tcPr>
            <w:tcW w:type="dxa" w:w="144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z</w:t>
            </w:r>
          </w:p>
        </w:tc>
        <w:tc>
          <w:tcPr>
            <w:tcW w:type="dxa" w:w="144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</w:t>
            </w:r>
          </w:p>
        </w:tc>
        <w:tc>
          <w:tcPr>
            <w:tcW w:type="dxa" w:w="144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95% CI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2.706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0.054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50.16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&lt; 0.001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[2.600, 2.812]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Simulated Atrophy (ODE)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−0.080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−16.86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&lt; 0.001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[−0.089, −0.071]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−0.003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−3.35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[−0.004, −0.001]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Sex (Male = 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−0.011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−0.68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0.496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[−0.041, 0.020]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Disease Duration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−0.009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−0.74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0.459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[−0.033, 0.015]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Mean FD (motion)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−0.122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0.126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−0.97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0.332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[−0.370, 0.125]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Group Variance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