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Times New Roman" w:hAnsi="Times New Roman"/>
          <w:b/>
          <w:i w:val="0"/>
          <w:sz w:val="20"/>
        </w:rPr>
        <w:t>Supplementary Table 2. ADNI cognitively normal cohort: linear mixed-effects predictors of longitudinal volume atrophy rate. Observations: 35,558; Groups: 556.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Predictor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Coeff (β)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SE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z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</w:p>
        </w:tc>
        <w:tc>
          <w:tcPr>
            <w:tcW w:type="dxa" w:w="1440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0.849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[−0.126, 1.825]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Betweenness Centrality (BC)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0.764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[−0.072, 0.053]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Transcriptomic Vulnerability (TVI)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−0.081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−3.35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[−0.129, −0.034]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BC × TVI (Interaction)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3.87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&lt; 0.001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[0.021, 0.063]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−2.42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[−0.026, −0.003]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Sex (Male = 1)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[−0.160, 0.209]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Mean FD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−0.994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1.898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[−4.714, 2.726]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ICV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−0.038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0.047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−0.81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[−0.130, 0.054]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