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Times New Roman" w:hAnsi="Times New Roman"/>
          <w:b/>
          <w:i w:val="0"/>
          <w:sz w:val="20"/>
        </w:rPr>
        <w:t>Supplementary Table 3. OASIS-3 AD dementia cohort: linear mixed-effects predictors of longitudinal volume atrophy rate. Groups: 124.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Predictor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Coeff (β)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SE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95% CI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4.233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2.940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1.44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[−1.529, 9.996]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Betweenness Centrality (BC)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[−0.180, 0.229]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Effective Distance (Dₑₒₒ)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[−0.011, 0.137]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Transcriptomic Vulnerability (TVI)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−0.114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−1.40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[−0.274, 0.046]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BC × TVI (Interaction)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0.076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[−0.105, 0.257]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−0.058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−1.58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[−0.131, 0.014]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Sex (Male = 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−0.460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0.466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−0.99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[−1.373, 0.453]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Disease Duration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[−0.160, 0.231]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Mean FD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−1.684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6.618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0.799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[−14.655, 11.288]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