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Times New Roman" w:hAnsi="Times New Roman"/>
          <w:b/>
          <w:i w:val="0"/>
          <w:sz w:val="20"/>
        </w:rPr>
        <w:t>Supplementary Table 4. OASIS-3 cognitively normal cohort (negative control): linear mixed-effects predictors of longitudinal volume atrophy rate. Observations: 25,500; Groups: 375.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Predictor</w:t>
            </w:r>
          </w:p>
        </w:tc>
        <w:tc>
          <w:tcPr>
            <w:tcW w:type="dxa" w:w="144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Coeff (β)</w:t>
            </w:r>
          </w:p>
        </w:tc>
        <w:tc>
          <w:tcPr>
            <w:tcW w:type="dxa" w:w="144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SE</w:t>
            </w:r>
          </w:p>
        </w:tc>
        <w:tc>
          <w:tcPr>
            <w:tcW w:type="dxa" w:w="144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z</w:t>
            </w:r>
          </w:p>
        </w:tc>
        <w:tc>
          <w:tcPr>
            <w:tcW w:type="dxa" w:w="144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</w:t>
            </w:r>
          </w:p>
        </w:tc>
        <w:tc>
          <w:tcPr>
            <w:tcW w:type="dxa" w:w="144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95% CI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0.104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0.781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0.894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[−1.426, 1.634]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Betweenness Centrality (BC)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−0.080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0.044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−1.82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0.069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[−0.165, 0.006]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Effective Distance (Dₑₒₒ)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1.58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0.113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[−0.006, 0.056]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Transcriptomic Vulnerability (TVI)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0.034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0.429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[−0.040, 0.094]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BC × TVI (Interaction)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−0.019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0.039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−0.50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0.621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[−0.095, 0.057]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−0.018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−1.57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0.116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[−0.040, 0.004]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Sex (Male = 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−0.204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0.204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0.317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[−0.604, 0.196]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Mean FD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6.072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3.062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1.98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0.047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[0.071, 12.072]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