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0B1437"/>
          <w:sz w:val="64"/>
        </w:rPr>
        <w:t>SYSTEM ARCHITECTURE</w:t>
      </w:r>
    </w:p>
    <w:p>
      <w:r>
        <w:rPr>
          <w:color w:val="6B7A99"/>
          <w:sz w:val="26"/>
        </w:rPr>
        <w:t>Praxion HROS  |  Platform, Services, Data &amp; Infrastructure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873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</w:tcPr>
          <w:p>
            <w:r/>
            <w:r>
              <w:rPr>
                <w:b/>
                <w:color w:val="FFFFFF"/>
                <w:sz w:val="19"/>
              </w:rPr>
              <w:t>Document ID</w:t>
            </w:r>
          </w:p>
        </w:tc>
        <w:tc>
          <w:tcPr>
            <w:tcW w:type="dxa" w:w="4873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</w:tcPr>
          <w:p>
            <w:r/>
            <w:r>
              <w:rPr>
                <w:color w:val="1A223A"/>
                <w:sz w:val="19"/>
              </w:rPr>
              <w:t>PRX-ARCH-001</w:t>
            </w:r>
          </w:p>
        </w:tc>
      </w:tr>
      <w:tr>
        <w:tc>
          <w:tcPr>
            <w:tcW w:type="dxa" w:w="4873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873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</w:tcPr>
          <w:p>
            <w:r/>
            <w:r>
              <w:rPr>
                <w:color w:val="1A223A"/>
                <w:sz w:val="19"/>
              </w:rPr>
              <w:t>1.0 (Draft for Review)</w:t>
            </w:r>
          </w:p>
        </w:tc>
      </w:tr>
      <w:tr>
        <w:tc>
          <w:tcPr>
            <w:tcW w:type="dxa" w:w="4873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</w:tcPr>
          <w:p>
            <w:r/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4873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</w:tcPr>
          <w:p>
            <w:r/>
            <w:r>
              <w:rPr>
                <w:color w:val="1A223A"/>
                <w:sz w:val="19"/>
              </w:rPr>
              <w:t>Internal — Restricted</w:t>
            </w:r>
          </w:p>
        </w:tc>
      </w:tr>
      <w:tr>
        <w:tc>
          <w:tcPr>
            <w:tcW w:type="dxa" w:w="4873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4873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</w:tcPr>
          <w:p>
            <w:r/>
            <w:r>
              <w:rPr>
                <w:color w:val="1A223A"/>
                <w:sz w:val="19"/>
              </w:rPr>
              <w:t>CTO / Head of Engineering</w:t>
            </w:r>
          </w:p>
        </w:tc>
      </w:tr>
      <w:tr>
        <w:tc>
          <w:tcPr>
            <w:tcW w:type="dxa" w:w="4873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</w:tcPr>
          <w:p>
            <w:r/>
            <w:r>
              <w:rPr>
                <w:b/>
                <w:color w:val="FFFFFF"/>
                <w:sz w:val="19"/>
              </w:rPr>
              <w:t>Approver</w:t>
            </w:r>
          </w:p>
        </w:tc>
        <w:tc>
          <w:tcPr>
            <w:tcW w:type="dxa" w:w="4873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</w:tcPr>
          <w:p>
            <w:r/>
            <w:r>
              <w:rPr>
                <w:color w:val="1A223A"/>
                <w:sz w:val="19"/>
              </w:rPr>
              <w:t>CTO, CISO, Project Director</w:t>
            </w:r>
          </w:p>
        </w:tc>
      </w:tr>
      <w:tr>
        <w:tc>
          <w:tcPr>
            <w:tcW w:type="dxa" w:w="4873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73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</w:tcPr>
          <w:p>
            <w:r/>
            <w:r>
              <w:rPr>
                <w:color w:val="1A223A"/>
                <w:sz w:val="19"/>
              </w:rPr>
              <w:t>Target architecture for Go-Live 14 Mar 2027</w:t>
            </w:r>
          </w:p>
        </w:tc>
      </w:tr>
    </w:tbl>
    <w:p/>
    <w:p>
      <w:r>
        <w:rPr>
          <w:i/>
          <w:color w:val="6B7A99"/>
          <w:sz w:val="20"/>
        </w:rPr>
        <w:t>This document is the authoritative technical blueprint for Praxion HROS. It spans three levels of depth: (1) an Executive Overview for sponsors and business readers, (2) C4 Context &amp; Container diagrams for product and delivery leaders, and (3) a Full Technical Specification for the engineering and operations teams that will build and run the platform.</w:t>
      </w:r>
    </w:p>
    <w:p>
      <w:r>
        <w:br w:type="page"/>
      </w:r>
    </w:p>
    <w:p>
      <w:pPr>
        <w:spacing w:before="360" w:after="120"/>
        <w:pBdr>
          <w:bottom w:val="single" w:sz="8" w:color="2F6BFF"/>
        </w:pBdr>
      </w:pPr>
      <w:r>
        <w:rPr>
          <w:b/>
          <w:color w:val="0B1437"/>
          <w:sz w:val="36"/>
        </w:rPr>
        <w:t>Part A  —  Executive Overview</w:t>
      </w:r>
    </w:p>
    <w:p>
      <w:pPr>
        <w:spacing w:before="240" w:after="80"/>
      </w:pPr>
      <w:r>
        <w:rPr>
          <w:b/>
          <w:color w:val="1E2A5E"/>
          <w:sz w:val="26"/>
        </w:rPr>
        <w:t>A.1  What is Praxion HROS</w:t>
      </w:r>
    </w:p>
    <w:p>
      <w:r>
        <w:t>Praxion HROS is a multi-tenant, cloud-native Human Resources Operating System built for Egybell to run its own workforce and to serve external client organisations through a white-label Client Portal. It unifies the full employee lifecycle — recruitment, onboarding, core HR, performance, learning, payroll, benefits, contractor management, analytics and billing — behind a single identity, a single audit trail, and a consistent user experience across web and mobile.</w:t>
      </w:r>
    </w:p>
    <w:p>
      <w:pPr>
        <w:spacing w:before="240" w:after="80"/>
      </w:pPr>
      <w:r>
        <w:rPr>
          <w:b/>
          <w:color w:val="1E2A5E"/>
          <w:sz w:val="26"/>
        </w:rPr>
        <w:t>A.2  Business drivers</w:t>
      </w:r>
    </w:p>
    <w:p>
      <w:pPr>
        <w:pStyle w:val="ListBullet"/>
        <w:ind w:left="360"/>
      </w:pPr>
      <w:r>
        <w:t>Consolidate 5+ disconnected HR tools Egybell operates today into one system of record.</w:t>
      </w:r>
    </w:p>
    <w:p>
      <w:pPr>
        <w:pStyle w:val="ListBullet"/>
        <w:ind w:left="360"/>
      </w:pPr>
      <w:r>
        <w:t>Support multi-tenant client operations (HR-as-a-Service) without compromising data isolation.</w:t>
      </w:r>
    </w:p>
    <w:p>
      <w:pPr>
        <w:pStyle w:val="ListBullet"/>
        <w:ind w:left="360"/>
      </w:pPr>
      <w:r>
        <w:t>Deliver a defensible audit trail for payroll, personal data and client data, aligned to Egyptian Labour Law, PDP Law 151/2020, ISO 27001 and SOC 2.</w:t>
      </w:r>
    </w:p>
    <w:p>
      <w:pPr>
        <w:pStyle w:val="ListBullet"/>
        <w:ind w:left="360"/>
      </w:pPr>
      <w:r>
        <w:t>Enable fast iteration — the platform must absorb new modules and regulatory changes without breaking existing ones.</w:t>
      </w:r>
    </w:p>
    <w:p>
      <w:pPr>
        <w:pStyle w:val="ListBullet"/>
        <w:ind w:left="360"/>
      </w:pPr>
      <w:r>
        <w:t>Ship to production on 14 March 2027 with a phased module rollout behind a single platform core.</w:t>
      </w:r>
    </w:p>
    <w:p>
      <w:pPr>
        <w:spacing w:before="240" w:after="80"/>
      </w:pPr>
      <w:r>
        <w:rPr>
          <w:b/>
          <w:color w:val="1E2A5E"/>
          <w:sz w:val="26"/>
        </w:rPr>
        <w:t>A.3  Architectural style in one paragraph</w:t>
      </w:r>
    </w:p>
    <w:p>
      <w:r>
        <w:t>Praxion is a domain-driven microservices platform. A React / Next.js web front-end and a React Native mobile front-end speak to a public API Gateway, which fans out to a set of NestJS services — each owning a bounded context (identity, HR, recruitment, payroll, etc.). Services communicate synchronously over HTTPS for request/response flows and asynchronously over an event bus for cross-context workflows. PostgreSQL is the primary data store, one logical database per service, with multi-tenancy enforced by a tenant-id column and row-level security. Everything runs on Kubernetes with horizontal autoscaling; all traffic is observed via OpenTelemetry and all secrets are managed centrally.</w:t>
      </w:r>
    </w:p>
    <w:p>
      <w:pPr>
        <w:spacing w:before="240" w:after="80"/>
      </w:pPr>
      <w:r>
        <w:rPr>
          <w:b/>
          <w:color w:val="1E2A5E"/>
          <w:sz w:val="26"/>
        </w:rPr>
        <w:t>A.4  Quality attributes (non-functional targets)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Quality</w:t>
            </w:r>
          </w:p>
        </w:tc>
        <w:tc>
          <w:tcPr>
            <w:tcW w:type="dxa" w:w="7056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Availability</w:t>
            </w:r>
          </w:p>
        </w:tc>
        <w:tc>
          <w:tcPr>
            <w:tcW w:type="dxa" w:w="70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99.9% monthly for the platform core; 99.5% for secondary modules.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Performance</w:t>
            </w:r>
          </w:p>
        </w:tc>
        <w:tc>
          <w:tcPr>
            <w:tcW w:type="dxa" w:w="70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P95 &lt; 400 ms for API reads; P95 &lt; 900 ms for writes; page TTI &lt; 2 s on 4G.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Scalability</w:t>
            </w:r>
          </w:p>
        </w:tc>
        <w:tc>
          <w:tcPr>
            <w:tcW w:type="dxa" w:w="70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Designed for 50 tenants, 50,000 active users, 5 M records per large tenant.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Security</w:t>
            </w:r>
          </w:p>
        </w:tc>
        <w:tc>
          <w:tcPr>
            <w:tcW w:type="dxa" w:w="70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OWASP ASVS L2 baseline; PII encrypted at rest and in transit; tenant isolation enforced at data layer.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Compliance</w:t>
            </w:r>
          </w:p>
        </w:tc>
        <w:tc>
          <w:tcPr>
            <w:tcW w:type="dxa" w:w="70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Audit log retention 7 years for payroll events; data residency within Egypt / EU-approved region.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Maintainability</w:t>
            </w:r>
          </w:p>
        </w:tc>
        <w:tc>
          <w:tcPr>
            <w:tcW w:type="dxa" w:w="70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Every service independently deployable; 80% unit-test coverage on business logic.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Recoverability</w:t>
            </w:r>
          </w:p>
        </w:tc>
        <w:tc>
          <w:tcPr>
            <w:tcW w:type="dxa" w:w="70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RPO ≤ 15 min, RTO ≤ 2 h for Tier-1 services (HRIS, Payroll, Auth).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Accessibility</w:t>
            </w:r>
          </w:p>
        </w:tc>
        <w:tc>
          <w:tcPr>
            <w:tcW w:type="dxa" w:w="70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WCAG 2.1 AA for all customer-facing surfaces.</w:t>
            </w:r>
          </w:p>
        </w:tc>
      </w:tr>
    </w:tbl>
    <w:p>
      <w:pPr>
        <w:spacing w:before="240" w:after="80"/>
      </w:pPr>
      <w:r>
        <w:rPr>
          <w:b/>
          <w:color w:val="1E2A5E"/>
          <w:sz w:val="26"/>
        </w:rPr>
        <w:t>A.5  Key architectural decisions (summary)</w:t>
      </w:r>
    </w:p>
    <w:p>
      <w:r>
        <w:t>The following decisions shape the rest of this document. Each decision has a corresponding ADR (Architecture Decision Record) in the engineering wiki; the full technical specification in Part C elaborates on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08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504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00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ADR-001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microservices on Node.js 20 LTS</w:t>
            </w:r>
          </w:p>
        </w:tc>
        <w:tc>
          <w:tcPr>
            <w:tcW w:type="dxa" w:w="504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TypeScript end-to-end; opinionated DI and module model fits bounded contexts.</w:t>
            </w:r>
          </w:p>
        </w:tc>
      </w:tr>
      <w:tr>
        <w:tc>
          <w:tcPr>
            <w:tcW w:type="dxa" w:w="100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ADR-002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One PostgreSQL database per service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Strong isolation of schemas, independent scaling and migration timelines.</w:t>
            </w:r>
          </w:p>
        </w:tc>
      </w:tr>
      <w:tr>
        <w:tc>
          <w:tcPr>
            <w:tcW w:type="dxa" w:w="100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ADR-003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Row-level security for tenant isolation</w:t>
            </w:r>
          </w:p>
        </w:tc>
        <w:tc>
          <w:tcPr>
            <w:tcW w:type="dxa" w:w="504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Defence-in-depth on top of application-level tenant scoping.</w:t>
            </w:r>
          </w:p>
        </w:tc>
      </w:tr>
      <w:tr>
        <w:tc>
          <w:tcPr>
            <w:tcW w:type="dxa" w:w="100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ADR-004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Event bus = NATS JetStream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Lightweight, fast, ordered streams with persistence — simpler than Kafka for our scale.</w:t>
            </w:r>
          </w:p>
        </w:tc>
      </w:tr>
      <w:tr>
        <w:tc>
          <w:tcPr>
            <w:tcW w:type="dxa" w:w="100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ADR-005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Kubernetes on a managed provider</w:t>
            </w:r>
          </w:p>
        </w:tc>
        <w:tc>
          <w:tcPr>
            <w:tcW w:type="dxa" w:w="504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Avoid undifferentiated ops; focus engineering on product.</w:t>
            </w:r>
          </w:p>
        </w:tc>
      </w:tr>
      <w:tr>
        <w:tc>
          <w:tcPr>
            <w:tcW w:type="dxa" w:w="100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ADR-006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Next.js 14 App Router for web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Server components reduce payload; built-in i18n and streaming SSR.</w:t>
            </w:r>
          </w:p>
        </w:tc>
      </w:tr>
      <w:tr>
        <w:tc>
          <w:tcPr>
            <w:tcW w:type="dxa" w:w="100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ADR-007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Keycloak as the IdP</w:t>
            </w:r>
          </w:p>
        </w:tc>
        <w:tc>
          <w:tcPr>
            <w:tcW w:type="dxa" w:w="504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Open-source, OIDC-compliant, supports federated identity and social login.</w:t>
            </w:r>
          </w:p>
        </w:tc>
      </w:tr>
      <w:tr>
        <w:tc>
          <w:tcPr>
            <w:tcW w:type="dxa" w:w="100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ADR-008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OpenTelemetry + Grafana stack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Unified traces, metrics, logs; vendor-neutral.</w:t>
            </w:r>
          </w:p>
        </w:tc>
      </w:tr>
      <w:tr>
        <w:tc>
          <w:tcPr>
            <w:tcW w:type="dxa" w:w="100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ADR-009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Trunk-based development + feature flags</w:t>
            </w:r>
          </w:p>
        </w:tc>
        <w:tc>
          <w:tcPr>
            <w:tcW w:type="dxa" w:w="504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Small merges, continuous delivery, safe rollouts.</w:t>
            </w:r>
          </w:p>
        </w:tc>
      </w:tr>
      <w:tr>
        <w:tc>
          <w:tcPr>
            <w:tcW w:type="dxa" w:w="100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ADR-010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Infrastructure as Code with Terraform + Helm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Reviewable, reproducible environments.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8" w:color="2F6BFF"/>
        </w:pBdr>
      </w:pPr>
      <w:r>
        <w:rPr>
          <w:b/>
          <w:color w:val="0B1437"/>
          <w:sz w:val="36"/>
        </w:rPr>
        <w:t>Part B  —  C4 Context &amp; Container View</w:t>
      </w:r>
    </w:p>
    <w:p>
      <w:pPr>
        <w:spacing w:before="240" w:after="80"/>
      </w:pPr>
      <w:r>
        <w:rPr>
          <w:b/>
          <w:color w:val="1E2A5E"/>
          <w:sz w:val="26"/>
        </w:rPr>
        <w:t>B.1  System context</w:t>
      </w:r>
    </w:p>
    <w:p>
      <w:r>
        <w:t>The context view shows Praxion HROS as a single system, the human and system actors that interact with it, and the external systems it depends 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Actor / System</w:t>
            </w:r>
          </w:p>
        </w:tc>
        <w:tc>
          <w:tcPr>
            <w:tcW w:type="dxa" w:w="1728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Egybell Employee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Uses web + mobile to view payslips, request leave, update profile, log performance check-ins, enrol in training.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HR / Payroll / Finance user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Operates the HR, payroll and finance modules day-to-day; initiates approvals and reviews.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Line Manager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Approves team requests, reviews performance, runs 1:1s, approves expenses.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Recruiter / Hiring Manager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Opens requisitions, screens candidates, schedules interviews, makes offers.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Candidate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 (external)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Applies for jobs and tracks status via the candidate portal.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Client Admin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 (external)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Manages their organisation's workforce inside the Client Portal.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Auditor / Compliance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Human (external)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Read-only access to audit trails and reports.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Egybell IdP / Corporate AD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Federated authentication for internal users (OIDC / SAML).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Payment gateway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Processes client invoice payments and payroll disbursements where applicable.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Email / SMS provider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Delivers transactional notifications and OTPs.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Background-check provider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Runs reference and credential checks during recruitment.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Government reporting APIs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Social insurance, tax and labour-ministry submissions.</w:t>
            </w:r>
          </w:p>
        </w:tc>
      </w:tr>
      <w:tr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Object storage (S3-compatible)</w:t>
            </w:r>
          </w:p>
        </w:tc>
        <w:tc>
          <w:tcPr>
            <w:tcW w:type="dxa" w:w="172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Holds documents, CVs, payslip PDFs and avatar images.</w:t>
            </w:r>
          </w:p>
        </w:tc>
      </w:tr>
      <w:tr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Data warehouse / BI</w:t>
            </w:r>
          </w:p>
        </w:tc>
        <w:tc>
          <w:tcPr>
            <w:tcW w:type="dxa" w:w="172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External system</w:t>
            </w:r>
          </w:p>
        </w:tc>
        <w:tc>
          <w:tcPr>
            <w:tcW w:type="dxa" w:w="547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Downstream analytics layer fed by the CDC pipeline.</w:t>
            </w:r>
          </w:p>
        </w:tc>
      </w:tr>
    </w:tbl>
    <w:p>
      <w:pPr>
        <w:spacing w:before="240" w:after="80"/>
      </w:pPr>
      <w:r>
        <w:rPr>
          <w:b/>
          <w:color w:val="1E2A5E"/>
          <w:sz w:val="26"/>
        </w:rPr>
        <w:t>B.2  Container view</w:t>
      </w:r>
    </w:p>
    <w:p>
      <w:r>
        <w:t>Praxion is composed of the following deployable containers. Each row describes one container (in the C4 sense: an independently runnable / deployable unit).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Container</w:t>
            </w:r>
          </w:p>
        </w:tc>
        <w:tc>
          <w:tcPr>
            <w:tcW w:type="dxa" w:w="288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176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Web App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Next.js 14 (React 18, TypeScript)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Primary web UI for internal and external users. Server components + client islands. Calls the API Gateway via HTTPS.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Mobile App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React Native 0.74 (TypeScript)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iOS and Android ESS app. Offline-capable for core flows. Calls the API Gateway via HTTPS.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API Gateway / BFF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(Node 20)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Public entry point. Handles auth, rate limiting, request shaping, and orchestrates calls to domain services.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Identity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Keycloak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Federates authentication, issues JWTs, manages sessions, MFA and password policies.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Authorization Service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OPA sidecar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Central RBAC/ABAC evaluation. Holds the role catalogue and scope rules.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Core HRIS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Employees, positions, orgs, contracts, documents, lifecycle events. System of record.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Recruitment Service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Requisitions, candidates, applications, pipelines, interviews, offers.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Onboarding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Onboarding and offboarding workflows and tasks.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Performance Service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Goals, reviews, 1:1s, feedback, KPI calculation.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Learning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Courses, enrolments, completions, certifications.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Payroll Service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 runs, calculations, adjustments, disbursement files, statutory reports.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Benefits &amp; Expenses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Benefit plans, enrolments, expense claims and approvals.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Contractor Service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Outsourced / contractor lifecycle, rate cards, timesheets.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Analytics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ClickHouse (read) + CDC from Postgres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Cross-module reporting and dashboards.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Billing Service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PostgreSQL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Client contracts, usage metering, invoices, payment state.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Notification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Email, SMS, push and in-app notifications; template registry.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Audit &amp; Log Store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producer + append-only store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Immutable audit trail for every material action.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File Service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object storage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Presigned uploads/downloads, antivirus scanning, retention.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Event Bus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NATS JetStream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Asynchronous pub/sub between services; durable streams.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Workflow Engine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Temporal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Long-running business workflows (onboarding, payroll, approvals).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Scheduler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Temporal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Cron-style and business-calendar jobs.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Admin Console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Next.js (separate app)</w:t>
            </w:r>
          </w:p>
        </w:tc>
        <w:tc>
          <w:tcPr>
            <w:tcW w:type="dxa" w:w="417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Tenant, role, flag and configuration management. Locked to admin roles.</w:t>
            </w:r>
          </w:p>
        </w:tc>
      </w:tr>
      <w:tr>
        <w:tc>
          <w:tcPr>
            <w:tcW w:type="dxa" w:w="2592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Observability stack</w:t>
            </w:r>
          </w:p>
        </w:tc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OpenTelemetry Collector + Prometheus + Loki + Tempo + Grafana</w:t>
            </w:r>
          </w:p>
        </w:tc>
        <w:tc>
          <w:tcPr>
            <w:tcW w:type="dxa" w:w="417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Unified traces, metrics, logs and dashboards.</w:t>
            </w:r>
          </w:p>
        </w:tc>
      </w:tr>
    </w:tbl>
    <w:p>
      <w:pPr>
        <w:spacing w:before="240" w:after="80"/>
      </w:pPr>
      <w:r>
        <w:rPr>
          <w:b/>
          <w:color w:val="1E2A5E"/>
          <w:sz w:val="26"/>
        </w:rPr>
        <w:t>B.3  Data-flow highlights</w:t>
      </w:r>
    </w:p>
    <w:p>
      <w:pPr>
        <w:spacing w:before="160" w:after="40"/>
      </w:pPr>
      <w:r>
        <w:rPr>
          <w:b/>
          <w:color w:val="2F6BFF"/>
          <w:sz w:val="22"/>
        </w:rPr>
        <w:t>B.3.1  Employee logs in from mobile</w:t>
      </w:r>
    </w:p>
    <w:p>
      <w:pPr>
        <w:pStyle w:val="ListNumber"/>
      </w:pPr>
      <w:r>
        <w:t>Mobile app performs OIDC PKCE flow against Identity Service (Keycloak).</w:t>
      </w:r>
    </w:p>
    <w:p>
      <w:pPr>
        <w:pStyle w:val="ListNumber"/>
      </w:pPr>
      <w:r>
        <w:t>Keycloak federates to Egybell AD for internal users, or handles local auth for external users.</w:t>
      </w:r>
    </w:p>
    <w:p>
      <w:pPr>
        <w:pStyle w:val="ListNumber"/>
      </w:pPr>
      <w:r>
        <w:t>Mobile receives a short-lived access token and a device-bound refresh token.</w:t>
      </w:r>
    </w:p>
    <w:p>
      <w:pPr>
        <w:pStyle w:val="ListNumber"/>
      </w:pPr>
      <w:r>
        <w:t>Mobile calls API Gateway with the access token; Gateway validates signature, expiry and scopes, then forwards to the BFF handlers.</w:t>
      </w:r>
    </w:p>
    <w:p>
      <w:pPr>
        <w:pStyle w:val="ListNumber"/>
      </w:pPr>
      <w:r>
        <w:t>BFF calls Authorization Service (OPA) to decide allow/deny for each resource access.</w:t>
      </w:r>
    </w:p>
    <w:p>
      <w:pPr>
        <w:spacing w:before="160" w:after="40"/>
      </w:pPr>
      <w:r>
        <w:rPr>
          <w:b/>
          <w:color w:val="2F6BFF"/>
          <w:sz w:val="22"/>
        </w:rPr>
        <w:t>B.3.2  Payroll run</w:t>
      </w:r>
    </w:p>
    <w:p>
      <w:pPr>
        <w:pStyle w:val="ListNumber"/>
      </w:pPr>
      <w:r>
        <w:t>Payroll Officer triggers a pay run in the Payroll Service.</w:t>
      </w:r>
    </w:p>
    <w:p>
      <w:pPr>
        <w:pStyle w:val="ListNumber"/>
      </w:pPr>
      <w:r>
        <w:t>Payroll Service requests employee, contract and time data from Core HRIS and Contractor Services.</w:t>
      </w:r>
    </w:p>
    <w:p>
      <w:pPr>
        <w:pStyle w:val="ListNumber"/>
      </w:pPr>
      <w:r>
        <w:t>Temporal orchestrates the calculation workflow across steps (gross → deductions → net → statutory).</w:t>
      </w:r>
    </w:p>
    <w:p>
      <w:pPr>
        <w:pStyle w:val="ListNumber"/>
      </w:pPr>
      <w:r>
        <w:t>Finance Manager approves in-app; Authorization Service enforces SoD (the officer who ran the run cannot approve it).</w:t>
      </w:r>
    </w:p>
    <w:p>
      <w:pPr>
        <w:pStyle w:val="ListNumber"/>
      </w:pPr>
      <w:r>
        <w:t>Approved disbursement file is handed off to the external payment gateway.</w:t>
      </w:r>
    </w:p>
    <w:p>
      <w:pPr>
        <w:pStyle w:val="ListNumber"/>
      </w:pPr>
      <w:r>
        <w:t>Payroll Service emits PayRunCompleted on NATS; Analytics, Notification and Audit services consume it.</w:t>
      </w:r>
    </w:p>
    <w:p>
      <w:pPr>
        <w:spacing w:before="160" w:after="40"/>
      </w:pPr>
      <w:r>
        <w:rPr>
          <w:b/>
          <w:color w:val="2F6BFF"/>
          <w:sz w:val="22"/>
        </w:rPr>
        <w:t>B.3.3  Client onboarding in the Client Portal</w:t>
      </w:r>
    </w:p>
    <w:p>
      <w:pPr>
        <w:pStyle w:val="ListNumber"/>
      </w:pPr>
      <w:r>
        <w:t>Client Admin uploads employee roster via the Client Portal.</w:t>
      </w:r>
    </w:p>
    <w:p>
      <w:pPr>
        <w:pStyle w:val="ListNumber"/>
      </w:pPr>
      <w:r>
        <w:t>File Service stores the file and streams rows to a validation pipeline.</w:t>
      </w:r>
    </w:p>
    <w:p>
      <w:pPr>
        <w:pStyle w:val="ListNumber"/>
      </w:pPr>
      <w:r>
        <w:t>Valid rows create employees in the Core HRIS Service under the client's tenant.</w:t>
      </w:r>
    </w:p>
    <w:p>
      <w:pPr>
        <w:pStyle w:val="ListNumber"/>
      </w:pPr>
      <w:r>
        <w:t>Onboarding workflows start automatically via Temporal for each new employee.</w:t>
      </w:r>
    </w:p>
    <w:p>
      <w:pPr>
        <w:pStyle w:val="ListNumber"/>
      </w:pPr>
      <w:r>
        <w:t>Billing Service meters the new headcount for invoicing at month end.</w:t>
      </w:r>
    </w:p>
    <w:p>
      <w:r>
        <w:br w:type="page"/>
      </w:r>
    </w:p>
    <w:p>
      <w:pPr>
        <w:spacing w:before="360" w:after="120"/>
        <w:pBdr>
          <w:bottom w:val="single" w:sz="8" w:color="2F6BFF"/>
        </w:pBdr>
      </w:pPr>
      <w:r>
        <w:rPr>
          <w:b/>
          <w:color w:val="0B1437"/>
          <w:sz w:val="36"/>
        </w:rPr>
        <w:t>Part C  —  Full Technical Specification</w:t>
      </w:r>
    </w:p>
    <w:p>
      <w:pPr>
        <w:spacing w:before="240" w:after="80"/>
      </w:pPr>
      <w:r>
        <w:rPr>
          <w:b/>
          <w:color w:val="1E2A5E"/>
          <w:sz w:val="26"/>
        </w:rPr>
        <w:t>C.1  Front-end architecture</w:t>
      </w:r>
    </w:p>
    <w:p>
      <w:pPr>
        <w:spacing w:before="160" w:after="40"/>
      </w:pPr>
      <w:r>
        <w:rPr>
          <w:b/>
          <w:color w:val="2F6BFF"/>
          <w:sz w:val="22"/>
        </w:rPr>
        <w:t>C.1.1  Web (Next.js 14)</w:t>
      </w:r>
    </w:p>
    <w:p>
      <w:pPr>
        <w:pStyle w:val="ListBullet"/>
        <w:ind w:left="360"/>
      </w:pPr>
      <w:r>
        <w:t>Next.js 14 App Router with React 18 Server Components. Pages are streamed; heavy interactive surfaces use client components.</w:t>
      </w:r>
    </w:p>
    <w:p>
      <w:pPr>
        <w:pStyle w:val="ListBullet"/>
        <w:ind w:left="360"/>
      </w:pPr>
      <w:r>
        <w:t>TypeScript strict mode across the entire codebase; no `any` unless justified in review.</w:t>
      </w:r>
    </w:p>
    <w:p>
      <w:pPr>
        <w:pStyle w:val="ListBullet"/>
        <w:ind w:left="360"/>
      </w:pPr>
      <w:r>
        <w:t>UI library: a custom Praxion design system on top of Radix UI primitives, styled with Tailwind CSS. Tokens are generated from the brand guidelines document.</w:t>
      </w:r>
    </w:p>
    <w:p>
      <w:pPr>
        <w:pStyle w:val="ListBullet"/>
        <w:ind w:left="360"/>
      </w:pPr>
      <w:r>
        <w:t>State: React Query for server state; Zustand for ephemeral UI state. No Redux.</w:t>
      </w:r>
    </w:p>
    <w:p>
      <w:pPr>
        <w:pStyle w:val="ListBullet"/>
        <w:ind w:left="360"/>
      </w:pPr>
      <w:r>
        <w:t>Forms: React Hook Form + Zod for schema validation shared with the backend.</w:t>
      </w:r>
    </w:p>
    <w:p>
      <w:pPr>
        <w:pStyle w:val="ListBullet"/>
        <w:ind w:left="360"/>
      </w:pPr>
      <w:r>
        <w:t>i18n: next-intl. Default locales: en, ar (RTL). Copy lives in a dedicated content repository.</w:t>
      </w:r>
    </w:p>
    <w:p>
      <w:pPr>
        <w:pStyle w:val="ListBullet"/>
        <w:ind w:left="360"/>
      </w:pPr>
      <w:r>
        <w:t>Routing: folder-based with route groups per persona (/hr, /manager, /employee, /admin, /client).</w:t>
      </w:r>
    </w:p>
    <w:p>
      <w:pPr>
        <w:pStyle w:val="ListBullet"/>
        <w:ind w:left="360"/>
      </w:pPr>
      <w:r>
        <w:t>Auth: OIDC via next-auth wired to Keycloak; tokens kept in httpOnly cookies.</w:t>
      </w:r>
    </w:p>
    <w:p>
      <w:pPr>
        <w:pStyle w:val="ListBullet"/>
        <w:ind w:left="360"/>
      </w:pPr>
      <w:r>
        <w:t>Accessibility: WCAG 2.1 AA; automated axe checks in CI; manual audits per release.</w:t>
      </w:r>
    </w:p>
    <w:p>
      <w:pPr>
        <w:pStyle w:val="ListBullet"/>
        <w:ind w:left="360"/>
      </w:pPr>
      <w:r>
        <w:t>Build: Turbopack in dev, Webpack in production until Turbopack stabilises.</w:t>
      </w:r>
    </w:p>
    <w:p>
      <w:pPr>
        <w:spacing w:before="160" w:after="40"/>
      </w:pPr>
      <w:r>
        <w:rPr>
          <w:b/>
          <w:color w:val="2F6BFF"/>
          <w:sz w:val="22"/>
        </w:rPr>
        <w:t>C.1.2  Mobile (React Native)</w:t>
      </w:r>
    </w:p>
    <w:p>
      <w:pPr>
        <w:pStyle w:val="ListBullet"/>
        <w:ind w:left="360"/>
      </w:pPr>
      <w:r>
        <w:t>React Native 0.74 with the new architecture (Fabric + TurboModules) enabled.</w:t>
      </w:r>
    </w:p>
    <w:p>
      <w:pPr>
        <w:pStyle w:val="ListBullet"/>
        <w:ind w:left="360"/>
      </w:pPr>
      <w:r>
        <w:t>Navigation: React Navigation v6 with typed routes.</w:t>
      </w:r>
    </w:p>
    <w:p>
      <w:pPr>
        <w:pStyle w:val="ListBullet"/>
        <w:ind w:left="360"/>
      </w:pPr>
      <w:r>
        <w:t>Offline: MMKV for key-value state, WatermelonDB for structured offline records (timesheets, leave requests).</w:t>
      </w:r>
    </w:p>
    <w:p>
      <w:pPr>
        <w:pStyle w:val="ListBullet"/>
        <w:ind w:left="360"/>
      </w:pPr>
      <w:r>
        <w:t>Push notifications: Firebase Cloud Messaging (Android) and APNs (iOS) via the Notification Service.</w:t>
      </w:r>
    </w:p>
    <w:p>
      <w:pPr>
        <w:pStyle w:val="ListBullet"/>
        <w:ind w:left="360"/>
      </w:pPr>
      <w:r>
        <w:t>Biometric unlock for returning sessions; device-bound refresh tokens.</w:t>
      </w:r>
    </w:p>
    <w:p>
      <w:pPr>
        <w:spacing w:before="160" w:after="40"/>
      </w:pPr>
      <w:r>
        <w:rPr>
          <w:b/>
          <w:color w:val="2F6BFF"/>
          <w:sz w:val="22"/>
        </w:rPr>
        <w:t>C.1.3  Admin Console</w:t>
      </w:r>
    </w:p>
    <w:p>
      <w:pPr>
        <w:pStyle w:val="ListBullet"/>
        <w:ind w:left="360"/>
      </w:pPr>
      <w:r>
        <w:t>Separate Next.js app behind its own sub-domain and its own auth scope.</w:t>
      </w:r>
    </w:p>
    <w:p>
      <w:pPr>
        <w:pStyle w:val="ListBullet"/>
        <w:ind w:left="360"/>
      </w:pPr>
      <w:r>
        <w:t>Only Platform Admin, Tenant Admin and System Admin roles may authenticate.</w:t>
      </w:r>
    </w:p>
    <w:p>
      <w:pPr>
        <w:pStyle w:val="ListBullet"/>
        <w:ind w:left="360"/>
      </w:pPr>
      <w:r>
        <w:t>Every action in the admin console is recorded to the Audit service synchronously before acknowledgement.</w:t>
      </w:r>
    </w:p>
    <w:p>
      <w:pPr>
        <w:spacing w:before="240" w:after="80"/>
      </w:pPr>
      <w:r>
        <w:rPr>
          <w:b/>
          <w:color w:val="1E2A5E"/>
          <w:sz w:val="26"/>
        </w:rPr>
        <w:t>C.2  Backend services</w:t>
      </w:r>
    </w:p>
    <w:p>
      <w:pPr>
        <w:spacing w:before="160" w:after="40"/>
      </w:pPr>
      <w:r>
        <w:rPr>
          <w:b/>
          <w:color w:val="2F6BFF"/>
          <w:sz w:val="22"/>
        </w:rPr>
        <w:t>C.2.1  Principles</w:t>
      </w:r>
    </w:p>
    <w:p>
      <w:pPr>
        <w:pStyle w:val="ListBullet"/>
        <w:ind w:left="360"/>
      </w:pPr>
      <w:r>
        <w:t>One service per bounded context. Services do not share databases or schemas.</w:t>
      </w:r>
    </w:p>
    <w:p>
      <w:pPr>
        <w:pStyle w:val="ListBullet"/>
        <w:ind w:left="360"/>
      </w:pPr>
      <w:r>
        <w:t>Synchronous inter-service calls are kept to a minimum and always go through well-defined OpenAPI contracts.</w:t>
      </w:r>
    </w:p>
    <w:p>
      <w:pPr>
        <w:pStyle w:val="ListBullet"/>
        <w:ind w:left="360"/>
      </w:pPr>
      <w:r>
        <w:t>Cross-cutting workflows use asynchronous events on NATS JetStream, not direct calls.</w:t>
      </w:r>
    </w:p>
    <w:p>
      <w:pPr>
        <w:pStyle w:val="ListBullet"/>
        <w:ind w:left="360"/>
      </w:pPr>
      <w:r>
        <w:t>Every service ships with: OpenAPI spec, Postman collection, integration tests, Helm chart, runbook, dashboards.</w:t>
      </w:r>
    </w:p>
    <w:p>
      <w:pPr>
        <w:spacing w:before="160" w:after="40"/>
      </w:pPr>
      <w:r>
        <w:rPr>
          <w:b/>
          <w:color w:val="2F6BFF"/>
          <w:sz w:val="22"/>
        </w:rPr>
        <w:t>C.2.2  Common service skeleton</w:t>
      </w:r>
    </w:p>
    <w:p>
      <w:pPr>
        <w:pBdr>
          <w:top w:val="single" w:sz="4" w:color="B7C0D6"/>
          <w:left w:val="single" w:sz="4" w:color="B7C0D6"/>
          <w:bottom w:val="single" w:sz="4" w:color="B7C0D6"/>
          <w:right w:val="single" w:sz="4" w:color="B7C0D6"/>
        </w:pBdr>
        <w:shd w:val="clear" w:color="auto" w:fill="F5F7FA"/>
        <w:ind w:left="216" w:right="216"/>
      </w:pPr>
      <w:r>
        <w:rPr>
          <w:rFonts w:ascii="Consolas" w:hAnsi="Consolas"/>
          <w:color w:val="1A223A"/>
          <w:sz w:val="18"/>
        </w:rPr>
        <w:t>apps/payroll/</w:t>
        <w:br/>
        <w:t>├── src/</w:t>
        <w:br/>
        <w:t>│   ├── main.ts                  # NestJS bootstrap, OTel init</w:t>
        <w:br/>
        <w:t>│   ├── app.module.ts</w:t>
        <w:br/>
        <w:t>│   ├── modules/</w:t>
        <w:br/>
        <w:t>│   │   ├── pay-run/             # controller, service, repository, dto, entities</w:t>
        <w:br/>
        <w:t>│   │   ├── calculation/</w:t>
        <w:br/>
        <w:t>│   │   ├── disbursement/</w:t>
        <w:br/>
        <w:t>│   │   └── reporting/</w:t>
        <w:br/>
        <w:t>│   ├── infra/</w:t>
        <w:br/>
        <w:t>│   │   ├── db/                  # Prisma schema, migrations</w:t>
        <w:br/>
        <w:t>│   │   ├── messaging/           # NATS publishers &amp; subscribers</w:t>
        <w:br/>
        <w:t>│   │   ├── http/                # Axios clients for sibling services</w:t>
        <w:br/>
        <w:t>│   │   └── auth/                # JWT guards, OPA client</w:t>
        <w:br/>
        <w:t>│   └── common/                  # filters, interceptors, logging</w:t>
        <w:br/>
        <w:t>├── test/                        # e2e, integration</w:t>
        <w:br/>
        <w:t>├── Dockerfile</w:t>
        <w:br/>
        <w:t>├── helm/                        # chart for this service</w:t>
        <w:br/>
        <w:t>└── openapi.yaml</w:t>
      </w:r>
    </w:p>
    <w:p>
      <w:pPr>
        <w:spacing w:before="160" w:after="40"/>
      </w:pPr>
      <w:r>
        <w:rPr>
          <w:b/>
          <w:color w:val="2F6BFF"/>
          <w:sz w:val="22"/>
        </w:rPr>
        <w:t>C.2.3  Shared building blocks</w:t>
      </w:r>
    </w:p>
    <w:p>
      <w:pPr>
        <w:pStyle w:val="ListBullet"/>
        <w:ind w:left="360"/>
      </w:pPr>
      <w:r>
        <w:t>@praxion/nest-core — logging, error formatting, config, OTel, health checks.</w:t>
      </w:r>
    </w:p>
    <w:p>
      <w:pPr>
        <w:pStyle w:val="ListBullet"/>
        <w:ind w:left="360"/>
      </w:pPr>
      <w:r>
        <w:t>@praxion/auth — JWT guard, tenant resolver, OPA client, scope decorators.</w:t>
      </w:r>
    </w:p>
    <w:p>
      <w:pPr>
        <w:pStyle w:val="ListBullet"/>
        <w:ind w:left="360"/>
      </w:pPr>
      <w:r>
        <w:t>@praxion/messaging — NATS JetStream wrapper with retry, DLQ and schema registry.</w:t>
      </w:r>
    </w:p>
    <w:p>
      <w:pPr>
        <w:pStyle w:val="ListBullet"/>
        <w:ind w:left="360"/>
      </w:pPr>
      <w:r>
        <w:t>@praxion/audit — one-line API to publish audit events.</w:t>
      </w:r>
    </w:p>
    <w:p>
      <w:pPr>
        <w:pStyle w:val="ListBullet"/>
        <w:ind w:left="360"/>
      </w:pPr>
      <w:r>
        <w:t>@praxion/tenancy — tenant-id context propagation via AsyncLocalStorage.</w:t>
      </w:r>
    </w:p>
    <w:p>
      <w:pPr>
        <w:pStyle w:val="ListBullet"/>
        <w:ind w:left="360"/>
      </w:pPr>
      <w:r>
        <w:t>@praxion/errors — canonical error codes and HTTP mapping.</w:t>
      </w:r>
    </w:p>
    <w:p>
      <w:pPr>
        <w:spacing w:before="160" w:after="40"/>
      </w:pPr>
      <w:r>
        <w:rPr>
          <w:b/>
          <w:color w:val="2F6BFF"/>
          <w:sz w:val="22"/>
        </w:rPr>
        <w:t>C.2.4  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888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Responsibilities</w:t>
            </w:r>
          </w:p>
        </w:tc>
        <w:tc>
          <w:tcPr>
            <w:tcW w:type="dxa" w:w="360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Stack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Identity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auth, users, mfa, sessions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Keycloak + NestJS façade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Authorization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roles, permissions, policies, SoD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OPA sidecar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Core HRIS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employees, orgs, positions, contracts, docs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Recruitment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requisitions, candidates, pipelines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Onboarding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workflows, tasks, checklists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Temporal + Postgres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Performance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goals, reviews, 1:1s, feedback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Learning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catalogue, enrolments, completions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Payroll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 runs, calc, disbursement, statutory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Temporal + Postgres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Benefits &amp; Expenses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plans, enrolments, claims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Contractor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vendors, rates, timesheets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Analytics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dashboards, exports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ClickHouse + CDC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Billing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contracts, metering, invoices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Prisma + Postgres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Notification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email, sms, push, templates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provider adapters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File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uploads, downloads, AV scan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S3-compatible object store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Audit</w:t>
            </w:r>
          </w:p>
        </w:tc>
        <w:tc>
          <w:tcPr>
            <w:tcW w:type="dxa" w:w="38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append-only event ingest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NestJS + Postgres (append-only) + cold store</w:t>
            </w:r>
          </w:p>
        </w:tc>
      </w:tr>
    </w:tbl>
    <w:p>
      <w:pPr>
        <w:spacing w:before="240" w:after="80"/>
      </w:pPr>
      <w:r>
        <w:rPr>
          <w:b/>
          <w:color w:val="1E2A5E"/>
          <w:sz w:val="26"/>
        </w:rPr>
        <w:t>C.3  Data architecture</w:t>
      </w:r>
    </w:p>
    <w:p>
      <w:pPr>
        <w:spacing w:before="160" w:after="40"/>
      </w:pPr>
      <w:r>
        <w:rPr>
          <w:b/>
          <w:color w:val="2F6BFF"/>
          <w:sz w:val="22"/>
        </w:rPr>
        <w:t>C.3.1  Database strategy</w:t>
      </w:r>
    </w:p>
    <w:p>
      <w:pPr>
        <w:pStyle w:val="ListBullet"/>
        <w:ind w:left="360"/>
      </w:pPr>
      <w:r>
        <w:t>One PostgreSQL logical database per service, hosted on managed Postgres with read replicas.</w:t>
      </w:r>
    </w:p>
    <w:p>
      <w:pPr>
        <w:pStyle w:val="ListBullet"/>
        <w:ind w:left="360"/>
      </w:pPr>
      <w:r>
        <w:t>Prisma ORM is the default; raw SQL is allowed for heavy reporting queries and migrations.</w:t>
      </w:r>
    </w:p>
    <w:p>
      <w:pPr>
        <w:pStyle w:val="ListBullet"/>
        <w:ind w:left="360"/>
      </w:pPr>
      <w:r>
        <w:t>Every table includes tenant_id, created_at, updated_at and a soft-delete marker where business rules require retention.</w:t>
      </w:r>
    </w:p>
    <w:p>
      <w:pPr>
        <w:pStyle w:val="ListBullet"/>
        <w:ind w:left="360"/>
      </w:pPr>
      <w:r>
        <w:t>Row-level security enforces tenant_id = current_setting('app.current_tenant') for every query.</w:t>
      </w:r>
    </w:p>
    <w:p>
      <w:pPr>
        <w:pStyle w:val="ListBullet"/>
        <w:ind w:left="360"/>
      </w:pPr>
      <w:r>
        <w:t>Migrations are forward-only; schema changes ship with a data-migration plan and a rollback note.</w:t>
      </w:r>
    </w:p>
    <w:p>
      <w:pPr>
        <w:spacing w:before="160" w:after="40"/>
      </w:pPr>
      <w:r>
        <w:rPr>
          <w:b/>
          <w:color w:val="2F6BFF"/>
          <w:sz w:val="22"/>
        </w:rPr>
        <w:t>C.3.2  Multi-tenancy model</w:t>
      </w:r>
    </w:p>
    <w:p>
      <w:r>
        <w:t>Praxion uses pooled multi-tenancy: one database per service holds data for all tenants, separated by tenant_id with RLS. This keeps operations simple while preserving isolation. For tenants that require dedicated storage (regulatory or contractual), a dedicated-schema variant can be provisioned per service without changing application code.</w:t>
      </w:r>
    </w:p>
    <w:p>
      <w:pPr>
        <w:spacing w:before="160" w:after="40"/>
      </w:pPr>
      <w:r>
        <w:rPr>
          <w:b/>
          <w:color w:val="2F6BFF"/>
          <w:sz w:val="22"/>
        </w:rPr>
        <w:t>C.3.3  Canonical entities (illustrative)</w:t>
      </w:r>
    </w:p>
    <w:p>
      <w:pPr>
        <w:pBdr>
          <w:top w:val="single" w:sz="4" w:color="B7C0D6"/>
          <w:left w:val="single" w:sz="4" w:color="B7C0D6"/>
          <w:bottom w:val="single" w:sz="4" w:color="B7C0D6"/>
          <w:right w:val="single" w:sz="4" w:color="B7C0D6"/>
        </w:pBdr>
        <w:shd w:val="clear" w:color="auto" w:fill="F5F7FA"/>
        <w:ind w:left="216" w:right="216"/>
      </w:pPr>
      <w:r>
        <w:rPr>
          <w:rFonts w:ascii="Consolas" w:hAnsi="Consolas"/>
          <w:color w:val="1A223A"/>
          <w:sz w:val="18"/>
        </w:rPr>
        <w:t>model Employee {</w:t>
        <w:br/>
        <w:t xml:space="preserve">  id              String   @id @default(uuid())</w:t>
        <w:br/>
        <w:t xml:space="preserve">  tenantId        String</w:t>
        <w:br/>
        <w:t xml:space="preserve">  externalId      String?</w:t>
        <w:br/>
        <w:t xml:space="preserve">  firstName       String</w:t>
        <w:br/>
        <w:t xml:space="preserve">  lastName        String</w:t>
        <w:br/>
        <w:t xml:space="preserve">  email           String</w:t>
        <w:br/>
        <w:t xml:space="preserve">  nationalId      String?  // encrypted at rest</w:t>
        <w:br/>
        <w:t xml:space="preserve">  positionId      String</w:t>
        <w:br/>
        <w:t xml:space="preserve">  managerId       String?</w:t>
        <w:br/>
        <w:t xml:space="preserve">  hireDate        DateTime</w:t>
        <w:br/>
        <w:t xml:space="preserve">  terminationDate DateTime?</w:t>
        <w:br/>
        <w:t xml:space="preserve">  status          EmployeeStatus</w:t>
        <w:br/>
        <w:t xml:space="preserve">  createdAt       DateTime @default(now())</w:t>
        <w:br/>
        <w:t xml:space="preserve">  updatedAt       DateTime @updatedAt</w:t>
        <w:br/>
        <w:t xml:space="preserve">  @@index([tenantId, status])</w:t>
        <w:br/>
        <w:t xml:space="preserve">  @@index([tenantId, managerId])</w:t>
        <w:br/>
        <w:t>}</w:t>
      </w:r>
    </w:p>
    <w:p>
      <w:pPr>
        <w:spacing w:before="160" w:after="40"/>
      </w:pPr>
      <w:r>
        <w:rPr>
          <w:b/>
          <w:color w:val="2F6BFF"/>
          <w:sz w:val="22"/>
        </w:rPr>
        <w:t>C.3.4  PII &amp; encryption</w:t>
      </w:r>
    </w:p>
    <w:p>
      <w:pPr>
        <w:pStyle w:val="ListBullet"/>
        <w:ind w:left="360"/>
      </w:pPr>
      <w:r>
        <w:t>Field-level encryption for national ID, bank account, salary and passport numbers using envelope encryption (KMS-wrapped DEKs).</w:t>
      </w:r>
    </w:p>
    <w:p>
      <w:pPr>
        <w:pStyle w:val="ListBullet"/>
        <w:ind w:left="360"/>
      </w:pPr>
      <w:r>
        <w:t>Column-level redaction in non-production environments; only masked data leaves production.</w:t>
      </w:r>
    </w:p>
    <w:p>
      <w:pPr>
        <w:pStyle w:val="ListBullet"/>
        <w:ind w:left="360"/>
      </w:pPr>
      <w:r>
        <w:t>TDE at the storage layer as an additional defence.</w:t>
      </w:r>
    </w:p>
    <w:p>
      <w:pPr>
        <w:spacing w:before="160" w:after="40"/>
      </w:pPr>
      <w:r>
        <w:rPr>
          <w:b/>
          <w:color w:val="2F6BFF"/>
          <w:sz w:val="22"/>
        </w:rPr>
        <w:t>C.3.5  Analytics pipeline</w:t>
      </w:r>
    </w:p>
    <w:p>
      <w:pPr>
        <w:pStyle w:val="ListBullet"/>
        <w:ind w:left="360"/>
      </w:pPr>
      <w:r>
        <w:t>Debezium captures PostgreSQL WAL and publishes change events to NATS / Kafka-compatible topic.</w:t>
      </w:r>
    </w:p>
    <w:p>
      <w:pPr>
        <w:pStyle w:val="ListBullet"/>
        <w:ind w:left="360"/>
      </w:pPr>
      <w:r>
        <w:t>A transformation job lands the events into ClickHouse tables partitioned by tenant and date.</w:t>
      </w:r>
    </w:p>
    <w:p>
      <w:pPr>
        <w:pStyle w:val="ListBullet"/>
        <w:ind w:left="360"/>
      </w:pPr>
      <w:r>
        <w:t>Analytics Service serves dashboards from ClickHouse and provides CSV/Parquet exports through the File Service.</w:t>
      </w:r>
    </w:p>
    <w:p>
      <w:pPr>
        <w:spacing w:before="240" w:after="80"/>
      </w:pPr>
      <w:r>
        <w:rPr>
          <w:b/>
          <w:color w:val="1E2A5E"/>
          <w:sz w:val="26"/>
        </w:rPr>
        <w:t>C.4  Integration &amp; messaging</w:t>
      </w:r>
    </w:p>
    <w:p>
      <w:pPr>
        <w:spacing w:before="160" w:after="40"/>
      </w:pPr>
      <w:r>
        <w:rPr>
          <w:b/>
          <w:color w:val="2F6BFF"/>
          <w:sz w:val="22"/>
        </w:rPr>
        <w:t>C.4.1  Synchronous APIs</w:t>
      </w:r>
    </w:p>
    <w:p>
      <w:pPr>
        <w:pStyle w:val="ListBullet"/>
        <w:ind w:left="360"/>
      </w:pPr>
      <w:r>
        <w:t>REST over HTTPS with JSON bodies; OpenAPI 3.1 contracts generated from NestJS decorators and published to a central developer portal.</w:t>
      </w:r>
    </w:p>
    <w:p>
      <w:pPr>
        <w:pStyle w:val="ListBullet"/>
        <w:ind w:left="360"/>
      </w:pPr>
      <w:r>
        <w:t>Versioning: URI-based (/v1, /v2). Breaking changes require a v-bump and a deprecation window of 6 months.</w:t>
      </w:r>
    </w:p>
    <w:p>
      <w:pPr>
        <w:pStyle w:val="ListBullet"/>
        <w:ind w:left="360"/>
      </w:pPr>
      <w:r>
        <w:t>Pagination: cursor-based for large collections; offset allowed only for small admin lists.</w:t>
      </w:r>
    </w:p>
    <w:p>
      <w:pPr>
        <w:pStyle w:val="ListBullet"/>
        <w:ind w:left="360"/>
      </w:pPr>
      <w:r>
        <w:t>Rate limiting at the API Gateway per tenant and per user.</w:t>
      </w:r>
    </w:p>
    <w:p>
      <w:pPr>
        <w:spacing w:before="160" w:after="40"/>
      </w:pPr>
      <w:r>
        <w:rPr>
          <w:b/>
          <w:color w:val="2F6BFF"/>
          <w:sz w:val="22"/>
        </w:rPr>
        <w:t>C.4.2  Events</w:t>
      </w:r>
    </w:p>
    <w:p>
      <w:pPr>
        <w:pStyle w:val="ListBullet"/>
        <w:ind w:left="360"/>
      </w:pPr>
      <w:r>
        <w:t>NATS JetStream subjects are namespaced as praxion.&lt;service&gt;.&lt;entity&gt;.&lt;event&gt;, e.g. praxion.hris.employee.hired.</w:t>
      </w:r>
    </w:p>
    <w:p>
      <w:pPr>
        <w:pStyle w:val="ListBullet"/>
        <w:ind w:left="360"/>
      </w:pPr>
      <w:r>
        <w:t>Every event has a versioned JSON schema stored in a shared registry; breaking changes require a new subject.</w:t>
      </w:r>
    </w:p>
    <w:p>
      <w:pPr>
        <w:pStyle w:val="ListBullet"/>
        <w:ind w:left="360"/>
      </w:pPr>
      <w:r>
        <w:t>Consumers use durable subscriptions with explicit acks and a dead-letter stream.</w:t>
      </w:r>
    </w:p>
    <w:p>
      <w:pPr>
        <w:pStyle w:val="ListBullet"/>
        <w:ind w:left="360"/>
      </w:pPr>
      <w:r>
        <w:t>Correlation IDs flow from HTTP into events via OpenTelemetry baggage.</w:t>
      </w:r>
    </w:p>
    <w:p>
      <w:pPr>
        <w:spacing w:before="160" w:after="40"/>
      </w:pPr>
      <w:r>
        <w:rPr>
          <w:b/>
          <w:color w:val="2F6BFF"/>
          <w:sz w:val="22"/>
        </w:rPr>
        <w:t>C.4.3  External 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2448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432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Egybell AD / IdP</w:t>
            </w:r>
          </w:p>
        </w:tc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OIDC federation</w:t>
            </w:r>
          </w:p>
        </w:tc>
        <w:tc>
          <w:tcPr>
            <w:tcW w:type="dxa" w:w="432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Primary auth for internal users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Payment gateway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REST + webhooks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Client invoice payments, payroll disbursement</w:t>
            </w:r>
          </w:p>
        </w:tc>
      </w:tr>
      <w:tr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Email (SES or equivalent)</w:t>
            </w:r>
          </w:p>
        </w:tc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SMTP / API</w:t>
            </w:r>
          </w:p>
        </w:tc>
        <w:tc>
          <w:tcPr>
            <w:tcW w:type="dxa" w:w="432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Transactional email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SMS (Twilio or local)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REST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OTP and critical alerts</w:t>
            </w:r>
          </w:p>
        </w:tc>
      </w:tr>
      <w:tr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Background checks</w:t>
            </w:r>
          </w:p>
        </w:tc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REST</w:t>
            </w:r>
          </w:p>
        </w:tc>
        <w:tc>
          <w:tcPr>
            <w:tcW w:type="dxa" w:w="432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Recruitment screening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Government reporting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REST / SFTP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Social insurance and tax submissions</w:t>
            </w:r>
          </w:p>
        </w:tc>
      </w:tr>
      <w:tr>
        <w:tc>
          <w:tcPr>
            <w:tcW w:type="dxa" w:w="288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Object storage</w:t>
            </w:r>
          </w:p>
        </w:tc>
        <w:tc>
          <w:tcPr>
            <w:tcW w:type="dxa" w:w="244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S3 API</w:t>
            </w:r>
          </w:p>
        </w:tc>
        <w:tc>
          <w:tcPr>
            <w:tcW w:type="dxa" w:w="432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Documents, PDFs, CVs, avatars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BI tools (Metabase / Looker)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JDBC on ClickHouse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Business reporting</w:t>
            </w:r>
          </w:p>
        </w:tc>
      </w:tr>
    </w:tbl>
    <w:p>
      <w:pPr>
        <w:spacing w:before="240" w:after="80"/>
      </w:pPr>
      <w:r>
        <w:rPr>
          <w:b/>
          <w:color w:val="1E2A5E"/>
          <w:sz w:val="26"/>
        </w:rPr>
        <w:t>C.5  Security architecture</w:t>
      </w:r>
    </w:p>
    <w:p>
      <w:pPr>
        <w:spacing w:before="160" w:after="40"/>
      </w:pPr>
      <w:r>
        <w:rPr>
          <w:b/>
          <w:color w:val="2F6BFF"/>
          <w:sz w:val="22"/>
        </w:rPr>
        <w:t>C.5.1  Identity &amp; access</w:t>
      </w:r>
    </w:p>
    <w:p>
      <w:pPr>
        <w:pStyle w:val="ListBullet"/>
        <w:ind w:left="360"/>
      </w:pPr>
      <w:r>
        <w:t>Keycloak as the IdP; OIDC for all clients; SAML supported for enterprise client SSO.</w:t>
      </w:r>
    </w:p>
    <w:p>
      <w:pPr>
        <w:pStyle w:val="ListBullet"/>
        <w:ind w:left="360"/>
      </w:pPr>
      <w:r>
        <w:t>JWT access tokens signed with RS256; short lifetime (15 minutes); rotated via refresh tokens.</w:t>
      </w:r>
    </w:p>
    <w:p>
      <w:pPr>
        <w:pStyle w:val="ListBullet"/>
        <w:ind w:left="360"/>
      </w:pPr>
      <w:r>
        <w:t>Tenant and scope claims are embedded in the token and validated by every service.</w:t>
      </w:r>
    </w:p>
    <w:p>
      <w:pPr>
        <w:pStyle w:val="ListBullet"/>
        <w:ind w:left="360"/>
      </w:pPr>
      <w:r>
        <w:t>OPA sidecar evaluates RBAC/ABAC policies written in Rego; policies are versioned in Git.</w:t>
      </w:r>
    </w:p>
    <w:p>
      <w:pPr>
        <w:spacing w:before="160" w:after="40"/>
      </w:pPr>
      <w:r>
        <w:rPr>
          <w:b/>
          <w:color w:val="2F6BFF"/>
          <w:sz w:val="22"/>
        </w:rPr>
        <w:t>C.5.2  Network</w:t>
      </w:r>
    </w:p>
    <w:p>
      <w:pPr>
        <w:pStyle w:val="ListBullet"/>
        <w:ind w:left="360"/>
      </w:pPr>
      <w:r>
        <w:t>Private Kubernetes cluster; public ingress only through the API Gateway and Admin Console ingress.</w:t>
      </w:r>
    </w:p>
    <w:p>
      <w:pPr>
        <w:pStyle w:val="ListBullet"/>
        <w:ind w:left="360"/>
      </w:pPr>
      <w:r>
        <w:t>mTLS between services via the service mesh (Linkerd).</w:t>
      </w:r>
    </w:p>
    <w:p>
      <w:pPr>
        <w:pStyle w:val="ListBullet"/>
        <w:ind w:left="360"/>
      </w:pPr>
      <w:r>
        <w:t>WAF in front of the API Gateway with OWASP Core Rule Set.</w:t>
      </w:r>
    </w:p>
    <w:p>
      <w:pPr>
        <w:pStyle w:val="ListBullet"/>
        <w:ind w:left="360"/>
      </w:pPr>
      <w:r>
        <w:t>Egress restricted by egress gateway with an allow-list of external domains.</w:t>
      </w:r>
    </w:p>
    <w:p>
      <w:pPr>
        <w:spacing w:before="160" w:after="40"/>
      </w:pPr>
      <w:r>
        <w:rPr>
          <w:b/>
          <w:color w:val="2F6BFF"/>
          <w:sz w:val="22"/>
        </w:rPr>
        <w:t>C.5.3  Secrets &amp; keys</w:t>
      </w:r>
    </w:p>
    <w:p>
      <w:pPr>
        <w:pStyle w:val="ListBullet"/>
        <w:ind w:left="360"/>
      </w:pPr>
      <w:r>
        <w:t>All secrets live in a central vault (HashiCorp Vault); applications read them via workload identity.</w:t>
      </w:r>
    </w:p>
    <w:p>
      <w:pPr>
        <w:pStyle w:val="ListBullet"/>
        <w:ind w:left="360"/>
      </w:pPr>
      <w:r>
        <w:t>Encryption keys managed by a managed KMS; rotation policy: annual, on demand after any suspicion of compromise.</w:t>
      </w:r>
    </w:p>
    <w:p>
      <w:pPr>
        <w:pStyle w:val="ListBullet"/>
        <w:ind w:left="360"/>
      </w:pPr>
      <w:r>
        <w:t>No secrets in Git, no secrets in Kubernetes plain ConfigMaps.</w:t>
      </w:r>
    </w:p>
    <w:p>
      <w:pPr>
        <w:spacing w:before="160" w:after="40"/>
      </w:pPr>
      <w:r>
        <w:rPr>
          <w:b/>
          <w:color w:val="2F6BFF"/>
          <w:sz w:val="22"/>
        </w:rPr>
        <w:t>C.5.4  Application security controls</w:t>
      </w:r>
    </w:p>
    <w:p>
      <w:pPr>
        <w:pStyle w:val="ListBullet"/>
        <w:ind w:left="360"/>
      </w:pPr>
      <w:r>
        <w:t>Dependency scanning (npm audit, Snyk) in CI; critical vulnerabilities block merges.</w:t>
      </w:r>
    </w:p>
    <w:p>
      <w:pPr>
        <w:pStyle w:val="ListBullet"/>
        <w:ind w:left="360"/>
      </w:pPr>
      <w:r>
        <w:t>SAST (Semgrep) and container scanning (Trivy) on every build.</w:t>
      </w:r>
    </w:p>
    <w:p>
      <w:pPr>
        <w:pStyle w:val="ListBullet"/>
        <w:ind w:left="360"/>
      </w:pPr>
      <w:r>
        <w:t>DAST (ZAP) weekly against staging; penetration test annually.</w:t>
      </w:r>
    </w:p>
    <w:p>
      <w:pPr>
        <w:pStyle w:val="ListBullet"/>
        <w:ind w:left="360"/>
      </w:pPr>
      <w:r>
        <w:t>Input validation with Zod shared between front and back; output encoding in React by default.</w:t>
      </w:r>
    </w:p>
    <w:p>
      <w:pPr>
        <w:pStyle w:val="ListBullet"/>
        <w:ind w:left="360"/>
      </w:pPr>
      <w:r>
        <w:t>CSRF tokens on cookie-based requests; SameSite=Lax cookies.</w:t>
      </w:r>
    </w:p>
    <w:p>
      <w:pPr>
        <w:spacing w:before="160" w:after="40"/>
      </w:pPr>
      <w:r>
        <w:rPr>
          <w:b/>
          <w:color w:val="2F6BFF"/>
          <w:sz w:val="22"/>
        </w:rPr>
        <w:t>C.5.5  Audit &amp; monitoring</w:t>
      </w:r>
    </w:p>
    <w:p>
      <w:pPr>
        <w:pStyle w:val="ListBullet"/>
        <w:ind w:left="360"/>
      </w:pPr>
      <w:r>
        <w:t>Audit events are emitted by every service via @praxion/audit and ingested into an append-only store.</w:t>
      </w:r>
    </w:p>
    <w:p>
      <w:pPr>
        <w:pStyle w:val="ListBullet"/>
        <w:ind w:left="360"/>
      </w:pPr>
      <w:r>
        <w:t>Security alerts feed into Grafana OnCall; on-call rotation covers 24x7 after go-live.</w:t>
      </w:r>
    </w:p>
    <w:p>
      <w:pPr>
        <w:pStyle w:val="ListBullet"/>
        <w:ind w:left="360"/>
      </w:pPr>
      <w:r>
        <w:t>Quarterly control self-assessment; annual ISO 27001 internal audit and SOC 2 readiness review.</w:t>
      </w:r>
    </w:p>
    <w:p>
      <w:pPr>
        <w:spacing w:before="240" w:after="80"/>
      </w:pPr>
      <w:r>
        <w:rPr>
          <w:b/>
          <w:color w:val="1E2A5E"/>
          <w:sz w:val="26"/>
        </w:rPr>
        <w:t>C.6  Infrastructure &amp; operations</w:t>
      </w:r>
    </w:p>
    <w:p>
      <w:pPr>
        <w:spacing w:before="160" w:after="40"/>
      </w:pPr>
      <w:r>
        <w:rPr>
          <w:b/>
          <w:color w:val="2F6BFF"/>
          <w:sz w:val="22"/>
        </w:rPr>
        <w:t>C.6.1  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4464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60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Deployment</w:t>
            </w:r>
          </w:p>
        </w:tc>
      </w:tr>
      <w:tr>
        <w:tc>
          <w:tcPr>
            <w:tcW w:type="dxa" w:w="1584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dev</w:t>
            </w:r>
          </w:p>
        </w:tc>
        <w:tc>
          <w:tcPr>
            <w:tcW w:type="dxa" w:w="4464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Shared ephemeral environment, reset weekly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Continuous deployment from main</w:t>
            </w:r>
          </w:p>
        </w:tc>
      </w:tr>
      <w:tr>
        <w:tc>
          <w:tcPr>
            <w:tcW w:type="dxa" w:w="1584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uat</w:t>
            </w:r>
          </w:p>
        </w:tc>
        <w:tc>
          <w:tcPr>
            <w:tcW w:type="dxa" w:w="4464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Client-visible, seeded data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Manual promotion</w:t>
            </w:r>
          </w:p>
        </w:tc>
      </w:tr>
      <w:tr>
        <w:tc>
          <w:tcPr>
            <w:tcW w:type="dxa" w:w="1584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staging</w:t>
            </w:r>
          </w:p>
        </w:tc>
        <w:tc>
          <w:tcPr>
            <w:tcW w:type="dxa" w:w="4464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Production-equivalent, scaled down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Automatic promotion after UAT sign-off</w:t>
            </w:r>
          </w:p>
        </w:tc>
      </w:tr>
      <w:tr>
        <w:tc>
          <w:tcPr>
            <w:tcW w:type="dxa" w:w="1584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prod</w:t>
            </w:r>
          </w:p>
        </w:tc>
        <w:tc>
          <w:tcPr>
            <w:tcW w:type="dxa" w:w="4464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Live multi-tenant platform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Blue/green deployment with canary</w:t>
            </w:r>
          </w:p>
        </w:tc>
      </w:tr>
      <w:tr>
        <w:tc>
          <w:tcPr>
            <w:tcW w:type="dxa" w:w="1584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dr</w:t>
            </w:r>
          </w:p>
        </w:tc>
        <w:tc>
          <w:tcPr>
            <w:tcW w:type="dxa" w:w="4464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Cross-region standby</w:t>
            </w:r>
          </w:p>
        </w:tc>
        <w:tc>
          <w:tcPr>
            <w:tcW w:type="dxa" w:w="360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Warm standby, failover drill quarterly</w:t>
            </w:r>
          </w:p>
        </w:tc>
      </w:tr>
    </w:tbl>
    <w:p>
      <w:pPr>
        <w:spacing w:before="160" w:after="40"/>
      </w:pPr>
      <w:r>
        <w:rPr>
          <w:b/>
          <w:color w:val="2F6BFF"/>
          <w:sz w:val="22"/>
        </w:rPr>
        <w:t>C.6.2  Kubernetes topology</w:t>
      </w:r>
    </w:p>
    <w:p>
      <w:pPr>
        <w:pStyle w:val="ListBullet"/>
        <w:ind w:left="360"/>
      </w:pPr>
      <w:r>
        <w:t>Managed Kubernetes with three node pools: general, memory-optimised (Postgres-adjacent sidecars), and system.</w:t>
      </w:r>
    </w:p>
    <w:p>
      <w:pPr>
        <w:pStyle w:val="ListBullet"/>
        <w:ind w:left="360"/>
      </w:pPr>
      <w:r>
        <w:t>Each service runs as a Deployment with HorizontalPodAutoscaler on CPU and custom metrics (queue depth).</w:t>
      </w:r>
    </w:p>
    <w:p>
      <w:pPr>
        <w:pStyle w:val="ListBullet"/>
        <w:ind w:left="360"/>
      </w:pPr>
      <w:r>
        <w:t>PodDisruptionBudgets protect minimum replicas during rolling upgrades.</w:t>
      </w:r>
    </w:p>
    <w:p>
      <w:pPr>
        <w:pStyle w:val="ListBullet"/>
        <w:ind w:left="360"/>
      </w:pPr>
      <w:r>
        <w:t>NetworkPolicies enforce service-to-service allow-lists.</w:t>
      </w:r>
    </w:p>
    <w:p>
      <w:pPr>
        <w:spacing w:before="160" w:after="40"/>
      </w:pPr>
      <w:r>
        <w:rPr>
          <w:b/>
          <w:color w:val="2F6BFF"/>
          <w:sz w:val="22"/>
        </w:rPr>
        <w:t>C.6.3  CI/CD</w:t>
      </w:r>
    </w:p>
    <w:p>
      <w:pPr>
        <w:pStyle w:val="ListBullet"/>
        <w:ind w:left="360"/>
      </w:pPr>
      <w:r>
        <w:t>Mono-repo with Turborepo; affected-graph builds keep CI under 10 minutes.</w:t>
      </w:r>
    </w:p>
    <w:p>
      <w:pPr>
        <w:pStyle w:val="ListBullet"/>
        <w:ind w:left="360"/>
      </w:pPr>
      <w:r>
        <w:t>CI: lint → typecheck → unit → build → container scan → integration tests → e2e smoke.</w:t>
      </w:r>
    </w:p>
    <w:p>
      <w:pPr>
        <w:pStyle w:val="ListBullet"/>
        <w:ind w:left="360"/>
      </w:pPr>
      <w:r>
        <w:t>CD: GitOps with Argo CD; manifests rendered by Helm charts per service.</w:t>
      </w:r>
    </w:p>
    <w:p>
      <w:pPr>
        <w:pStyle w:val="ListBullet"/>
        <w:ind w:left="360"/>
      </w:pPr>
      <w:r>
        <w:t>Progressive delivery with Argo Rollouts: canary 10% → 50% → 100% with automated metric analysis.</w:t>
      </w:r>
    </w:p>
    <w:p>
      <w:pPr>
        <w:pStyle w:val="ListBullet"/>
        <w:ind w:left="360"/>
      </w:pPr>
      <w:r>
        <w:t>Feature flags via an in-house service backed by Unleash, evaluated in both front-end and back-end.</w:t>
      </w:r>
    </w:p>
    <w:p>
      <w:pPr>
        <w:spacing w:before="160" w:after="40"/>
      </w:pPr>
      <w:r>
        <w:rPr>
          <w:b/>
          <w:color w:val="2F6BFF"/>
          <w:sz w:val="22"/>
        </w:rPr>
        <w:t>C.6.4  Observability</w:t>
      </w:r>
    </w:p>
    <w:p>
      <w:pPr>
        <w:pStyle w:val="ListBullet"/>
        <w:ind w:left="360"/>
      </w:pPr>
      <w:r>
        <w:t>OpenTelemetry in every service; traces, metrics and logs exported to the OTel Collector.</w:t>
      </w:r>
    </w:p>
    <w:p>
      <w:pPr>
        <w:pStyle w:val="ListBullet"/>
        <w:ind w:left="360"/>
      </w:pPr>
      <w:r>
        <w:t>Traces stored in Tempo, logs in Loki, metrics in Prometheus, dashboards in Grafana.</w:t>
      </w:r>
    </w:p>
    <w:p>
      <w:pPr>
        <w:pStyle w:val="ListBullet"/>
        <w:ind w:left="360"/>
      </w:pPr>
      <w:r>
        <w:t>Golden signals per service: latency P50/P95/P99, error rate, saturation, traffic.</w:t>
      </w:r>
    </w:p>
    <w:p>
      <w:pPr>
        <w:pStyle w:val="ListBullet"/>
        <w:ind w:left="360"/>
      </w:pPr>
      <w:r>
        <w:t>SLO burn-rate alerts per service tier; alerts route to Grafana OnCall.</w:t>
      </w:r>
    </w:p>
    <w:p>
      <w:pPr>
        <w:spacing w:before="160" w:after="40"/>
      </w:pPr>
      <w:r>
        <w:rPr>
          <w:b/>
          <w:color w:val="2F6BFF"/>
          <w:sz w:val="22"/>
        </w:rPr>
        <w:t>C.6.5  Backup, DR &amp; BCP</w:t>
      </w:r>
    </w:p>
    <w:p>
      <w:pPr>
        <w:pStyle w:val="ListBullet"/>
        <w:ind w:left="360"/>
      </w:pPr>
      <w:r>
        <w:t>Postgres PITR with 15-minute RPO; daily full backups retained 30 days, monthly retained 12 months.</w:t>
      </w:r>
    </w:p>
    <w:p>
      <w:pPr>
        <w:pStyle w:val="ListBullet"/>
        <w:ind w:left="360"/>
      </w:pPr>
      <w:r>
        <w:t>Object storage uses cross-region replication.</w:t>
      </w:r>
    </w:p>
    <w:p>
      <w:pPr>
        <w:pStyle w:val="ListBullet"/>
        <w:ind w:left="360"/>
      </w:pPr>
      <w:r>
        <w:t>DR runbook: failover to the dr environment; RTO 2 hours for Tier-1 services.</w:t>
      </w:r>
    </w:p>
    <w:p>
      <w:pPr>
        <w:pStyle w:val="ListBullet"/>
        <w:ind w:left="360"/>
      </w:pPr>
      <w:r>
        <w:t>Quarterly DR exercise with a full failover of the staging copy.</w:t>
      </w:r>
    </w:p>
    <w:p>
      <w:pPr>
        <w:spacing w:before="240" w:after="80"/>
      </w:pPr>
      <w:r>
        <w:rPr>
          <w:b/>
          <w:color w:val="1E2A5E"/>
          <w:sz w:val="26"/>
        </w:rPr>
        <w:t>C.7  Development practices</w:t>
      </w:r>
    </w:p>
    <w:p>
      <w:pPr>
        <w:pStyle w:val="ListBullet"/>
        <w:ind w:left="360"/>
      </w:pPr>
      <w:r>
        <w:t>Trunk-based development; short-lived branches; squash-merge to main.</w:t>
      </w:r>
    </w:p>
    <w:p>
      <w:pPr>
        <w:pStyle w:val="ListBullet"/>
        <w:ind w:left="360"/>
      </w:pPr>
      <w:r>
        <w:t>Pull requests require two approvals and green CI; security-sensitive changes require a CISO reviewer.</w:t>
      </w:r>
    </w:p>
    <w:p>
      <w:pPr>
        <w:pStyle w:val="ListBullet"/>
        <w:ind w:left="360"/>
      </w:pPr>
      <w:r>
        <w:t>Conventional commits; automated changelogs; semantic versioning for shared libraries.</w:t>
      </w:r>
    </w:p>
    <w:p>
      <w:pPr>
        <w:pStyle w:val="ListBullet"/>
        <w:ind w:left="360"/>
      </w:pPr>
      <w:r>
        <w:t>ADRs stored under /docs/adr in the mono-repo; a new ADR is required for any cross-service change.</w:t>
      </w:r>
    </w:p>
    <w:p>
      <w:pPr>
        <w:pStyle w:val="ListBullet"/>
        <w:ind w:left="360"/>
      </w:pPr>
      <w:r>
        <w:t>Definition of Done: tests + docs + telemetry + feature flag + runbook update + accessibility check.</w:t>
      </w:r>
    </w:p>
    <w:p>
      <w:pPr>
        <w:spacing w:before="240" w:after="80"/>
      </w:pPr>
      <w:r>
        <w:rPr>
          <w:b/>
          <w:color w:val="1E2A5E"/>
          <w:sz w:val="26"/>
        </w:rPr>
        <w:t>C.8  Architectural risks &amp;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56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296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896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4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Microservices overhead slows early delivery</w:t>
            </w:r>
          </w:p>
        </w:tc>
        <w:tc>
          <w:tcPr>
            <w:tcW w:type="dxa" w:w="12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Medium</w:t>
            </w:r>
          </w:p>
        </w:tc>
        <w:tc>
          <w:tcPr>
            <w:tcW w:type="dxa" w:w="48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Start with a "modulith" core for identity + HRIS + auth; extract services as each module stabilises.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Payroll calculation engine complexity</w:t>
            </w:r>
          </w:p>
        </w:tc>
        <w:tc>
          <w:tcPr>
            <w:tcW w:type="dxa" w:w="129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High</w:t>
            </w:r>
          </w:p>
        </w:tc>
        <w:tc>
          <w:tcPr>
            <w:tcW w:type="dxa" w:w="489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Isolate calc engine behind a versioned contract; extensive fixture-based tests; dual-run against legacy during migration.</w:t>
            </w:r>
          </w:p>
        </w:tc>
      </w:tr>
      <w:tr>
        <w:tc>
          <w:tcPr>
            <w:tcW w:type="dxa" w:w="34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Multi-tenant data leakage</w:t>
            </w:r>
          </w:p>
        </w:tc>
        <w:tc>
          <w:tcPr>
            <w:tcW w:type="dxa" w:w="12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High</w:t>
            </w:r>
          </w:p>
        </w:tc>
        <w:tc>
          <w:tcPr>
            <w:tcW w:type="dxa" w:w="48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Row-level security + OPA + tenant-scoped tests in every CI run; independent penetration test of isolation.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Vendor lock-in on managed services</w:t>
            </w:r>
          </w:p>
        </w:tc>
        <w:tc>
          <w:tcPr>
            <w:tcW w:type="dxa" w:w="129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Medium</w:t>
            </w:r>
          </w:p>
        </w:tc>
        <w:tc>
          <w:tcPr>
            <w:tcW w:type="dxa" w:w="489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Use open standards (OIDC, S3 API, Kubernetes, OpenTelemetry); abstractions over provider SDKs.</w:t>
            </w:r>
          </w:p>
        </w:tc>
      </w:tr>
      <w:tr>
        <w:tc>
          <w:tcPr>
            <w:tcW w:type="dxa" w:w="34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Go-live date pressure (14 Mar 2027)</w:t>
            </w:r>
          </w:p>
        </w:tc>
        <w:tc>
          <w:tcPr>
            <w:tcW w:type="dxa" w:w="12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High</w:t>
            </w:r>
          </w:p>
        </w:tc>
        <w:tc>
          <w:tcPr>
            <w:tcW w:type="dxa" w:w="48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Phased module rollout; Core HRIS + Identity + Payroll as Tier-1; rest follow.</w:t>
            </w:r>
          </w:p>
        </w:tc>
      </w:tr>
      <w:tr>
        <w:tc>
          <w:tcPr>
            <w:tcW w:type="dxa" w:w="345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Skill ramp-up on NestJS/Next.js</w:t>
            </w:r>
          </w:p>
        </w:tc>
        <w:tc>
          <w:tcPr>
            <w:tcW w:type="dxa" w:w="129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Medium</w:t>
            </w:r>
          </w:p>
        </w:tc>
        <w:tc>
          <w:tcPr>
            <w:tcW w:type="dxa" w:w="4896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Pair programming, internal bootcamp, pinned golden templates for new services.</w:t>
            </w:r>
          </w:p>
        </w:tc>
      </w:tr>
      <w:tr>
        <w:tc>
          <w:tcPr>
            <w:tcW w:type="dxa" w:w="345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Observability gaps at go-live</w:t>
            </w:r>
          </w:p>
        </w:tc>
        <w:tc>
          <w:tcPr>
            <w:tcW w:type="dxa" w:w="12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Medium</w:t>
            </w:r>
          </w:p>
        </w:tc>
        <w:tc>
          <w:tcPr>
            <w:tcW w:type="dxa" w:w="4896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Telemetry-first: no service ships without dashboards and SLOs.</w:t>
            </w:r>
          </w:p>
        </w:tc>
      </w:tr>
    </w:tbl>
    <w:p>
      <w:pPr>
        <w:spacing w:before="240" w:after="80"/>
      </w:pPr>
      <w:r>
        <w:rPr>
          <w:b/>
          <w:color w:val="1E2A5E"/>
          <w:sz w:val="26"/>
        </w:rPr>
        <w:t>C.9 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488"/>
            <w:shd w:val="clear" w:color="auto" w:fill="0B1437"/>
            <w:tcBorders>
              <w:top w:val="single" w:sz="4" w:color="0B1437"/>
              <w:left w:val="single" w:sz="4" w:color="0B1437"/>
              <w:bottom w:val="single" w:sz="4" w:color="0B1437"/>
              <w:right w:val="single" w:sz="4" w:color="0B1437"/>
            </w:tcBorders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ADR</w:t>
            </w:r>
          </w:p>
        </w:tc>
        <w:tc>
          <w:tcPr>
            <w:tcW w:type="dxa" w:w="74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Architecture Decision Record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ABAC</w:t>
            </w:r>
          </w:p>
        </w:tc>
        <w:tc>
          <w:tcPr>
            <w:tcW w:type="dxa" w:w="74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Attribute-Based Access Control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BFF</w:t>
            </w:r>
          </w:p>
        </w:tc>
        <w:tc>
          <w:tcPr>
            <w:tcW w:type="dxa" w:w="74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Backend for Frontend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CDC</w:t>
            </w:r>
          </w:p>
        </w:tc>
        <w:tc>
          <w:tcPr>
            <w:tcW w:type="dxa" w:w="74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Change Data Capture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DEK</w:t>
            </w:r>
          </w:p>
        </w:tc>
        <w:tc>
          <w:tcPr>
            <w:tcW w:type="dxa" w:w="74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Data Encryption Key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JML</w:t>
            </w:r>
          </w:p>
        </w:tc>
        <w:tc>
          <w:tcPr>
            <w:tcW w:type="dxa" w:w="74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Joiner–Mover–Leaver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OPA</w:t>
            </w:r>
          </w:p>
        </w:tc>
        <w:tc>
          <w:tcPr>
            <w:tcW w:type="dxa" w:w="74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Open Policy Agent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PITR</w:t>
            </w:r>
          </w:p>
        </w:tc>
        <w:tc>
          <w:tcPr>
            <w:tcW w:type="dxa" w:w="74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Point-in-Time Recovery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RBAC</w:t>
            </w:r>
          </w:p>
        </w:tc>
        <w:tc>
          <w:tcPr>
            <w:tcW w:type="dxa" w:w="74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Role-Based Access Control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RLS</w:t>
            </w:r>
          </w:p>
        </w:tc>
        <w:tc>
          <w:tcPr>
            <w:tcW w:type="dxa" w:w="74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Row-Level Security</w:t>
            </w:r>
          </w:p>
        </w:tc>
      </w:tr>
      <w:tr>
        <w:tc>
          <w:tcPr>
            <w:tcW w:type="dxa" w:w="2160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SoD</w:t>
            </w:r>
          </w:p>
        </w:tc>
        <w:tc>
          <w:tcPr>
            <w:tcW w:type="dxa" w:w="7488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Segregation of Duties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WAF</w:t>
            </w:r>
          </w:p>
        </w:tc>
        <w:tc>
          <w:tcPr>
            <w:tcW w:type="dxa" w:w="7488"/>
            <w:shd w:val="clear" w:color="auto" w:fill="F5F7FA"/>
            <w:tcBorders>
              <w:top w:val="single" w:sz="4" w:color="B7C0D6"/>
              <w:left w:val="single" w:sz="4" w:color="B7C0D6"/>
              <w:bottom w:val="single" w:sz="4" w:color="B7C0D6"/>
              <w:right w:val="single" w:sz="4" w:color="B7C0D6"/>
            </w:tcBorders>
            <w:vAlign w:val="center"/>
          </w:tcPr>
          <w:p>
            <w:r/>
            <w:r>
              <w:rPr>
                <w:color w:val="1A223A"/>
                <w:sz w:val="19"/>
              </w:rPr>
              <w:t>Web Application Firewall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8928"/>
      </w:tblGrid>
      <w:tr>
        <w:tc>
          <w:tcPr>
            <w:tcW w:type="dxa" w:w="4873"/>
            <w:shd w:val="clear" w:color="auto" w:fill="2F6BFF"/>
          </w:tcPr>
          <w:p/>
        </w:tc>
        <w:tc>
          <w:tcPr>
            <w:tcW w:type="dxa" w:w="4873"/>
            <w:shd w:val="clear" w:color="auto" w:fill="E8ECF3"/>
          </w:tcPr>
          <w:p>
            <w:pPr>
              <w:spacing w:before="60" w:after="60"/>
            </w:pPr>
            <w:r>
              <w:rPr>
                <w:b/>
                <w:color w:val="0B1437"/>
                <w:sz w:val="19"/>
              </w:rPr>
              <w:t xml:space="preserve">Related  </w:t>
            </w:r>
            <w:r>
              <w:rPr>
                <w:color w:val="1A223A"/>
                <w:sz w:val="19"/>
              </w:rPr>
              <w:t>PRX-SEC-POL-001 (User Access Policy), PRX-SEC-MTX-001 (User Access Matrix), PRX-ROAD-001 (Roadmap).</w:t>
            </w:r>
          </w:p>
        </w:tc>
      </w:tr>
    </w:tbl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A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