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jc w:val="left"/>
      </w:pPr>
      <w:r>
        <w:rPr>
          <w:rFonts w:ascii="Inter" w:hAnsi="Inter" w:eastAsia="Inter" w:cs="Inter"/>
          <w:b/>
          <w:i w:val="0"/>
          <w:color w:val="0B1437"/>
          <w:sz w:val="36"/>
        </w:rPr>
        <w:t>◆ PRAXION</w:t>
      </w:r>
      <w:r>
        <w:rPr>
          <w:rFonts w:ascii="Inter" w:hAnsi="Inter" w:eastAsia="Inter" w:cs="Inter"/>
          <w:b w:val="0"/>
          <w:i w:val="0"/>
          <w:color w:val="2F6BFF"/>
          <w:sz w:val="22"/>
        </w:rPr>
        <w:t xml:space="preserve">   HR OPERATING SYSTEM</w:t>
      </w:r>
    </w:p>
    <w:p>
      <w:pPr>
        <w:spacing w:after="480" w:before="0" w:line="324" w:lineRule="auto"/>
        <w:pBdr>
          <w:bottom w:val="single" w:sz="24" w:space="1" w:color="2F6BFF"/>
        </w:pBdr>
      </w:pPr>
      <w:r>
        <w:rPr>
          <w:rFonts w:ascii="Inter" w:hAnsi="Inter" w:eastAsia="Inter" w:cs="Inter"/>
          <w:b w:val="0"/>
          <w:i w:val="0"/>
          <w:sz w:val="22"/>
        </w:rPr>
      </w:r>
    </w:p>
    <w:p>
      <w:pPr>
        <w:spacing w:after="80"/>
      </w:pPr>
      <w:r>
        <w:rPr>
          <w:rFonts w:ascii="Inter" w:hAnsi="Inter" w:eastAsia="Inter" w:cs="Inter"/>
          <w:b/>
          <w:i w:val="0"/>
          <w:color w:val="2F6BFF"/>
          <w:sz w:val="22"/>
        </w:rPr>
        <w:t>MODULE M4  ·  PHASE 4</w:t>
      </w:r>
    </w:p>
    <w:p>
      <w:pPr>
        <w:spacing w:after="80"/>
      </w:pPr>
      <w:r>
        <w:rPr>
          <w:rFonts w:ascii="Inter" w:hAnsi="Inter" w:eastAsia="Inter" w:cs="Inter"/>
          <w:b/>
          <w:i w:val="0"/>
          <w:color w:val="0B1437"/>
          <w:sz w:val="72"/>
        </w:rPr>
        <w:t>Performance and KPIs</w:t>
      </w:r>
    </w:p>
    <w:p>
      <w:pPr>
        <w:spacing w:after="120"/>
      </w:pPr>
      <w:r>
        <w:rPr>
          <w:rFonts w:ascii="Inter" w:hAnsi="Inter" w:eastAsia="Inter" w:cs="Inter"/>
          <w:b w:val="0"/>
          <w:i w:val="0"/>
          <w:color w:val="1E2A5E"/>
          <w:sz w:val="32"/>
        </w:rPr>
        <w:t>Cycles, goals, 360° feedback and calibration across Egybell and client ratings.</w:t>
      </w:r>
    </w:p>
    <w:p>
      <w:pPr>
        <w:spacing w:before="280" w:after="40"/>
        <w:shd w:val="clear" w:color="auto" w:fill="2F6BFF"/>
      </w:pPr>
      <w:r>
        <w:rPr>
          <w:rFonts w:ascii="Inter" w:hAnsi="Inter" w:eastAsia="Inter" w:cs="Inter"/>
          <w:b/>
          <w:i w:val="0"/>
          <w:color w:val="FFFFFF"/>
          <w:sz w:val="20"/>
        </w:rPr>
        <w:t xml:space="preserve">  BUSINESS REQUIREMENTS DOCUMENT  </w:t>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0" w:before="0" w:line="324" w:lineRule="auto"/>
      </w:pPr>
      <w:r>
        <w:rPr>
          <w:rFonts w:ascii="Inter" w:hAnsi="Inter" w:eastAsia="Inter" w:cs="Inter"/>
          <w:b w:val="0"/>
          <w:i w:val="0"/>
          <w:sz w:val="22"/>
        </w:rPr>
      </w:r>
    </w:p>
    <w:p>
      <w:pPr>
        <w:spacing w:after="480" w:before="0" w:line="324" w:lineRule="auto"/>
        <w:jc w:val="left"/>
      </w:pPr>
      <w:r>
        <w:rPr>
          <w:rFonts w:ascii="Inter" w:hAnsi="Inter" w:eastAsia="Inter" w:cs="Inter"/>
          <w:b w:val="0"/>
          <w:i w:val="0"/>
          <w:color w:val="19D3C5"/>
          <w:sz w:val="28"/>
        </w:rPr>
        <w:t>Execution.  Intelligence.  Flow.</w:t>
      </w:r>
    </w:p>
    <w:tbl>
      <w:tblPr>
        <w:tblW w:type="auto" w:w="0"/>
        <w:tblLayout w:type="fixed"/>
        <w:tblLook w:firstColumn="1" w:firstRow="1" w:lastColumn="0" w:lastRow="0" w:noHBand="0" w:noVBand="1" w:val="04A0"/>
      </w:tblPr>
      <w:tblGrid>
        <w:gridCol w:w="4824"/>
        <w:gridCol w:w="4824"/>
      </w:tblGrid>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PRODUCT</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 HR Operating System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ORGANIZATION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Egybell (Provider Tenant)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MODULE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M4 — Performance and KPIs</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DELIVERY PHASE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Phase 4 — Performance and Insight</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VERSION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 Discovery Baseline</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STATUS</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For Stakeholder Review</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PREPARED BY</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Praxion Delivery Team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PROJECT DIRECTOR</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Sabry  ·  mo.sabryemam@outlook.com</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DOCUMENT DATE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10 April 2026</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TARGET GO-LIVE</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14 March 2027</w:t>
            </w:r>
          </w:p>
        </w:tc>
      </w:tr>
      <w:tr>
        <w:tc>
          <w:tcPr>
            <w:tcW w:type="dxa" w:w="2880"/>
            <w:shd w:val="clear" w:color="auto" w:fill="F5F7FA"/>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8892B0"/>
                <w:sz w:val="18"/>
              </w:rPr>
              <w:t>CLASSIFICATION</w:t>
            </w:r>
          </w:p>
        </w:tc>
        <w:tc>
          <w:tcPr>
            <w:tcW w:type="dxa" w:w="6912"/>
            <w:shd w:val="clear" w:color="auto" w:fill="FFFFFF"/>
            <w:tcBorders>
              <w:top w:val="single" w:sz="4" w:space="0" w:color="E6EAF2"/>
              <w:left w:val="single" w:sz="4" w:space="0" w:color="E6EAF2"/>
              <w:bottom w:val="single" w:sz="4" w:space="0" w:color="E6EAF2"/>
              <w:right w:val="single" w:sz="4" w:space="0" w:color="E6EAF2"/>
            </w:tcBorders>
          </w:tcPr>
          <w:p>
            <w:pPr>
              <w:spacing w:after="40"/>
            </w:pPr>
            <w:r/>
            <w:r>
              <w:rPr>
                <w:rFonts w:ascii="Inter" w:hAnsi="Inter" w:eastAsia="Inter" w:cs="Inter"/>
                <w:b/>
                <w:i w:val="0"/>
                <w:color w:val="0B1437"/>
                <w:sz w:val="21"/>
              </w:rPr>
              <w:t>Confidential — Egybell Internal + Approved Reviewers</w:t>
            </w:r>
          </w:p>
        </w:tc>
      </w:tr>
    </w:tbl>
    <w:p>
      <w:r>
        <w:br w:type="page"/>
      </w:r>
    </w:p>
    <w:p>
      <w:pPr>
        <w:spacing w:before="360" w:after="200"/>
        <w:pBdr>
          <w:bottom w:val="single" w:sz="18" w:space="1" w:color="2F6BFF"/>
        </w:pBdr>
      </w:pPr>
      <w:r>
        <w:rPr>
          <w:rFonts w:ascii="Inter" w:hAnsi="Inter" w:eastAsia="Inter" w:cs="Inter"/>
          <w:b/>
          <w:i w:val="0"/>
          <w:color w:val="0B1437"/>
          <w:sz w:val="44"/>
        </w:rPr>
        <w:t>Document Control</w:t>
      </w:r>
    </w:p>
    <w:p>
      <w:pPr>
        <w:spacing w:after="120" w:before="0" w:line="324" w:lineRule="auto"/>
      </w:pPr>
      <w:r>
        <w:rPr>
          <w:rFonts w:ascii="Inter" w:hAnsi="Inter" w:eastAsia="Inter" w:cs="Inter"/>
          <w:b w:val="0"/>
          <w:i w:val="0"/>
          <w:sz w:val="21"/>
        </w:rPr>
        <w:t>This Business Requirements Document forms part of the Praxion Discovery Baseline v3 and must be kept under version control. Any amendment after sign-off follows the Praxion Change Control process.</w:t>
      </w:r>
    </w:p>
    <w:p>
      <w:pPr>
        <w:spacing w:before="280" w:after="120"/>
      </w:pPr>
      <w:r>
        <w:rPr>
          <w:rFonts w:ascii="Inter" w:hAnsi="Inter" w:eastAsia="Inter" w:cs="Inter"/>
          <w:b/>
          <w:i w:val="0"/>
          <w:color w:val="0B1437"/>
          <w:sz w:val="32"/>
        </w:rPr>
        <w:t>Revision History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Version</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Author</w:t>
            </w:r>
          </w:p>
        </w:tc>
        <w:tc>
          <w:tcPr>
            <w:tcW w:type="dxa" w:w="47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Description</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0.1</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28 Mar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Initial draft from discovery workshops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0.5</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03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Incorporated stakeholder interview findings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Draft</w:t>
            </w:r>
          </w:p>
        </w:tc>
      </w:tr>
      <w:tr>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0.9</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08 Apr 2026</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 QA review, compliance mapping added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r>
      <w:tr>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 Apr 2026</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Team</w:t>
            </w:r>
          </w:p>
        </w:tc>
        <w:tc>
          <w:tcPr>
            <w:tcW w:type="dxa" w:w="47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Discovery baseline — issued for stakeholder review</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Issued</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Approvers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Responsibility</w:t>
            </w:r>
          </w:p>
        </w:tc>
        <w:tc>
          <w:tcPr>
            <w:tcW w:type="dxa" w:w="288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 / Date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Overall Praxion programme</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CEO</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Financial approver</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CIO / IT Lead</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Leadership</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288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 (Praxion)</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PM</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accountability</w:t>
            </w:r>
          </w:p>
        </w:tc>
        <w:tc>
          <w:tcPr>
            <w:tcW w:type="dxa" w:w="288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Distribution List</w:t>
      </w:r>
    </w:p>
    <w:p>
      <w:pPr>
        <w:pStyle w:val="ListBullet"/>
        <w:spacing w:after="60"/>
        <w:ind w:left="360"/>
      </w:pPr>
      <w:r>
        <w:rPr>
          <w:rFonts w:ascii="Inter" w:hAnsi="Inter" w:eastAsia="Inter" w:cs="Inter"/>
          <w:b w:val="0"/>
          <w:i w:val="0"/>
          <w:color w:val="2B2F3A"/>
          <w:sz w:val="22"/>
        </w:rPr>
        <w:t>Egybell Executive Sponsors (CEO, COO, CFO)</w:t>
      </w:r>
    </w:p>
    <w:p>
      <w:pPr>
        <w:pStyle w:val="ListBullet"/>
        <w:spacing w:after="60"/>
        <w:ind w:left="360"/>
      </w:pPr>
      <w:r>
        <w:rPr>
          <w:rFonts w:ascii="Inter" w:hAnsi="Inter" w:eastAsia="Inter" w:cs="Inter"/>
          <w:b w:val="0"/>
          <w:i w:val="0"/>
          <w:color w:val="2B2F3A"/>
          <w:sz w:val="22"/>
        </w:rPr>
        <w:t>Egybell HR Leadership and Operations Managers</w:t>
      </w:r>
    </w:p>
    <w:p>
      <w:pPr>
        <w:pStyle w:val="ListBullet"/>
        <w:spacing w:after="60"/>
        <w:ind w:left="360"/>
      </w:pPr>
      <w:r>
        <w:rPr>
          <w:rFonts w:ascii="Inter" w:hAnsi="Inter" w:eastAsia="Inter" w:cs="Inter"/>
          <w:b w:val="0"/>
          <w:i w:val="0"/>
          <w:color w:val="2B2F3A"/>
          <w:sz w:val="22"/>
        </w:rPr>
        <w:t>Egybell IT &amp; Security team</w:t>
      </w:r>
    </w:p>
    <w:p>
      <w:pPr>
        <w:pStyle w:val="ListBullet"/>
        <w:spacing w:after="60"/>
        <w:ind w:left="360"/>
      </w:pPr>
      <w:r>
        <w:rPr>
          <w:rFonts w:ascii="Inter" w:hAnsi="Inter" w:eastAsia="Inter" w:cs="Inter"/>
          <w:b w:val="0"/>
          <w:i w:val="0"/>
          <w:color w:val="2B2F3A"/>
          <w:sz w:val="22"/>
        </w:rPr>
        <w:t>Praxion Delivery Team (PM, Architects, Leads)</w:t>
      </w:r>
    </w:p>
    <w:p>
      <w:pPr>
        <w:pStyle w:val="ListBullet"/>
        <w:spacing w:after="60"/>
        <w:ind w:left="360"/>
      </w:pPr>
      <w:r>
        <w:rPr>
          <w:rFonts w:ascii="Inter" w:hAnsi="Inter" w:eastAsia="Inter" w:cs="Inter"/>
          <w:b w:val="0"/>
          <w:i w:val="0"/>
          <w:color w:val="2B2F3A"/>
          <w:sz w:val="22"/>
        </w:rPr>
        <w:t>Nominated Pilot Client Stakeholders (confidentiality-bound)</w:t>
      </w:r>
    </w:p>
    <w:p>
      <w:pPr>
        <w:pStyle w:val="ListBullet"/>
        <w:spacing w:after="60"/>
        <w:ind w:left="360"/>
      </w:pPr>
      <w:r>
        <w:rPr>
          <w:rFonts w:ascii="Inter" w:hAnsi="Inter" w:eastAsia="Inter" w:cs="Inter"/>
          <w:b w:val="0"/>
          <w:i w:val="0"/>
          <w:color w:val="2B2F3A"/>
          <w:sz w:val="22"/>
        </w:rPr>
        <w:t>External Auditors — on request only</w:t>
      </w:r>
    </w:p>
    <w:p>
      <w:r>
        <w:br w:type="page"/>
      </w:r>
    </w:p>
    <w:p>
      <w:pPr>
        <w:spacing w:before="360" w:after="200"/>
        <w:pBdr>
          <w:bottom w:val="single" w:sz="18" w:space="1" w:color="2F6BFF"/>
        </w:pBdr>
      </w:pPr>
      <w:r>
        <w:rPr>
          <w:rFonts w:ascii="Inter" w:hAnsi="Inter" w:eastAsia="Inter" w:cs="Inter"/>
          <w:b/>
          <w:i w:val="0"/>
          <w:color w:val="0B1437"/>
          <w:sz w:val="44"/>
        </w:rPr>
        <w:t>Table of Contents</w:t>
      </w:r>
    </w:p>
    <w:p>
      <w:pPr>
        <w:spacing w:after="120" w:before="0" w:line="324" w:lineRule="auto"/>
      </w:pPr>
      <w:r>
        <w:rPr>
          <w:rFonts w:ascii="Inter" w:hAnsi="Inter" w:eastAsia="Inter" w:cs="Inter"/>
          <w:b w:val="0"/>
          <w:i w:val="0"/>
          <w:color w:val="8892B0"/>
          <w:sz w:val="20"/>
        </w:rPr>
        <w:t>This Table of Contents reflects the canonical section order for every Praxion BRD. Section numbers are stable across modules; page numbers can be updated in Microsoft Word via View → Update Field.</w:t>
      </w:r>
    </w:p>
    <w:p>
      <w:pPr>
        <w:spacing w:after="60"/>
      </w:pPr>
      <w:r>
        <w:rPr>
          <w:rFonts w:ascii="Inter" w:hAnsi="Inter" w:eastAsia="Inter" w:cs="Inter"/>
          <w:b/>
          <w:i w:val="0"/>
          <w:color w:val="2F6BFF"/>
          <w:sz w:val="22"/>
        </w:rPr>
        <w:t xml:space="preserve">1.  </w:t>
      </w:r>
      <w:r>
        <w:rPr>
          <w:rFonts w:ascii="Inter" w:hAnsi="Inter" w:eastAsia="Inter" w:cs="Inter"/>
          <w:b w:val="0"/>
          <w:i w:val="0"/>
          <w:color w:val="0B1437"/>
          <w:sz w:val="22"/>
        </w:rPr>
        <w:t>Executive Summary</w:t>
      </w:r>
    </w:p>
    <w:p>
      <w:pPr>
        <w:spacing w:after="60"/>
      </w:pPr>
      <w:r>
        <w:rPr>
          <w:rFonts w:ascii="Inter" w:hAnsi="Inter" w:eastAsia="Inter" w:cs="Inter"/>
          <w:b/>
          <w:i w:val="0"/>
          <w:color w:val="2F6BFF"/>
          <w:sz w:val="22"/>
        </w:rPr>
        <w:t xml:space="preserve">2.  </w:t>
      </w:r>
      <w:r>
        <w:rPr>
          <w:rFonts w:ascii="Inter" w:hAnsi="Inter" w:eastAsia="Inter" w:cs="Inter"/>
          <w:b w:val="0"/>
          <w:i w:val="0"/>
          <w:color w:val="0B1437"/>
          <w:sz w:val="22"/>
        </w:rPr>
        <w:t>Introduction</w:t>
      </w:r>
    </w:p>
    <w:p>
      <w:pPr>
        <w:spacing w:after="60"/>
      </w:pPr>
      <w:r>
        <w:rPr>
          <w:rFonts w:ascii="Inter" w:hAnsi="Inter" w:eastAsia="Inter" w:cs="Inter"/>
          <w:b/>
          <w:i w:val="0"/>
          <w:color w:val="2F6BFF"/>
          <w:sz w:val="22"/>
        </w:rPr>
        <w:t xml:space="preserve">3.  </w:t>
      </w:r>
      <w:r>
        <w:rPr>
          <w:rFonts w:ascii="Inter" w:hAnsi="Inter" w:eastAsia="Inter" w:cs="Inter"/>
          <w:b w:val="0"/>
          <w:i w:val="0"/>
          <w:color w:val="0B1437"/>
          <w:sz w:val="22"/>
        </w:rPr>
        <w:t>Business Context</w:t>
      </w:r>
    </w:p>
    <w:p>
      <w:pPr>
        <w:spacing w:after="60"/>
      </w:pPr>
      <w:r>
        <w:rPr>
          <w:rFonts w:ascii="Inter" w:hAnsi="Inter" w:eastAsia="Inter" w:cs="Inter"/>
          <w:b/>
          <w:i w:val="0"/>
          <w:color w:val="2F6BFF"/>
          <w:sz w:val="22"/>
        </w:rPr>
        <w:t xml:space="preserve">4.  </w:t>
      </w:r>
      <w:r>
        <w:rPr>
          <w:rFonts w:ascii="Inter" w:hAnsi="Inter" w:eastAsia="Inter" w:cs="Inter"/>
          <w:b w:val="0"/>
          <w:i w:val="0"/>
          <w:color w:val="0B1437"/>
          <w:sz w:val="22"/>
        </w:rPr>
        <w:t>Stakeholders and Users</w:t>
      </w:r>
    </w:p>
    <w:p>
      <w:pPr>
        <w:spacing w:after="60"/>
      </w:pPr>
      <w:r>
        <w:rPr>
          <w:rFonts w:ascii="Inter" w:hAnsi="Inter" w:eastAsia="Inter" w:cs="Inter"/>
          <w:b/>
          <w:i w:val="0"/>
          <w:color w:val="2F6BFF"/>
          <w:sz w:val="22"/>
        </w:rPr>
        <w:t xml:space="preserve">5.  </w:t>
      </w:r>
      <w:r>
        <w:rPr>
          <w:rFonts w:ascii="Inter" w:hAnsi="Inter" w:eastAsia="Inter" w:cs="Inter"/>
          <w:b w:val="0"/>
          <w:i w:val="0"/>
          <w:color w:val="0B1437"/>
          <w:sz w:val="22"/>
        </w:rPr>
        <w:t>Scope</w:t>
      </w:r>
    </w:p>
    <w:p>
      <w:pPr>
        <w:spacing w:after="60"/>
      </w:pPr>
      <w:r>
        <w:rPr>
          <w:rFonts w:ascii="Inter" w:hAnsi="Inter" w:eastAsia="Inter" w:cs="Inter"/>
          <w:b/>
          <w:i w:val="0"/>
          <w:color w:val="2F6BFF"/>
          <w:sz w:val="22"/>
        </w:rPr>
        <w:t xml:space="preserve">6.  </w:t>
      </w:r>
      <w:r>
        <w:rPr>
          <w:rFonts w:ascii="Inter" w:hAnsi="Inter" w:eastAsia="Inter" w:cs="Inter"/>
          <w:b w:val="0"/>
          <w:i w:val="0"/>
          <w:color w:val="0B1437"/>
          <w:sz w:val="22"/>
        </w:rPr>
        <w:t>Business Rules</w:t>
      </w:r>
    </w:p>
    <w:p>
      <w:pPr>
        <w:spacing w:after="60"/>
      </w:pPr>
      <w:r>
        <w:rPr>
          <w:rFonts w:ascii="Inter" w:hAnsi="Inter" w:eastAsia="Inter" w:cs="Inter"/>
          <w:b/>
          <w:i w:val="0"/>
          <w:color w:val="2F6BFF"/>
          <w:sz w:val="22"/>
        </w:rPr>
        <w:t xml:space="preserve">7.  </w:t>
      </w:r>
      <w:r>
        <w:rPr>
          <w:rFonts w:ascii="Inter" w:hAnsi="Inter" w:eastAsia="Inter" w:cs="Inter"/>
          <w:b w:val="0"/>
          <w:i w:val="0"/>
          <w:color w:val="0B1437"/>
          <w:sz w:val="22"/>
        </w:rPr>
        <w:t>Functional Requirements</w:t>
      </w:r>
    </w:p>
    <w:p>
      <w:pPr>
        <w:spacing w:after="60"/>
      </w:pPr>
      <w:r>
        <w:rPr>
          <w:rFonts w:ascii="Inter" w:hAnsi="Inter" w:eastAsia="Inter" w:cs="Inter"/>
          <w:b/>
          <w:i w:val="0"/>
          <w:color w:val="2F6BFF"/>
          <w:sz w:val="22"/>
        </w:rPr>
        <w:t xml:space="preserve">8.  </w:t>
      </w:r>
      <w:r>
        <w:rPr>
          <w:rFonts w:ascii="Inter" w:hAnsi="Inter" w:eastAsia="Inter" w:cs="Inter"/>
          <w:b w:val="0"/>
          <w:i w:val="0"/>
          <w:color w:val="0B1437"/>
          <w:sz w:val="22"/>
        </w:rPr>
        <w:t>Non-Functional Requirements</w:t>
      </w:r>
    </w:p>
    <w:p>
      <w:pPr>
        <w:spacing w:after="60"/>
      </w:pPr>
      <w:r>
        <w:rPr>
          <w:rFonts w:ascii="Inter" w:hAnsi="Inter" w:eastAsia="Inter" w:cs="Inter"/>
          <w:b/>
          <w:i w:val="0"/>
          <w:color w:val="2F6BFF"/>
          <w:sz w:val="22"/>
        </w:rPr>
        <w:t xml:space="preserve">9.  </w:t>
      </w:r>
      <w:r>
        <w:rPr>
          <w:rFonts w:ascii="Inter" w:hAnsi="Inter" w:eastAsia="Inter" w:cs="Inter"/>
          <w:b w:val="0"/>
          <w:i w:val="0"/>
          <w:color w:val="0B1437"/>
          <w:sz w:val="22"/>
        </w:rPr>
        <w:t>User Stories and Acceptance Criteria</w:t>
      </w:r>
    </w:p>
    <w:p>
      <w:pPr>
        <w:spacing w:after="60"/>
      </w:pPr>
      <w:r>
        <w:rPr>
          <w:rFonts w:ascii="Inter" w:hAnsi="Inter" w:eastAsia="Inter" w:cs="Inter"/>
          <w:b/>
          <w:i w:val="0"/>
          <w:color w:val="2F6BFF"/>
          <w:sz w:val="22"/>
        </w:rPr>
        <w:t xml:space="preserve">10.  </w:t>
      </w:r>
      <w:r>
        <w:rPr>
          <w:rFonts w:ascii="Inter" w:hAnsi="Inter" w:eastAsia="Inter" w:cs="Inter"/>
          <w:b w:val="0"/>
          <w:i w:val="0"/>
          <w:color w:val="0B1437"/>
          <w:sz w:val="22"/>
        </w:rPr>
        <w:t>Process Flows</w:t>
      </w:r>
    </w:p>
    <w:p>
      <w:pPr>
        <w:spacing w:after="60"/>
      </w:pPr>
      <w:r>
        <w:rPr>
          <w:rFonts w:ascii="Inter" w:hAnsi="Inter" w:eastAsia="Inter" w:cs="Inter"/>
          <w:b/>
          <w:i w:val="0"/>
          <w:color w:val="2F6BFF"/>
          <w:sz w:val="22"/>
        </w:rPr>
        <w:t xml:space="preserve">11.  </w:t>
      </w:r>
      <w:r>
        <w:rPr>
          <w:rFonts w:ascii="Inter" w:hAnsi="Inter" w:eastAsia="Inter" w:cs="Inter"/>
          <w:b w:val="0"/>
          <w:i w:val="0"/>
          <w:color w:val="0B1437"/>
          <w:sz w:val="22"/>
        </w:rPr>
        <w:t>Data Requirements</w:t>
      </w:r>
    </w:p>
    <w:p>
      <w:pPr>
        <w:spacing w:after="60"/>
      </w:pPr>
      <w:r>
        <w:rPr>
          <w:rFonts w:ascii="Inter" w:hAnsi="Inter" w:eastAsia="Inter" w:cs="Inter"/>
          <w:b/>
          <w:i w:val="0"/>
          <w:color w:val="2F6BFF"/>
          <w:sz w:val="22"/>
        </w:rPr>
        <w:t xml:space="preserve">12.  </w:t>
      </w:r>
      <w:r>
        <w:rPr>
          <w:rFonts w:ascii="Inter" w:hAnsi="Inter" w:eastAsia="Inter" w:cs="Inter"/>
          <w:b w:val="0"/>
          <w:i w:val="0"/>
          <w:color w:val="0B1437"/>
          <w:sz w:val="22"/>
        </w:rPr>
        <w:t>Integration Requirements</w:t>
      </w:r>
    </w:p>
    <w:p>
      <w:pPr>
        <w:spacing w:after="60"/>
      </w:pPr>
      <w:r>
        <w:rPr>
          <w:rFonts w:ascii="Inter" w:hAnsi="Inter" w:eastAsia="Inter" w:cs="Inter"/>
          <w:b/>
          <w:i w:val="0"/>
          <w:color w:val="2F6BFF"/>
          <w:sz w:val="22"/>
        </w:rPr>
        <w:t xml:space="preserve">13.  </w:t>
      </w:r>
      <w:r>
        <w:rPr>
          <w:rFonts w:ascii="Inter" w:hAnsi="Inter" w:eastAsia="Inter" w:cs="Inter"/>
          <w:b w:val="0"/>
          <w:i w:val="0"/>
          <w:color w:val="0B1437"/>
          <w:sz w:val="22"/>
        </w:rPr>
        <w:t>Compliance and Regulatory Mapping</w:t>
      </w:r>
    </w:p>
    <w:p>
      <w:pPr>
        <w:spacing w:after="60"/>
      </w:pPr>
      <w:r>
        <w:rPr>
          <w:rFonts w:ascii="Inter" w:hAnsi="Inter" w:eastAsia="Inter" w:cs="Inter"/>
          <w:b/>
          <w:i w:val="0"/>
          <w:color w:val="2F6BFF"/>
          <w:sz w:val="22"/>
        </w:rPr>
        <w:t xml:space="preserve">14.  </w:t>
      </w:r>
      <w:r>
        <w:rPr>
          <w:rFonts w:ascii="Inter" w:hAnsi="Inter" w:eastAsia="Inter" w:cs="Inter"/>
          <w:b w:val="0"/>
          <w:i w:val="0"/>
          <w:color w:val="0B1437"/>
          <w:sz w:val="22"/>
        </w:rPr>
        <w:t>UAT Scenarios</w:t>
      </w:r>
    </w:p>
    <w:p>
      <w:pPr>
        <w:spacing w:after="60"/>
      </w:pPr>
      <w:r>
        <w:rPr>
          <w:rFonts w:ascii="Inter" w:hAnsi="Inter" w:eastAsia="Inter" w:cs="Inter"/>
          <w:b/>
          <w:i w:val="0"/>
          <w:color w:val="2F6BFF"/>
          <w:sz w:val="22"/>
        </w:rPr>
        <w:t xml:space="preserve">15.  </w:t>
      </w:r>
      <w:r>
        <w:rPr>
          <w:rFonts w:ascii="Inter" w:hAnsi="Inter" w:eastAsia="Inter" w:cs="Inter"/>
          <w:b w:val="0"/>
          <w:i w:val="0"/>
          <w:color w:val="0B1437"/>
          <w:sz w:val="22"/>
        </w:rPr>
        <w:t>Dependencies</w:t>
      </w:r>
    </w:p>
    <w:p>
      <w:pPr>
        <w:spacing w:after="60"/>
      </w:pPr>
      <w:r>
        <w:rPr>
          <w:rFonts w:ascii="Inter" w:hAnsi="Inter" w:eastAsia="Inter" w:cs="Inter"/>
          <w:b/>
          <w:i w:val="0"/>
          <w:color w:val="2F6BFF"/>
          <w:sz w:val="22"/>
        </w:rPr>
        <w:t xml:space="preserve">16.  </w:t>
      </w:r>
      <w:r>
        <w:rPr>
          <w:rFonts w:ascii="Inter" w:hAnsi="Inter" w:eastAsia="Inter" w:cs="Inter"/>
          <w:b w:val="0"/>
          <w:i w:val="0"/>
          <w:color w:val="0B1437"/>
          <w:sz w:val="22"/>
        </w:rPr>
        <w:t>Risks and Mitigations</w:t>
      </w:r>
    </w:p>
    <w:p>
      <w:pPr>
        <w:spacing w:after="60"/>
      </w:pPr>
      <w:r>
        <w:rPr>
          <w:rFonts w:ascii="Inter" w:hAnsi="Inter" w:eastAsia="Inter" w:cs="Inter"/>
          <w:b/>
          <w:i w:val="0"/>
          <w:color w:val="2F6BFF"/>
          <w:sz w:val="22"/>
        </w:rPr>
        <w:t xml:space="preserve">17.  </w:t>
      </w:r>
      <w:r>
        <w:rPr>
          <w:rFonts w:ascii="Inter" w:hAnsi="Inter" w:eastAsia="Inter" w:cs="Inter"/>
          <w:b w:val="0"/>
          <w:i w:val="0"/>
          <w:color w:val="0B1437"/>
          <w:sz w:val="22"/>
        </w:rPr>
        <w:t>Appendix and Sign-Off</w:t>
      </w:r>
    </w:p>
    <w:p>
      <w:r>
        <w:br w:type="page"/>
      </w:r>
    </w:p>
    <w:p>
      <w:pPr>
        <w:spacing w:before="360" w:after="200"/>
        <w:pBdr>
          <w:bottom w:val="single" w:sz="18" w:space="1" w:color="2F6BFF"/>
        </w:pBdr>
      </w:pPr>
      <w:r>
        <w:rPr>
          <w:rFonts w:ascii="Inter" w:hAnsi="Inter" w:eastAsia="Inter" w:cs="Inter"/>
          <w:b/>
          <w:i w:val="0"/>
          <w:color w:val="0B1437"/>
          <w:sz w:val="44"/>
        </w:rPr>
        <w:t>1. Executive Summary</w:t>
      </w:r>
    </w:p>
    <w:p>
      <w:pPr>
        <w:spacing w:before="280" w:after="120"/>
      </w:pPr>
      <w:r>
        <w:rPr>
          <w:rFonts w:ascii="Inter" w:hAnsi="Inter" w:eastAsia="Inter" w:cs="Inter"/>
          <w:b/>
          <w:i w:val="0"/>
          <w:color w:val="0B1437"/>
          <w:sz w:val="32"/>
        </w:rPr>
        <w:t>1.1 Purpose</w:t>
      </w:r>
    </w:p>
    <w:p>
      <w:pPr>
        <w:spacing w:after="120" w:before="0" w:line="324" w:lineRule="auto"/>
      </w:pPr>
      <w:r>
        <w:rPr>
          <w:rFonts w:ascii="Inter" w:hAnsi="Inter" w:eastAsia="Inter" w:cs="Inter"/>
          <w:b w:val="0"/>
          <w:i w:val="0"/>
          <w:sz w:val="22"/>
        </w:rPr>
        <w:t>To deliver a structured performance management module that combines Egybell internal reviews with client ratings of outsourced employees, supports goal-setting and 360° feedback, and produces calibrated review outcomes that feed compensation decisions.</w:t>
      </w:r>
    </w:p>
    <w:p>
      <w:pPr>
        <w:spacing w:before="280" w:after="120"/>
      </w:pPr>
      <w:r>
        <w:rPr>
          <w:rFonts w:ascii="Inter" w:hAnsi="Inter" w:eastAsia="Inter" w:cs="Inter"/>
          <w:b/>
          <w:i w:val="0"/>
          <w:color w:val="0B1437"/>
          <w:sz w:val="32"/>
        </w:rPr>
        <w:t>1.2 Business Problem</w:t>
      </w:r>
    </w:p>
    <w:p>
      <w:pPr>
        <w:spacing w:after="120" w:before="0" w:line="324" w:lineRule="auto"/>
      </w:pPr>
      <w:r>
        <w:rPr>
          <w:rFonts w:ascii="Inter" w:hAnsi="Inter" w:eastAsia="Inter" w:cs="Inter"/>
          <w:b w:val="0"/>
          <w:i w:val="0"/>
          <w:sz w:val="22"/>
        </w:rPr>
        <w:t>Performance today is inconsistent: some teams run annual Excel reviews, others none at all. Client feedback on outsourced employees arrives as sporadic emails or WhatsApp messages and is not aggregated or governed. There is no calibration across managers, and ratings rarely influence pay or development.</w:t>
      </w:r>
    </w:p>
    <w:p>
      <w:pPr>
        <w:spacing w:before="280" w:after="120"/>
      </w:pPr>
      <w:r>
        <w:rPr>
          <w:rFonts w:ascii="Inter" w:hAnsi="Inter" w:eastAsia="Inter" w:cs="Inter"/>
          <w:b/>
          <w:i w:val="0"/>
          <w:color w:val="0B1437"/>
          <w:sz w:val="32"/>
        </w:rPr>
        <w:t>1.3 Proposed Solution</w:t>
      </w:r>
    </w:p>
    <w:p>
      <w:pPr>
        <w:spacing w:after="120" w:before="0" w:line="324" w:lineRule="auto"/>
      </w:pPr>
      <w:r>
        <w:rPr>
          <w:rFonts w:ascii="Inter" w:hAnsi="Inter" w:eastAsia="Inter" w:cs="Inter"/>
          <w:b w:val="0"/>
          <w:i w:val="0"/>
          <w:sz w:val="22"/>
        </w:rPr>
        <w:t>Deliver a performance module with configurable review cycles, SMART goals, quarterly check-ins, 360° feedback, client rating inputs for outsourced employees, and a calibration tool for HR to equalise ratings across managers.</w:t>
      </w:r>
    </w:p>
    <w:p>
      <w:pPr>
        <w:spacing w:before="280" w:after="120"/>
      </w:pPr>
      <w:r>
        <w:rPr>
          <w:rFonts w:ascii="Inter" w:hAnsi="Inter" w:eastAsia="Inter" w:cs="Inter"/>
          <w:b/>
          <w:i w:val="0"/>
          <w:color w:val="0B1437"/>
          <w:sz w:val="32"/>
        </w:rPr>
        <w:t>1.4 Expected Benefits</w:t>
      </w:r>
    </w:p>
    <w:p>
      <w:pPr>
        <w:pStyle w:val="ListBullet"/>
        <w:spacing w:after="60"/>
        <w:ind w:left="360"/>
      </w:pPr>
      <w:r>
        <w:rPr>
          <w:rFonts w:ascii="Inter" w:hAnsi="Inter" w:eastAsia="Inter" w:cs="Inter"/>
          <w:b w:val="0"/>
          <w:i w:val="0"/>
          <w:color w:val="2B2F3A"/>
          <w:sz w:val="22"/>
        </w:rPr>
        <w:t>Consistent review cycles across Egybell and all client-assigned staff.</w:t>
      </w:r>
    </w:p>
    <w:p>
      <w:pPr>
        <w:pStyle w:val="ListBullet"/>
        <w:spacing w:after="60"/>
        <w:ind w:left="360"/>
      </w:pPr>
      <w:r>
        <w:rPr>
          <w:rFonts w:ascii="Inter" w:hAnsi="Inter" w:eastAsia="Inter" w:cs="Inter"/>
          <w:b w:val="0"/>
          <w:i w:val="0"/>
          <w:color w:val="2B2F3A"/>
          <w:sz w:val="22"/>
        </w:rPr>
        <w:t>Client ratings captured in a structured, aggregatable way.</w:t>
      </w:r>
    </w:p>
    <w:p>
      <w:pPr>
        <w:pStyle w:val="ListBullet"/>
        <w:spacing w:after="60"/>
        <w:ind w:left="360"/>
      </w:pPr>
      <w:r>
        <w:rPr>
          <w:rFonts w:ascii="Inter" w:hAnsi="Inter" w:eastAsia="Inter" w:cs="Inter"/>
          <w:b w:val="0"/>
          <w:i w:val="0"/>
          <w:color w:val="2B2F3A"/>
          <w:sz w:val="22"/>
        </w:rPr>
        <w:t>Calibrated ratings reduce manager bias and improve fairness.</w:t>
      </w:r>
    </w:p>
    <w:p>
      <w:pPr>
        <w:pStyle w:val="ListBullet"/>
        <w:spacing w:after="60"/>
        <w:ind w:left="360"/>
      </w:pPr>
      <w:r>
        <w:rPr>
          <w:rFonts w:ascii="Inter" w:hAnsi="Inter" w:eastAsia="Inter" w:cs="Inter"/>
          <w:b w:val="0"/>
          <w:i w:val="0"/>
          <w:color w:val="2B2F3A"/>
          <w:sz w:val="22"/>
        </w:rPr>
        <w:t>Goals linked to learning (M5) and compensation (M6) decisions.</w:t>
      </w:r>
    </w:p>
    <w:p>
      <w:pPr>
        <w:pStyle w:val="ListBullet"/>
        <w:spacing w:after="60"/>
        <w:ind w:left="360"/>
      </w:pPr>
      <w:r>
        <w:rPr>
          <w:rFonts w:ascii="Inter" w:hAnsi="Inter" w:eastAsia="Inter" w:cs="Inter"/>
          <w:b w:val="0"/>
          <w:i w:val="0"/>
          <w:color w:val="2B2F3A"/>
          <w:sz w:val="22"/>
        </w:rPr>
        <w:t>Real-time performance dashboards for HR and managers.</w:t>
      </w:r>
    </w:p>
    <w:p>
      <w:pPr>
        <w:spacing w:before="280" w:after="120"/>
      </w:pPr>
      <w:r>
        <w:rPr>
          <w:rFonts w:ascii="Inter" w:hAnsi="Inter" w:eastAsia="Inter" w:cs="Inter"/>
          <w:b/>
          <w:i w:val="0"/>
          <w:color w:val="0B1437"/>
          <w:sz w:val="32"/>
        </w:rPr>
        <w:t>1.5 Success Criteria</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74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KPI</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Baseline (Today)</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at Go-Live</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Target +6 Months</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of employees with active goals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 cycle completion rate</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50%</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95%</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100%</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Time to complete review cycle</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6 wks</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3 wks</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2 wks</w:t>
            </w:r>
          </w:p>
        </w:tc>
      </w:tr>
      <w:tr>
        <w:tc>
          <w:tcPr>
            <w:tcW w:type="dxa" w:w="374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Calibration meetings held</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1/cycle</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1/cycle</w:t>
            </w:r>
          </w:p>
        </w:tc>
      </w:tr>
      <w:tr>
        <w:tc>
          <w:tcPr>
            <w:tcW w:type="dxa" w:w="374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rating coverage (outsourced)</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0%</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80%</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 90%</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2. Introduction</w:t>
      </w:r>
    </w:p>
    <w:p>
      <w:pPr>
        <w:spacing w:before="280" w:after="120"/>
      </w:pPr>
      <w:r>
        <w:rPr>
          <w:rFonts w:ascii="Inter" w:hAnsi="Inter" w:eastAsia="Inter" w:cs="Inter"/>
          <w:b/>
          <w:i w:val="0"/>
          <w:color w:val="0B1437"/>
          <w:sz w:val="32"/>
        </w:rPr>
        <w:t>2.1 Document Purpose</w:t>
      </w:r>
    </w:p>
    <w:p>
      <w:pPr>
        <w:spacing w:after="120" w:before="0" w:line="324" w:lineRule="auto"/>
      </w:pPr>
      <w:r>
        <w:rPr>
          <w:rFonts w:ascii="Inter" w:hAnsi="Inter" w:eastAsia="Inter" w:cs="Inter"/>
          <w:b w:val="0"/>
          <w:i w:val="0"/>
          <w:sz w:val="22"/>
        </w:rPr>
        <w:t>This Business Requirements Document (BRD) captures the business, functional, data, and compliance requirements for the Praxion Performance and KPIs module (M4). It is the authoritative reference for design, development, testing, and user acceptance of this module. All downstream artefacts — Functional Specifications, Solution Designs, Test Plans and Training Materials — trace back to the requirements documented here.</w:t>
      </w:r>
    </w:p>
    <w:p>
      <w:pPr>
        <w:spacing w:before="280" w:after="120"/>
      </w:pPr>
      <w:r>
        <w:rPr>
          <w:rFonts w:ascii="Inter" w:hAnsi="Inter" w:eastAsia="Inter" w:cs="Inter"/>
          <w:b/>
          <w:i w:val="0"/>
          <w:color w:val="0B1437"/>
          <w:sz w:val="32"/>
        </w:rPr>
        <w:t>2.2 Intended Audience</w:t>
      </w:r>
    </w:p>
    <w:p>
      <w:pPr>
        <w:spacing w:after="60"/>
        <w:ind w:left="216"/>
      </w:pPr>
      <w:r>
        <w:rPr>
          <w:rFonts w:ascii="Inter" w:hAnsi="Inter" w:eastAsia="Inter" w:cs="Inter"/>
          <w:b/>
          <w:i w:val="0"/>
          <w:color w:val="0B1437"/>
          <w:sz w:val="21"/>
        </w:rPr>
        <w:t xml:space="preserve">Business Sponsors — </w:t>
      </w:r>
      <w:r>
        <w:rPr>
          <w:rFonts w:ascii="Inter" w:hAnsi="Inter" w:eastAsia="Inter" w:cs="Inter"/>
          <w:b w:val="0"/>
          <w:i w:val="0"/>
          <w:color w:val="2B2F3A"/>
          <w:sz w:val="21"/>
        </w:rPr>
        <w:t>Validate business value, cost-benefit, and go/no-go decisions.</w:t>
      </w:r>
    </w:p>
    <w:p>
      <w:pPr>
        <w:spacing w:after="60"/>
        <w:ind w:left="216"/>
      </w:pPr>
      <w:r>
        <w:rPr>
          <w:rFonts w:ascii="Inter" w:hAnsi="Inter" w:eastAsia="Inter" w:cs="Inter"/>
          <w:b/>
          <w:i w:val="0"/>
          <w:color w:val="0B1437"/>
          <w:sz w:val="21"/>
        </w:rPr>
        <w:t xml:space="preserve">Subject-Matter Experts (SMEs) — </w:t>
      </w:r>
      <w:r>
        <w:rPr>
          <w:rFonts w:ascii="Inter" w:hAnsi="Inter" w:eastAsia="Inter" w:cs="Inter"/>
          <w:b w:val="0"/>
          <w:i w:val="0"/>
          <w:color w:val="2B2F3A"/>
          <w:sz w:val="21"/>
        </w:rPr>
        <w:t>Confirm that business rules, workflows and edge cases reflect Egybell operational reality.</w:t>
      </w:r>
    </w:p>
    <w:p>
      <w:pPr>
        <w:spacing w:after="60"/>
        <w:ind w:left="216"/>
      </w:pPr>
      <w:r>
        <w:rPr>
          <w:rFonts w:ascii="Inter" w:hAnsi="Inter" w:eastAsia="Inter" w:cs="Inter"/>
          <w:b/>
          <w:i w:val="0"/>
          <w:color w:val="0B1437"/>
          <w:sz w:val="21"/>
        </w:rPr>
        <w:t xml:space="preserve">Solution Architects — </w:t>
      </w:r>
      <w:r>
        <w:rPr>
          <w:rFonts w:ascii="Inter" w:hAnsi="Inter" w:eastAsia="Inter" w:cs="Inter"/>
          <w:b w:val="0"/>
          <w:i w:val="0"/>
          <w:color w:val="2B2F3A"/>
          <w:sz w:val="21"/>
        </w:rPr>
        <w:t>Translate requirements into target architecture and integration design.</w:t>
      </w:r>
    </w:p>
    <w:p>
      <w:pPr>
        <w:spacing w:after="60"/>
        <w:ind w:left="216"/>
      </w:pPr>
      <w:r>
        <w:rPr>
          <w:rFonts w:ascii="Inter" w:hAnsi="Inter" w:eastAsia="Inter" w:cs="Inter"/>
          <w:b/>
          <w:i w:val="0"/>
          <w:color w:val="0B1437"/>
          <w:sz w:val="21"/>
        </w:rPr>
        <w:t xml:space="preserve">Product &amp; Delivery Team — </w:t>
      </w:r>
      <w:r>
        <w:rPr>
          <w:rFonts w:ascii="Inter" w:hAnsi="Inter" w:eastAsia="Inter" w:cs="Inter"/>
          <w:b w:val="0"/>
          <w:i w:val="0"/>
          <w:color w:val="2B2F3A"/>
          <w:sz w:val="21"/>
        </w:rPr>
        <w:t>Decompose requirements into features, user stories, sprints and releases.</w:t>
      </w:r>
    </w:p>
    <w:p>
      <w:pPr>
        <w:spacing w:after="60"/>
        <w:ind w:left="216"/>
      </w:pPr>
      <w:r>
        <w:rPr>
          <w:rFonts w:ascii="Inter" w:hAnsi="Inter" w:eastAsia="Inter" w:cs="Inter"/>
          <w:b/>
          <w:i w:val="0"/>
          <w:color w:val="0B1437"/>
          <w:sz w:val="21"/>
        </w:rPr>
        <w:t xml:space="preserve">QA / Test Team — </w:t>
      </w:r>
      <w:r>
        <w:rPr>
          <w:rFonts w:ascii="Inter" w:hAnsi="Inter" w:eastAsia="Inter" w:cs="Inter"/>
          <w:b w:val="0"/>
          <w:i w:val="0"/>
          <w:color w:val="2B2F3A"/>
          <w:sz w:val="21"/>
        </w:rPr>
        <w:t>Derive UAT scenarios and regression packs from functional requirements.</w:t>
      </w:r>
    </w:p>
    <w:p>
      <w:pPr>
        <w:spacing w:after="60"/>
        <w:ind w:left="216"/>
      </w:pPr>
      <w:r>
        <w:rPr>
          <w:rFonts w:ascii="Inter" w:hAnsi="Inter" w:eastAsia="Inter" w:cs="Inter"/>
          <w:b/>
          <w:i w:val="0"/>
          <w:color w:val="0B1437"/>
          <w:sz w:val="21"/>
        </w:rPr>
        <w:t xml:space="preserve">Compliance &amp; Legal — </w:t>
      </w:r>
      <w:r>
        <w:rPr>
          <w:rFonts w:ascii="Inter" w:hAnsi="Inter" w:eastAsia="Inter" w:cs="Inter"/>
          <w:b w:val="0"/>
          <w:i w:val="0"/>
          <w:color w:val="2B2F3A"/>
          <w:sz w:val="21"/>
        </w:rPr>
        <w:t>Verify alignment with Egyptian Labor Law 12/2003, PIT 91/2005, SI 148/2019, PDPL 151/2020 and ETA e-invoicing.</w:t>
      </w:r>
    </w:p>
    <w:p>
      <w:pPr>
        <w:spacing w:after="60"/>
        <w:ind w:left="216"/>
      </w:pPr>
      <w:r>
        <w:rPr>
          <w:rFonts w:ascii="Inter" w:hAnsi="Inter" w:eastAsia="Inter" w:cs="Inter"/>
          <w:b/>
          <w:i w:val="0"/>
          <w:color w:val="0B1437"/>
          <w:sz w:val="21"/>
        </w:rPr>
        <w:t xml:space="preserve">External Auditors — </w:t>
      </w:r>
      <w:r>
        <w:rPr>
          <w:rFonts w:ascii="Inter" w:hAnsi="Inter" w:eastAsia="Inter" w:cs="Inter"/>
          <w:b w:val="0"/>
          <w:i w:val="0"/>
          <w:color w:val="2B2F3A"/>
          <w:sz w:val="21"/>
        </w:rPr>
        <w:t>Evidence that requirements incorporate statutory and contractual obligations.</w:t>
      </w:r>
    </w:p>
    <w:p>
      <w:pPr>
        <w:spacing w:before="280" w:after="120"/>
      </w:pPr>
      <w:r>
        <w:rPr>
          <w:rFonts w:ascii="Inter" w:hAnsi="Inter" w:eastAsia="Inter" w:cs="Inter"/>
          <w:b/>
          <w:i w:val="0"/>
          <w:color w:val="0B1437"/>
          <w:sz w:val="32"/>
        </w:rPr>
        <w:t>2.3 Definitions, Acronyms and Abbreviations</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Term</w:t>
            </w:r>
          </w:p>
        </w:tc>
        <w:tc>
          <w:tcPr>
            <w:tcW w:type="dxa" w:w="80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Definition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BRD</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Requirements Document — this document.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HR Operating System product delivered to Egybell.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provider organisation; primary tenant of Praxion.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Tenant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 isolated customer organisation within the Praxion platform (Egybell = provider tenant, each client company = client tenant).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 person legally employed by Egybell and assigned to perform work at a client site.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ATS</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Applicant Tracking System (Module M2).</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Human Resources Information System (Module M1).</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RBAC</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RLS</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 database enforcement of tenant isolation.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Personal Data Protection Law 151/2020.</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National Organisation for Social Insurance (Egypt).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Personal Income Tax.</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contributions.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EOSB</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End Of Service Benefit.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e-invoicing portal.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SLA</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Service-Level Agreement.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DSR</w:t>
            </w:r>
          </w:p>
        </w:tc>
        <w:tc>
          <w:tcPr>
            <w:tcW w:type="dxa" w:w="80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 (under PDPL).</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KMS / DEK</w:t>
            </w:r>
          </w:p>
        </w:tc>
        <w:tc>
          <w:tcPr>
            <w:tcW w:type="dxa" w:w="80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Key Management Service / Data Encryption Key (per-tenant).</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2.4 References</w:t>
      </w:r>
    </w:p>
    <w:p>
      <w:pPr>
        <w:pStyle w:val="ListBullet"/>
        <w:spacing w:after="60"/>
        <w:ind w:left="360"/>
      </w:pPr>
      <w:r>
        <w:rPr>
          <w:rFonts w:ascii="Inter" w:hAnsi="Inter" w:eastAsia="Inter" w:cs="Inter"/>
          <w:b w:val="0"/>
          <w:i w:val="0"/>
          <w:color w:val="2B2F3A"/>
          <w:sz w:val="22"/>
        </w:rPr>
        <w:t>Praxion Discovery Phase Review v3 — Stakeholder Deck</w:t>
      </w:r>
    </w:p>
    <w:p>
      <w:pPr>
        <w:pStyle w:val="ListBullet"/>
        <w:spacing w:after="60"/>
        <w:ind w:left="360"/>
      </w:pPr>
      <w:r>
        <w:rPr>
          <w:rFonts w:ascii="Inter" w:hAnsi="Inter" w:eastAsia="Inter" w:cs="Inter"/>
          <w:b w:val="0"/>
          <w:i w:val="0"/>
          <w:color w:val="2B2F3A"/>
          <w:sz w:val="22"/>
        </w:rPr>
        <w:t>Praxion Visual &amp; Brand Identity Guide v3</w:t>
      </w:r>
    </w:p>
    <w:p>
      <w:pPr>
        <w:pStyle w:val="ListBullet"/>
        <w:spacing w:after="60"/>
        <w:ind w:left="360"/>
      </w:pPr>
      <w:r>
        <w:rPr>
          <w:rFonts w:ascii="Inter" w:hAnsi="Inter" w:eastAsia="Inter" w:cs="Inter"/>
          <w:b w:val="0"/>
          <w:i w:val="0"/>
          <w:color w:val="2B2F3A"/>
          <w:sz w:val="22"/>
        </w:rPr>
        <w:t>Praxion Data Dictionary (Praxion_Data_Dictionary.xlsx)</w:t>
      </w:r>
    </w:p>
    <w:p>
      <w:pPr>
        <w:pStyle w:val="ListBullet"/>
        <w:spacing w:after="60"/>
        <w:ind w:left="360"/>
      </w:pPr>
      <w:r>
        <w:rPr>
          <w:rFonts w:ascii="Inter" w:hAnsi="Inter" w:eastAsia="Inter" w:cs="Inter"/>
          <w:b w:val="0"/>
          <w:i w:val="0"/>
          <w:color w:val="2B2F3A"/>
          <w:sz w:val="22"/>
        </w:rPr>
        <w:t>Egyptian Labor Law No. 12 of 2003</w:t>
      </w:r>
    </w:p>
    <w:p>
      <w:pPr>
        <w:pStyle w:val="ListBullet"/>
        <w:spacing w:after="60"/>
        <w:ind w:left="360"/>
      </w:pPr>
      <w:r>
        <w:rPr>
          <w:rFonts w:ascii="Inter" w:hAnsi="Inter" w:eastAsia="Inter" w:cs="Inter"/>
          <w:b w:val="0"/>
          <w:i w:val="0"/>
          <w:color w:val="2B2F3A"/>
          <w:sz w:val="22"/>
        </w:rPr>
        <w:t>Egyptian Personal Income Tax Law No. 91 of 2005 (and amendments)</w:t>
      </w:r>
    </w:p>
    <w:p>
      <w:pPr>
        <w:pStyle w:val="ListBullet"/>
        <w:spacing w:after="60"/>
        <w:ind w:left="360"/>
      </w:pPr>
      <w:r>
        <w:rPr>
          <w:rFonts w:ascii="Inter" w:hAnsi="Inter" w:eastAsia="Inter" w:cs="Inter"/>
          <w:b w:val="0"/>
          <w:i w:val="0"/>
          <w:color w:val="2B2F3A"/>
          <w:sz w:val="22"/>
        </w:rPr>
        <w:t>Social Insurance Law No. 148 of 2019</w:t>
      </w:r>
    </w:p>
    <w:p>
      <w:pPr>
        <w:pStyle w:val="ListBullet"/>
        <w:spacing w:after="60"/>
        <w:ind w:left="360"/>
      </w:pPr>
      <w:r>
        <w:rPr>
          <w:rFonts w:ascii="Inter" w:hAnsi="Inter" w:eastAsia="Inter" w:cs="Inter"/>
          <w:b w:val="0"/>
          <w:i w:val="0"/>
          <w:color w:val="2B2F3A"/>
          <w:sz w:val="22"/>
        </w:rPr>
        <w:t>Personal Data Protection Law No. 151 of 2020</w:t>
      </w:r>
    </w:p>
    <w:p>
      <w:pPr>
        <w:pStyle w:val="ListBullet"/>
        <w:spacing w:after="60"/>
        <w:ind w:left="360"/>
      </w:pPr>
      <w:r>
        <w:rPr>
          <w:rFonts w:ascii="Inter" w:hAnsi="Inter" w:eastAsia="Inter" w:cs="Inter"/>
          <w:b w:val="0"/>
          <w:i w:val="0"/>
          <w:color w:val="2B2F3A"/>
          <w:sz w:val="22"/>
        </w:rPr>
        <w:t>Egyptian Tax Authority E-Invoicing Technical Specification</w:t>
      </w:r>
    </w:p>
    <w:p>
      <w:pPr>
        <w:pStyle w:val="ListBullet"/>
        <w:spacing w:after="60"/>
        <w:ind w:left="360"/>
      </w:pPr>
      <w:r>
        <w:rPr>
          <w:rFonts w:ascii="Inter" w:hAnsi="Inter" w:eastAsia="Inter" w:cs="Inter"/>
          <w:b w:val="0"/>
          <w:i w:val="0"/>
          <w:color w:val="2B2F3A"/>
          <w:sz w:val="22"/>
        </w:rPr>
        <w:t>ISO 27001:2022 Information Security Management</w:t>
      </w:r>
    </w:p>
    <w:p>
      <w:pPr>
        <w:pStyle w:val="ListBullet"/>
        <w:spacing w:after="60"/>
        <w:ind w:left="360"/>
      </w:pPr>
      <w:r>
        <w:rPr>
          <w:rFonts w:ascii="Inter" w:hAnsi="Inter" w:eastAsia="Inter" w:cs="Inter"/>
          <w:b w:val="0"/>
          <w:i w:val="0"/>
          <w:color w:val="2B2F3A"/>
          <w:sz w:val="22"/>
        </w:rPr>
        <w:t>WCAG 2.1 Level AA accessibility guidelines</w:t>
      </w:r>
    </w:p>
    <w:p>
      <w:r>
        <w:br w:type="page"/>
      </w:r>
    </w:p>
    <w:p>
      <w:pPr>
        <w:spacing w:before="360" w:after="200"/>
        <w:pBdr>
          <w:bottom w:val="single" w:sz="18" w:space="1" w:color="2F6BFF"/>
        </w:pBdr>
      </w:pPr>
      <w:r>
        <w:rPr>
          <w:rFonts w:ascii="Inter" w:hAnsi="Inter" w:eastAsia="Inter" w:cs="Inter"/>
          <w:b/>
          <w:i w:val="0"/>
          <w:color w:val="0B1437"/>
          <w:sz w:val="44"/>
        </w:rPr>
        <w:t>3. Business Context</w:t>
      </w:r>
    </w:p>
    <w:p>
      <w:pPr>
        <w:spacing w:before="280" w:after="120"/>
      </w:pPr>
      <w:r>
        <w:rPr>
          <w:rFonts w:ascii="Inter" w:hAnsi="Inter" w:eastAsia="Inter" w:cs="Inter"/>
          <w:b/>
          <w:i w:val="0"/>
          <w:color w:val="0B1437"/>
          <w:sz w:val="32"/>
        </w:rPr>
        <w:t>3.1 Organisational Background</w:t>
      </w:r>
    </w:p>
    <w:p>
      <w:pPr>
        <w:spacing w:after="120" w:before="0" w:line="324" w:lineRule="auto"/>
      </w:pPr>
      <w:r>
        <w:rPr>
          <w:rFonts w:ascii="Inter" w:hAnsi="Inter" w:eastAsia="Inter" w:cs="Inter"/>
          <w:b w:val="0"/>
          <w:i w:val="0"/>
          <w:sz w:val="22"/>
        </w:rPr>
        <w:t>Egybell is an Egyptian outsourcing company that employs staff and assigns them to perform work at client organisations. Today Egybell operates through a patchwork of Microsoft Excel workbooks, WhatsApp group messages, Word document templates, and email threads. This fragmented operating model causes data duplication, late reporting, compliance exposure under PDPL, and an inability to scale beyond its current client base.</w:t>
      </w:r>
    </w:p>
    <w:p>
      <w:pPr>
        <w:spacing w:after="120" w:before="0" w:line="324" w:lineRule="auto"/>
      </w:pPr>
      <w:r>
        <w:rPr>
          <w:rFonts w:ascii="Inter" w:hAnsi="Inter" w:eastAsia="Inter" w:cs="Inter"/>
          <w:b w:val="0"/>
          <w:i w:val="0"/>
          <w:sz w:val="22"/>
        </w:rPr>
        <w:t>Praxion replaces this fragmented operating model with a single, multi-tenant HR Operating System. Egybell operates as the provider tenant with full cross-tenant visibility; every outsourcing client is provisioned as an isolated client tenant with self-service HR and ATS. The outsourced employee has dual context — legally employed by Egybell and operationally assigned to a client — and must be represented and permissioned accordingly in every module.</w:t>
      </w:r>
    </w:p>
    <w:p>
      <w:pPr>
        <w:spacing w:before="280" w:after="120"/>
      </w:pPr>
      <w:r>
        <w:rPr>
          <w:rFonts w:ascii="Inter" w:hAnsi="Inter" w:eastAsia="Inter" w:cs="Inter"/>
          <w:b/>
          <w:i w:val="0"/>
          <w:color w:val="0B1437"/>
          <w:sz w:val="32"/>
        </w:rPr>
        <w:t>3.2 Current State (Today)</w:t>
      </w:r>
    </w:p>
    <w:p>
      <w:pPr>
        <w:pStyle w:val="ListBullet"/>
        <w:spacing w:after="60"/>
        <w:ind w:left="360"/>
      </w:pPr>
      <w:r>
        <w:rPr>
          <w:rFonts w:ascii="Inter" w:hAnsi="Inter" w:eastAsia="Inter" w:cs="Inter"/>
          <w:b w:val="0"/>
          <w:i w:val="0"/>
          <w:color w:val="2B2F3A"/>
          <w:sz w:val="22"/>
        </w:rPr>
        <w:t>HR data is tracked in disconnected Excel files across HR, Payroll and Operations teams.</w:t>
      </w:r>
    </w:p>
    <w:p>
      <w:pPr>
        <w:pStyle w:val="ListBullet"/>
        <w:spacing w:after="60"/>
        <w:ind w:left="360"/>
      </w:pPr>
      <w:r>
        <w:rPr>
          <w:rFonts w:ascii="Inter" w:hAnsi="Inter" w:eastAsia="Inter" w:cs="Inter"/>
          <w:b w:val="0"/>
          <w:i w:val="0"/>
          <w:color w:val="2B2F3A"/>
          <w:sz w:val="22"/>
        </w:rPr>
        <w:t>Communication with employees and clients relies on WhatsApp and email, with no audit trail.</w:t>
      </w:r>
    </w:p>
    <w:p>
      <w:pPr>
        <w:pStyle w:val="ListBullet"/>
        <w:spacing w:after="60"/>
        <w:ind w:left="360"/>
      </w:pPr>
      <w:r>
        <w:rPr>
          <w:rFonts w:ascii="Inter" w:hAnsi="Inter" w:eastAsia="Inter" w:cs="Inter"/>
          <w:b w:val="0"/>
          <w:i w:val="0"/>
          <w:color w:val="2B2F3A"/>
          <w:sz w:val="22"/>
        </w:rPr>
        <w:t>Documents are shared as Word/PDF attachments; version control and expiry tracking are manual.</w:t>
      </w:r>
    </w:p>
    <w:p>
      <w:pPr>
        <w:pStyle w:val="ListBullet"/>
        <w:spacing w:after="60"/>
        <w:ind w:left="360"/>
      </w:pPr>
      <w:r>
        <w:rPr>
          <w:rFonts w:ascii="Inter" w:hAnsi="Inter" w:eastAsia="Inter" w:cs="Inter"/>
          <w:b w:val="0"/>
          <w:i w:val="0"/>
          <w:color w:val="2B2F3A"/>
          <w:sz w:val="22"/>
        </w:rPr>
        <w:t>Approvals happen verbally or over email — frequently undocumented and unreportable.</w:t>
      </w:r>
    </w:p>
    <w:p>
      <w:pPr>
        <w:pStyle w:val="ListBullet"/>
        <w:spacing w:after="60"/>
        <w:ind w:left="360"/>
      </w:pPr>
      <w:r>
        <w:rPr>
          <w:rFonts w:ascii="Inter" w:hAnsi="Inter" w:eastAsia="Inter" w:cs="Inter"/>
          <w:b w:val="0"/>
          <w:i w:val="0"/>
          <w:color w:val="2B2F3A"/>
          <w:sz w:val="22"/>
        </w:rPr>
        <w:t>Cross-tenant reporting is produced manually each month, usually several days late.</w:t>
      </w:r>
    </w:p>
    <w:p>
      <w:pPr>
        <w:pStyle w:val="ListBullet"/>
        <w:spacing w:after="60"/>
        <w:ind w:left="360"/>
      </w:pPr>
      <w:r>
        <w:rPr>
          <w:rFonts w:ascii="Inter" w:hAnsi="Inter" w:eastAsia="Inter" w:cs="Inter"/>
          <w:b w:val="0"/>
          <w:i w:val="0"/>
          <w:color w:val="2B2F3A"/>
          <w:sz w:val="22"/>
        </w:rPr>
        <w:t>Compliance evidence (PDPL, Labor Law, SI filings) is reconstructed reactively on audit.</w:t>
      </w:r>
    </w:p>
    <w:p>
      <w:pPr>
        <w:spacing w:before="280" w:after="120"/>
      </w:pPr>
      <w:r>
        <w:rPr>
          <w:rFonts w:ascii="Inter" w:hAnsi="Inter" w:eastAsia="Inter" w:cs="Inter"/>
          <w:b/>
          <w:i w:val="0"/>
          <w:color w:val="0B1437"/>
          <w:sz w:val="32"/>
        </w:rPr>
        <w:t>3.3 Future State (Praxion)</w:t>
      </w:r>
    </w:p>
    <w:p>
      <w:pPr>
        <w:pStyle w:val="ListBullet"/>
        <w:spacing w:after="60"/>
        <w:ind w:left="360"/>
      </w:pPr>
      <w:r>
        <w:rPr>
          <w:rFonts w:ascii="Inter" w:hAnsi="Inter" w:eastAsia="Inter" w:cs="Inter"/>
          <w:b w:val="0"/>
          <w:i w:val="0"/>
          <w:color w:val="2B2F3A"/>
          <w:sz w:val="22"/>
        </w:rPr>
        <w:t>Single multi-tenant platform owns all HR records with strict tenant isolation.</w:t>
      </w:r>
    </w:p>
    <w:p>
      <w:pPr>
        <w:pStyle w:val="ListBullet"/>
        <w:spacing w:after="60"/>
        <w:ind w:left="360"/>
      </w:pPr>
      <w:r>
        <w:rPr>
          <w:rFonts w:ascii="Inter" w:hAnsi="Inter" w:eastAsia="Inter" w:cs="Inter"/>
          <w:b w:val="0"/>
          <w:i w:val="0"/>
          <w:color w:val="2B2F3A"/>
          <w:sz w:val="22"/>
        </w:rPr>
        <w:t>Every transaction is audit-logged with actor, timestamp, tenant context and before/after state.</w:t>
      </w:r>
    </w:p>
    <w:p>
      <w:pPr>
        <w:pStyle w:val="ListBullet"/>
        <w:spacing w:after="60"/>
        <w:ind w:left="360"/>
      </w:pPr>
      <w:r>
        <w:rPr>
          <w:rFonts w:ascii="Inter" w:hAnsi="Inter" w:eastAsia="Inter" w:cs="Inter"/>
          <w:b w:val="0"/>
          <w:i w:val="0"/>
          <w:color w:val="2B2F3A"/>
          <w:sz w:val="22"/>
        </w:rPr>
        <w:t>Clients self-serve via a Client Portal and their own tenant scope.</w:t>
      </w:r>
    </w:p>
    <w:p>
      <w:pPr>
        <w:pStyle w:val="ListBullet"/>
        <w:spacing w:after="60"/>
        <w:ind w:left="360"/>
      </w:pPr>
      <w:r>
        <w:rPr>
          <w:rFonts w:ascii="Inter" w:hAnsi="Inter" w:eastAsia="Inter" w:cs="Inter"/>
          <w:b w:val="0"/>
          <w:i w:val="0"/>
          <w:color w:val="2B2F3A"/>
          <w:sz w:val="22"/>
        </w:rPr>
        <w:t>Automated compliance: tax tables, EOSB, NOSI forms, PDPL DSRs, ETA e-invoices.</w:t>
      </w:r>
    </w:p>
    <w:p>
      <w:pPr>
        <w:pStyle w:val="ListBullet"/>
        <w:spacing w:after="60"/>
        <w:ind w:left="360"/>
      </w:pPr>
      <w:r>
        <w:rPr>
          <w:rFonts w:ascii="Inter" w:hAnsi="Inter" w:eastAsia="Inter" w:cs="Inter"/>
          <w:b w:val="0"/>
          <w:i w:val="0"/>
          <w:color w:val="2B2F3A"/>
          <w:sz w:val="22"/>
        </w:rPr>
        <w:t>Cross-tenant analytics surface trends, SLA breaches, and capacity gaps in real time.</w:t>
      </w:r>
    </w:p>
    <w:p>
      <w:pPr>
        <w:pStyle w:val="ListBullet"/>
        <w:spacing w:after="60"/>
        <w:ind w:left="360"/>
      </w:pPr>
      <w:r>
        <w:rPr>
          <w:rFonts w:ascii="Inter" w:hAnsi="Inter" w:eastAsia="Inter" w:cs="Inter"/>
          <w:b w:val="0"/>
          <w:i w:val="0"/>
          <w:color w:val="2B2F3A"/>
          <w:sz w:val="22"/>
        </w:rPr>
        <w:t>Mobile-first experience for employees and approvers with offline-capable workflows.</w:t>
      </w:r>
    </w:p>
    <w:p>
      <w:pPr>
        <w:spacing w:before="280" w:after="120"/>
      </w:pPr>
      <w:r>
        <w:rPr>
          <w:rFonts w:ascii="Inter" w:hAnsi="Inter" w:eastAsia="Inter" w:cs="Inter"/>
          <w:b/>
          <w:i w:val="0"/>
          <w:color w:val="0B1437"/>
          <w:sz w:val="32"/>
        </w:rPr>
        <w:t>3.4 Where This Module Fits</w:t>
      </w:r>
    </w:p>
    <w:p>
      <w:pPr>
        <w:spacing w:after="120" w:before="0" w:line="324" w:lineRule="auto"/>
      </w:pPr>
      <w:r>
        <w:rPr>
          <w:rFonts w:ascii="Inter" w:hAnsi="Inter" w:eastAsia="Inter" w:cs="Inter"/>
          <w:b w:val="0"/>
          <w:i w:val="0"/>
          <w:sz w:val="22"/>
        </w:rPr>
        <w:t>Performance reads employee and manager relationships from M1, publishes outcomes to M6 (compensation) and M5 (learning), and is visible across the Client Portal (M12) for client ratings.</w:t>
      </w:r>
    </w:p>
    <w:p>
      <w:pPr>
        <w:spacing w:before="280" w:after="120"/>
      </w:pPr>
      <w:r>
        <w:rPr>
          <w:rFonts w:ascii="Inter" w:hAnsi="Inter" w:eastAsia="Inter" w:cs="Inter"/>
          <w:b/>
          <w:i w:val="0"/>
          <w:color w:val="0B1437"/>
          <w:sz w:val="32"/>
        </w:rPr>
        <w:t>3.5 Module Dependencies</w:t>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Upstream Dependency</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Employee master, reporting lines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Admin (M10)</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Roles and permissions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Portal (M12)</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rating input</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r>
    </w:tbl>
    <w:p>
      <w:pPr>
        <w:spacing w:after="80" w:before="0" w:line="324" w:lineRule="auto"/>
      </w:pPr>
      <w:r>
        <w:rPr>
          <w:rFonts w:ascii="Inter" w:hAnsi="Inter" w:eastAsia="Inter" w:cs="Inter"/>
          <w:b w:val="0"/>
          <w:i w:val="0"/>
          <w:sz w:val="22"/>
        </w:rPr>
      </w:r>
    </w:p>
    <w:p>
      <w:pPr>
        <w:spacing w:after="80" w:before="0" w:line="324" w:lineRule="auto"/>
      </w:pPr>
      <w:r>
        <w:rPr>
          <w:rFonts w:ascii="Inter" w:hAnsi="Inter" w:eastAsia="Inter" w:cs="Inter"/>
          <w:b w:val="0"/>
          <w:i w:val="0"/>
          <w:sz w:val="22"/>
        </w:rPr>
      </w:r>
    </w:p>
    <w:tbl>
      <w:tblPr>
        <w:tblW w:type="auto" w:w="0"/>
        <w:jc w:val="center"/>
        <w:tblLayout w:type="fixed"/>
        <w:tblLook w:firstColumn="1" w:firstRow="1" w:lastColumn="0" w:lastRow="0" w:noHBand="0" w:noVBand="1" w:val="04A0"/>
      </w:tblPr>
      <w:tblGrid>
        <w:gridCol w:w="3216"/>
        <w:gridCol w:w="3216"/>
        <w:gridCol w:w="3216"/>
      </w:tblGrid>
      <w:tr>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Downstream Consumer</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Nature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Phase</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(M6)</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Merit and bonus adjustments</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r>
      <w:tr>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LMS (M5)</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Development plan course assignments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r>
      <w:tr>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Performance distribution reporting</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4. Stakeholders and Users</w:t>
      </w:r>
    </w:p>
    <w:p>
      <w:pPr>
        <w:spacing w:before="280" w:after="120"/>
      </w:pPr>
      <w:r>
        <w:rPr>
          <w:rFonts w:ascii="Inter" w:hAnsi="Inter" w:eastAsia="Inter" w:cs="Inter"/>
          <w:b/>
          <w:i w:val="0"/>
          <w:color w:val="0B1437"/>
          <w:sz w:val="32"/>
        </w:rPr>
        <w:t>4.1 Stakeholder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Stakeholder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Interest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Influence</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Engagement Strategy</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 (CEO, COO, CFO)</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Steering committee, monthly gate reviews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HR Director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 — weekly working sessions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Finance Director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billing, EOSB, ETA sign-off</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Operations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workforce, assignments, SLAs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IT / Security</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Architecture, RBAC, PDPL, pen testing</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Recruiters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SMEs for ATS workflow and client requests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Communications, training, feedback loop</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HR / Hiring Managers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Pilot clients — tenant onboarding and UAT</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Finance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Invoice review, budget reconciliation</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Employees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 portal usability testing</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Dual-context onboarding and payslip access</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External Auditors / Regulators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Compliance evidence, DSR workflows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4.2 User Roles (Relevant to this Module)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t>
            </w:r>
          </w:p>
        </w:tc>
        <w:tc>
          <w:tcPr>
            <w:tcW w:type="dxa" w:w="273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Context</w:t>
            </w:r>
          </w:p>
        </w:tc>
        <w:tc>
          <w:tcPr>
            <w:tcW w:type="dxa" w:w="51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Primary Interactions with this Module</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Manager (Egybell)</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Owns cycles, templates, calibration.</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Manager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Provider</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Sets goals, reviews reports.</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Hiring Manager</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Rates outsourced staff on job, communication, professionalism.</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4</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Dept Manager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Rates direct reports within client tenant.</w:t>
            </w:r>
          </w:p>
        </w:tc>
      </w:tr>
      <w:tr>
        <w:tc>
          <w:tcPr>
            <w:tcW w:type="dxa" w:w="43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5</w:t>
            </w:r>
          </w:p>
        </w:tc>
        <w:tc>
          <w:tcPr>
            <w:tcW w:type="dxa" w:w="273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Employee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w:t>
            </w:r>
          </w:p>
        </w:tc>
        <w:tc>
          <w:tcPr>
            <w:tcW w:type="dxa" w:w="51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Self-assessment, goal progress, acknowledgement.</w:t>
            </w:r>
          </w:p>
        </w:tc>
      </w:tr>
      <w:tr>
        <w:tc>
          <w:tcPr>
            <w:tcW w:type="dxa" w:w="43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6</w:t>
            </w:r>
          </w:p>
        </w:tc>
        <w:tc>
          <w:tcPr>
            <w:tcW w:type="dxa" w:w="273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Peer</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w:t>
            </w:r>
          </w:p>
        </w:tc>
        <w:tc>
          <w:tcPr>
            <w:tcW w:type="dxa" w:w="51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360° feedback provider.</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4.3 RACI Matrix for Module Delivery</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Activity</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Business Sponsor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HR Director</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Delivery Lead</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Architect</w:t>
            </w:r>
          </w:p>
        </w:tc>
        <w:tc>
          <w:tcPr>
            <w:tcW w:type="dxa" w:w="10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QA Lead</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module scope</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business rules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BRD</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Validate functional requirements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Approve solution design</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Define UAT scenarios</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r>
      <w:tr>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Accept module at UAT</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r>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Sign off for go-live</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w:t>
            </w:r>
          </w:p>
        </w:tc>
        <w:tc>
          <w:tcPr>
            <w:tcW w:type="dxa" w:w="10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w:t>
            </w:r>
          </w:p>
        </w:tc>
      </w:tr>
    </w:tbl>
    <w:p>
      <w:pPr>
        <w:spacing w:after="80" w:before="0" w:line="324" w:lineRule="auto"/>
      </w:pPr>
      <w:r>
        <w:rPr>
          <w:rFonts w:ascii="Inter" w:hAnsi="Inter" w:eastAsia="Inter" w:cs="Inter"/>
          <w:b w:val="0"/>
          <w:i w:val="0"/>
          <w:sz w:val="22"/>
        </w:rPr>
      </w:r>
    </w:p>
    <w:p>
      <w:pPr>
        <w:spacing w:after="120" w:before="0" w:line="324" w:lineRule="auto"/>
      </w:pPr>
      <w:r>
        <w:rPr>
          <w:rFonts w:ascii="Inter" w:hAnsi="Inter" w:eastAsia="Inter" w:cs="Inter"/>
          <w:b w:val="0"/>
          <w:i w:val="0"/>
          <w:color w:val="8892B0"/>
          <w:sz w:val="18"/>
        </w:rPr>
        <w:t>Key: R = Responsible · A = Accountable · C = Consulted · I = Informed</w:t>
      </w:r>
    </w:p>
    <w:p>
      <w:r>
        <w:br w:type="page"/>
      </w:r>
    </w:p>
    <w:p>
      <w:pPr>
        <w:spacing w:before="360" w:after="200"/>
        <w:pBdr>
          <w:bottom w:val="single" w:sz="18" w:space="1" w:color="2F6BFF"/>
        </w:pBdr>
      </w:pPr>
      <w:r>
        <w:rPr>
          <w:rFonts w:ascii="Inter" w:hAnsi="Inter" w:eastAsia="Inter" w:cs="Inter"/>
          <w:b/>
          <w:i w:val="0"/>
          <w:color w:val="0B1437"/>
          <w:sz w:val="44"/>
        </w:rPr>
        <w:t>5. Scope</w:t>
      </w:r>
    </w:p>
    <w:p>
      <w:pPr>
        <w:spacing w:before="280" w:after="120"/>
      </w:pPr>
      <w:r>
        <w:rPr>
          <w:rFonts w:ascii="Inter" w:hAnsi="Inter" w:eastAsia="Inter" w:cs="Inter"/>
          <w:b/>
          <w:i w:val="0"/>
          <w:color w:val="0B1437"/>
          <w:sz w:val="32"/>
        </w:rPr>
        <w:t>5.1 Business Objectives (Module Level)</w:t>
      </w:r>
    </w:p>
    <w:p>
      <w:pPr>
        <w:pStyle w:val="ListBullet"/>
        <w:spacing w:after="60"/>
        <w:ind w:left="360"/>
      </w:pPr>
      <w:r>
        <w:rPr>
          <w:rFonts w:ascii="Inter" w:hAnsi="Inter" w:eastAsia="Inter" w:cs="Inter"/>
          <w:b w:val="0"/>
          <w:i w:val="0"/>
          <w:color w:val="2B2F3A"/>
          <w:sz w:val="22"/>
        </w:rPr>
        <w:t>Standardise performance cycles across the organisation.</w:t>
      </w:r>
    </w:p>
    <w:p>
      <w:pPr>
        <w:pStyle w:val="ListBullet"/>
        <w:spacing w:after="60"/>
        <w:ind w:left="360"/>
      </w:pPr>
      <w:r>
        <w:rPr>
          <w:rFonts w:ascii="Inter" w:hAnsi="Inter" w:eastAsia="Inter" w:cs="Inter"/>
          <w:b w:val="0"/>
          <w:i w:val="0"/>
          <w:color w:val="2B2F3A"/>
          <w:sz w:val="22"/>
        </w:rPr>
        <w:t>Aggregate client feedback on outsourced employees.</w:t>
      </w:r>
    </w:p>
    <w:p>
      <w:pPr>
        <w:pStyle w:val="ListBullet"/>
        <w:spacing w:after="60"/>
        <w:ind w:left="360"/>
      </w:pPr>
      <w:r>
        <w:rPr>
          <w:rFonts w:ascii="Inter" w:hAnsi="Inter" w:eastAsia="Inter" w:cs="Inter"/>
          <w:b w:val="0"/>
          <w:i w:val="0"/>
          <w:color w:val="2B2F3A"/>
          <w:sz w:val="22"/>
        </w:rPr>
        <w:t>Reduce manager bias via calibration.</w:t>
      </w:r>
    </w:p>
    <w:p>
      <w:pPr>
        <w:pStyle w:val="ListBullet"/>
        <w:spacing w:after="60"/>
        <w:ind w:left="360"/>
      </w:pPr>
      <w:r>
        <w:rPr>
          <w:rFonts w:ascii="Inter" w:hAnsi="Inter" w:eastAsia="Inter" w:cs="Inter"/>
          <w:b w:val="0"/>
          <w:i w:val="0"/>
          <w:color w:val="2B2F3A"/>
          <w:sz w:val="22"/>
        </w:rPr>
        <w:t>Link performance to learning and compensation.</w:t>
      </w:r>
    </w:p>
    <w:p>
      <w:pPr>
        <w:pStyle w:val="ListBullet"/>
        <w:spacing w:after="60"/>
        <w:ind w:left="360"/>
      </w:pPr>
      <w:r>
        <w:rPr>
          <w:rFonts w:ascii="Inter" w:hAnsi="Inter" w:eastAsia="Inter" w:cs="Inter"/>
          <w:b w:val="0"/>
          <w:i w:val="0"/>
          <w:color w:val="2B2F3A"/>
          <w:sz w:val="22"/>
        </w:rPr>
        <w:t>Deliver transparent, fair reviews with evidence.</w:t>
      </w:r>
    </w:p>
    <w:p>
      <w:pPr>
        <w:spacing w:before="280" w:after="120"/>
      </w:pPr>
      <w:r>
        <w:rPr>
          <w:rFonts w:ascii="Inter" w:hAnsi="Inter" w:eastAsia="Inter" w:cs="Inter"/>
          <w:b/>
          <w:i w:val="0"/>
          <w:color w:val="0B1437"/>
          <w:sz w:val="32"/>
        </w:rPr>
        <w:t>5.2 In Scope</w:t>
      </w:r>
    </w:p>
    <w:p>
      <w:pPr>
        <w:pStyle w:val="ListBullet"/>
        <w:spacing w:after="60"/>
        <w:ind w:left="360"/>
      </w:pPr>
      <w:r>
        <w:rPr>
          <w:rFonts w:ascii="Inter" w:hAnsi="Inter" w:eastAsia="Inter" w:cs="Inter"/>
          <w:b w:val="0"/>
          <w:i w:val="0"/>
          <w:color w:val="2B2F3A"/>
          <w:sz w:val="22"/>
        </w:rPr>
        <w:t>Cycle definition (quarterly, semi-annual, annual).</w:t>
      </w:r>
    </w:p>
    <w:p>
      <w:pPr>
        <w:pStyle w:val="ListBullet"/>
        <w:spacing w:after="60"/>
        <w:ind w:left="360"/>
      </w:pPr>
      <w:r>
        <w:rPr>
          <w:rFonts w:ascii="Inter" w:hAnsi="Inter" w:eastAsia="Inter" w:cs="Inter"/>
          <w:b w:val="0"/>
          <w:i w:val="0"/>
          <w:color w:val="2B2F3A"/>
          <w:sz w:val="22"/>
        </w:rPr>
        <w:t>SMART goal setting, progress updates, check-ins.</w:t>
      </w:r>
    </w:p>
    <w:p>
      <w:pPr>
        <w:pStyle w:val="ListBullet"/>
        <w:spacing w:after="60"/>
        <w:ind w:left="360"/>
      </w:pPr>
      <w:r>
        <w:rPr>
          <w:rFonts w:ascii="Inter" w:hAnsi="Inter" w:eastAsia="Inter" w:cs="Inter"/>
          <w:b w:val="0"/>
          <w:i w:val="0"/>
          <w:color w:val="2B2F3A"/>
          <w:sz w:val="22"/>
        </w:rPr>
        <w:t>Self-assessment, manager review and 360° feedback.</w:t>
      </w:r>
    </w:p>
    <w:p>
      <w:pPr>
        <w:pStyle w:val="ListBullet"/>
        <w:spacing w:after="60"/>
        <w:ind w:left="360"/>
      </w:pPr>
      <w:r>
        <w:rPr>
          <w:rFonts w:ascii="Inter" w:hAnsi="Inter" w:eastAsia="Inter" w:cs="Inter"/>
          <w:b w:val="0"/>
          <w:i w:val="0"/>
          <w:color w:val="2B2F3A"/>
          <w:sz w:val="22"/>
        </w:rPr>
        <w:t>Client rating workflow for outsourced employees.</w:t>
      </w:r>
    </w:p>
    <w:p>
      <w:pPr>
        <w:pStyle w:val="ListBullet"/>
        <w:spacing w:after="60"/>
        <w:ind w:left="360"/>
      </w:pPr>
      <w:r>
        <w:rPr>
          <w:rFonts w:ascii="Inter" w:hAnsi="Inter" w:eastAsia="Inter" w:cs="Inter"/>
          <w:b w:val="0"/>
          <w:i w:val="0"/>
          <w:color w:val="2B2F3A"/>
          <w:sz w:val="22"/>
        </w:rPr>
        <w:t>Calibration tool for HR Manager.</w:t>
      </w:r>
    </w:p>
    <w:p>
      <w:pPr>
        <w:pStyle w:val="ListBullet"/>
        <w:spacing w:after="60"/>
        <w:ind w:left="360"/>
      </w:pPr>
      <w:r>
        <w:rPr>
          <w:rFonts w:ascii="Inter" w:hAnsi="Inter" w:eastAsia="Inter" w:cs="Inter"/>
          <w:b w:val="0"/>
          <w:i w:val="0"/>
          <w:color w:val="2B2F3A"/>
          <w:sz w:val="22"/>
        </w:rPr>
        <w:t>Performance distribution and reporting.</w:t>
      </w:r>
    </w:p>
    <w:p>
      <w:pPr>
        <w:pStyle w:val="ListBullet"/>
        <w:spacing w:after="60"/>
        <w:ind w:left="360"/>
      </w:pPr>
      <w:r>
        <w:rPr>
          <w:rFonts w:ascii="Inter" w:hAnsi="Inter" w:eastAsia="Inter" w:cs="Inter"/>
          <w:b w:val="0"/>
          <w:i w:val="0"/>
          <w:color w:val="2B2F3A"/>
          <w:sz w:val="22"/>
        </w:rPr>
        <w:t>Integration with M6 for merit recommendations.</w:t>
      </w:r>
    </w:p>
    <w:p>
      <w:pPr>
        <w:pStyle w:val="ListBullet"/>
        <w:spacing w:after="60"/>
        <w:ind w:left="360"/>
      </w:pPr>
      <w:r>
        <w:rPr>
          <w:rFonts w:ascii="Inter" w:hAnsi="Inter" w:eastAsia="Inter" w:cs="Inter"/>
          <w:b w:val="0"/>
          <w:i w:val="0"/>
          <w:color w:val="2B2F3A"/>
          <w:sz w:val="22"/>
        </w:rPr>
        <w:t>Integration with M5 for development plans.</w:t>
      </w:r>
    </w:p>
    <w:p>
      <w:pPr>
        <w:spacing w:before="280" w:after="120"/>
      </w:pPr>
      <w:r>
        <w:rPr>
          <w:rFonts w:ascii="Inter" w:hAnsi="Inter" w:eastAsia="Inter" w:cs="Inter"/>
          <w:b/>
          <w:i w:val="0"/>
          <w:color w:val="0B1437"/>
          <w:sz w:val="32"/>
        </w:rPr>
        <w:t>5.3 Out of Scope</w:t>
      </w:r>
    </w:p>
    <w:p>
      <w:pPr>
        <w:pStyle w:val="ListBullet"/>
        <w:spacing w:after="60"/>
        <w:ind w:left="360"/>
      </w:pPr>
      <w:r>
        <w:rPr>
          <w:rFonts w:ascii="Inter" w:hAnsi="Inter" w:eastAsia="Inter" w:cs="Inter"/>
          <w:b w:val="0"/>
          <w:i w:val="0"/>
          <w:color w:val="2B2F3A"/>
          <w:sz w:val="22"/>
        </w:rPr>
        <w:t>Learning content delivery (M5).</w:t>
      </w:r>
    </w:p>
    <w:p>
      <w:pPr>
        <w:pStyle w:val="ListBullet"/>
        <w:spacing w:after="60"/>
        <w:ind w:left="360"/>
      </w:pPr>
      <w:r>
        <w:rPr>
          <w:rFonts w:ascii="Inter" w:hAnsi="Inter" w:eastAsia="Inter" w:cs="Inter"/>
          <w:b w:val="0"/>
          <w:i w:val="0"/>
          <w:color w:val="2B2F3A"/>
          <w:sz w:val="22"/>
        </w:rPr>
        <w:t>Pay adjustment execution (M6).</w:t>
      </w:r>
    </w:p>
    <w:p>
      <w:pPr>
        <w:pStyle w:val="ListBullet"/>
        <w:spacing w:after="60"/>
        <w:ind w:left="360"/>
      </w:pPr>
      <w:r>
        <w:rPr>
          <w:rFonts w:ascii="Inter" w:hAnsi="Inter" w:eastAsia="Inter" w:cs="Inter"/>
          <w:b w:val="0"/>
          <w:i w:val="0"/>
          <w:color w:val="2B2F3A"/>
          <w:sz w:val="22"/>
        </w:rPr>
        <w:t>Recruitment assessments (M2).</w:t>
      </w:r>
    </w:p>
    <w:p>
      <w:pPr>
        <w:spacing w:before="280" w:after="120"/>
      </w:pPr>
      <w:r>
        <w:rPr>
          <w:rFonts w:ascii="Inter" w:hAnsi="Inter" w:eastAsia="Inter" w:cs="Inter"/>
          <w:b/>
          <w:i w:val="0"/>
          <w:color w:val="0B1437"/>
          <w:sz w:val="32"/>
        </w:rPr>
        <w:t>5.4 Assumptions</w:t>
      </w:r>
    </w:p>
    <w:p>
      <w:pPr>
        <w:pStyle w:val="ListBullet"/>
        <w:spacing w:after="60"/>
        <w:ind w:left="360"/>
      </w:pPr>
      <w:r>
        <w:rPr>
          <w:rFonts w:ascii="Inter" w:hAnsi="Inter" w:eastAsia="Inter" w:cs="Inter"/>
          <w:b w:val="0"/>
          <w:i w:val="0"/>
          <w:color w:val="2B2F3A"/>
          <w:sz w:val="22"/>
        </w:rPr>
        <w:t>Egybell entity legal structure, tax registration, and social insurance numbers are valid and available.</w:t>
      </w:r>
    </w:p>
    <w:p>
      <w:pPr>
        <w:pStyle w:val="ListBullet"/>
        <w:spacing w:after="60"/>
        <w:ind w:left="360"/>
      </w:pPr>
      <w:r>
        <w:rPr>
          <w:rFonts w:ascii="Inter" w:hAnsi="Inter" w:eastAsia="Inter" w:cs="Inter"/>
          <w:b w:val="0"/>
          <w:i w:val="0"/>
          <w:color w:val="2B2F3A"/>
          <w:sz w:val="22"/>
        </w:rPr>
        <w:t>Required master data (departments, job titles, cost centres) is curated and approved prior to cutover.</w:t>
      </w:r>
    </w:p>
    <w:p>
      <w:pPr>
        <w:pStyle w:val="ListBullet"/>
        <w:spacing w:after="60"/>
        <w:ind w:left="360"/>
      </w:pPr>
      <w:r>
        <w:rPr>
          <w:rFonts w:ascii="Inter" w:hAnsi="Inter" w:eastAsia="Inter" w:cs="Inter"/>
          <w:b w:val="0"/>
          <w:i w:val="0"/>
          <w:color w:val="2B2F3A"/>
          <w:sz w:val="22"/>
        </w:rPr>
        <w:t>Pilot client tenants cooperate with onboarding and UAT timelines.</w:t>
      </w:r>
    </w:p>
    <w:p>
      <w:pPr>
        <w:pStyle w:val="ListBullet"/>
        <w:spacing w:after="60"/>
        <w:ind w:left="360"/>
      </w:pPr>
      <w:r>
        <w:rPr>
          <w:rFonts w:ascii="Inter" w:hAnsi="Inter" w:eastAsia="Inter" w:cs="Inter"/>
          <w:b w:val="0"/>
          <w:i w:val="0"/>
          <w:color w:val="2B2F3A"/>
          <w:sz w:val="22"/>
        </w:rPr>
        <w:t>Source data from legacy Excel/Word systems is exportable and reasonably consistent.</w:t>
      </w:r>
    </w:p>
    <w:p>
      <w:pPr>
        <w:pStyle w:val="ListBullet"/>
        <w:spacing w:after="60"/>
        <w:ind w:left="360"/>
      </w:pPr>
      <w:r>
        <w:rPr>
          <w:rFonts w:ascii="Inter" w:hAnsi="Inter" w:eastAsia="Inter" w:cs="Inter"/>
          <w:b w:val="0"/>
          <w:i w:val="0"/>
          <w:color w:val="2B2F3A"/>
          <w:sz w:val="22"/>
        </w:rPr>
        <w:t>Stakeholder availability for workshops, reviews, and UAT follows the programme plan.</w:t>
      </w:r>
    </w:p>
    <w:p>
      <w:pPr>
        <w:spacing w:before="280" w:after="120"/>
      </w:pPr>
      <w:r>
        <w:rPr>
          <w:rFonts w:ascii="Inter" w:hAnsi="Inter" w:eastAsia="Inter" w:cs="Inter"/>
          <w:b/>
          <w:i w:val="0"/>
          <w:color w:val="0B1437"/>
          <w:sz w:val="32"/>
        </w:rPr>
        <w:t>5.5 Constraints</w:t>
      </w:r>
    </w:p>
    <w:p>
      <w:pPr>
        <w:pStyle w:val="ListBullet"/>
        <w:spacing w:after="60"/>
        <w:ind w:left="360"/>
      </w:pPr>
      <w:r>
        <w:rPr>
          <w:rFonts w:ascii="Inter" w:hAnsi="Inter" w:eastAsia="Inter" w:cs="Inter"/>
          <w:b w:val="0"/>
          <w:i w:val="0"/>
          <w:color w:val="2B2F3A"/>
          <w:sz w:val="22"/>
        </w:rPr>
        <w:t>Fixed go-live date of 14 March 2027.</w:t>
      </w:r>
    </w:p>
    <w:p>
      <w:pPr>
        <w:pStyle w:val="ListBullet"/>
        <w:spacing w:after="60"/>
        <w:ind w:left="360"/>
      </w:pPr>
      <w:r>
        <w:rPr>
          <w:rFonts w:ascii="Inter" w:hAnsi="Inter" w:eastAsia="Inter" w:cs="Inter"/>
          <w:b w:val="0"/>
          <w:i w:val="0"/>
          <w:color w:val="2B2F3A"/>
          <w:sz w:val="22"/>
        </w:rPr>
        <w:t>All data must reside in-region consistent with PDPL; cross-border transfer requires explicit legal review.</w:t>
      </w:r>
    </w:p>
    <w:p>
      <w:pPr>
        <w:pStyle w:val="ListBullet"/>
        <w:spacing w:after="60"/>
        <w:ind w:left="360"/>
      </w:pPr>
      <w:r>
        <w:rPr>
          <w:rFonts w:ascii="Inter" w:hAnsi="Inter" w:eastAsia="Inter" w:cs="Inter"/>
          <w:b w:val="0"/>
          <w:i w:val="0"/>
          <w:color w:val="2B2F3A"/>
          <w:sz w:val="22"/>
        </w:rPr>
        <w:t>Egyptian statutory changes (tax, SI) must be absorbed through the configuration engine — no hot code changes.</w:t>
      </w:r>
    </w:p>
    <w:p>
      <w:pPr>
        <w:pStyle w:val="ListBullet"/>
        <w:spacing w:after="60"/>
        <w:ind w:left="360"/>
      </w:pPr>
      <w:r>
        <w:rPr>
          <w:rFonts w:ascii="Inter" w:hAnsi="Inter" w:eastAsia="Inter" w:cs="Inter"/>
          <w:b w:val="0"/>
          <w:i w:val="0"/>
          <w:color w:val="2B2F3A"/>
          <w:sz w:val="22"/>
        </w:rPr>
        <w:t>Multi-tenant isolation is non-negotiable; every query must be tenant-scoped via RLS.</w:t>
      </w:r>
    </w:p>
    <w:p>
      <w:pPr>
        <w:pStyle w:val="ListBullet"/>
        <w:spacing w:after="60"/>
        <w:ind w:left="360"/>
      </w:pPr>
      <w:r>
        <w:rPr>
          <w:rFonts w:ascii="Inter" w:hAnsi="Inter" w:eastAsia="Inter" w:cs="Inter"/>
          <w:b w:val="0"/>
          <w:i w:val="0"/>
          <w:color w:val="2B2F3A"/>
          <w:sz w:val="22"/>
        </w:rPr>
        <w:t>Brand system (colors, fonts, logo) must be applied to every delivered surface per Praxion Brand Identity v3.</w:t>
      </w:r>
    </w:p>
    <w:p>
      <w:r>
        <w:br w:type="page"/>
      </w:r>
    </w:p>
    <w:p>
      <w:pPr>
        <w:spacing w:before="360" w:after="200"/>
        <w:pBdr>
          <w:bottom w:val="single" w:sz="18" w:space="1" w:color="2F6BFF"/>
        </w:pBdr>
      </w:pPr>
      <w:r>
        <w:rPr>
          <w:rFonts w:ascii="Inter" w:hAnsi="Inter" w:eastAsia="Inter" w:cs="Inter"/>
          <w:b/>
          <w:i w:val="0"/>
          <w:color w:val="0B1437"/>
          <w:sz w:val="44"/>
        </w:rPr>
        <w:t>6. Business Rules</w:t>
      </w:r>
    </w:p>
    <w:p>
      <w:pPr>
        <w:spacing w:after="120" w:before="0" w:line="324" w:lineRule="auto"/>
      </w:pPr>
      <w:r>
        <w:rPr>
          <w:rFonts w:ascii="Inter" w:hAnsi="Inter" w:eastAsia="Inter" w:cs="Inter"/>
          <w:b w:val="0"/>
          <w:i w:val="0"/>
          <w:sz w:val="21"/>
        </w:rPr>
        <w:t>Business rules are authoritative statements that constrain or drive module behaviour. They are numbered for traceability from functional requirements and test cases.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432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Rule</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Rationale / Source</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BR-M4-001</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Goals must be SMART: Specific, Measurable, Achievable, Relevant, Time-bound.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Goal-setting standard</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BR-M4-002</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ratings must contribute to the outsourced employee final score with a configurable weight.</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Balanced scorecard</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BR-M4-003</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 cycles must require self-assessment before manager review.</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 integrity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BR-M4-004</w:t>
            </w:r>
          </w:p>
        </w:tc>
        <w:tc>
          <w:tcPr>
            <w:tcW w:type="dxa" w:w="432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Calibration is mandatory for ratings influencing merit.</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Fairness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r>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BR-M4-005</w:t>
            </w:r>
          </w:p>
        </w:tc>
        <w:tc>
          <w:tcPr>
            <w:tcW w:type="dxa" w:w="432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Final ratings must be communicated to the employee with the option to acknowledge or dispute.</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Transparency</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7. Functional Requirements</w:t>
      </w:r>
    </w:p>
    <w:p>
      <w:pPr>
        <w:spacing w:after="120" w:before="0" w:line="324" w:lineRule="auto"/>
      </w:pPr>
      <w:r>
        <w:rPr>
          <w:rFonts w:ascii="Inter" w:hAnsi="Inter" w:eastAsia="Inter" w:cs="Inter"/>
          <w:b w:val="0"/>
          <w:i w:val="0"/>
          <w:sz w:val="21"/>
        </w:rPr>
        <w:t>Functional Requirements (FRs) describe what the system must do. Each FR has a unique identifier and is traceable to one or more business rules and user stories. Priority follows the MoSCoW convention: M = Must, S = Should, C = Could, W = Won't (this release).</w:t>
      </w:r>
    </w:p>
    <w:p>
      <w:pPr>
        <w:spacing w:before="280" w:after="120"/>
      </w:pPr>
      <w:r>
        <w:rPr>
          <w:rFonts w:ascii="Inter" w:hAnsi="Inter" w:eastAsia="Inter" w:cs="Inter"/>
          <w:b/>
          <w:i w:val="0"/>
          <w:color w:val="0B1437"/>
          <w:sz w:val="32"/>
        </w:rPr>
        <w:t>7.1 Cycles and Goals</w:t>
      </w:r>
    </w:p>
    <w:p>
      <w:pPr>
        <w:spacing w:after="120" w:before="0" w:line="324" w:lineRule="auto"/>
      </w:pPr>
      <w:r>
        <w:rPr>
          <w:rFonts w:ascii="Inter" w:hAnsi="Inter" w:eastAsia="Inter" w:cs="Inter"/>
          <w:b w:val="0"/>
          <w:i w:val="0"/>
          <w:sz w:val="21"/>
        </w:rPr>
        <w:t>Configure cycles and manage goals across them.</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HR Manager to define cycles with type, start date, end date and stages.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employees to set SMART goals linked to company or department goals.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managers to approve, amend or reject goals.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track goal progress with quantitative and qualitative updates.</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cascading goals from senior leadership downward.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7.2 Reviews and 360° Feedback</w:t>
      </w:r>
    </w:p>
    <w:p>
      <w:pPr>
        <w:spacing w:after="120" w:before="0" w:line="324" w:lineRule="auto"/>
      </w:pPr>
      <w:r>
        <w:rPr>
          <w:rFonts w:ascii="Inter" w:hAnsi="Inter" w:eastAsia="Inter" w:cs="Inter"/>
          <w:b w:val="0"/>
          <w:i w:val="0"/>
          <w:sz w:val="21"/>
        </w:rPr>
        <w:t>Self-assessment, manager review, peer feedback and client ratings.</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prompt employees for self-assessment at cycle close.</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prompt managers for review after self-assessment is submitted.</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support 360° feedback from peers and direct reports with anonymity options.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capture client ratings for outsourced employees via Client Portal (M12).</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combine all inputs into a final score per weighting policy.</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7.3 Calibration and Outcomes</w:t>
      </w:r>
    </w:p>
    <w:p>
      <w:pPr>
        <w:spacing w:after="120" w:before="0" w:line="324" w:lineRule="auto"/>
      </w:pPr>
      <w:r>
        <w:rPr>
          <w:rFonts w:ascii="Inter" w:hAnsi="Inter" w:eastAsia="Inter" w:cs="Inter"/>
          <w:b w:val="0"/>
          <w:i w:val="0"/>
          <w:sz w:val="21"/>
        </w:rPr>
        <w:t>Calibration, final outcome, communication and dispute.</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77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FR-M4-001</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provide a calibration workspace for HR Manager to adjust ratings across managers.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FR-M4-002</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produce a distribution view by team, department and tenant.</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FR-M4-003</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communicate final outcomes to employees with acknowledgement workflow.</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FR-M4-004</w:t>
            </w:r>
          </w:p>
        </w:tc>
        <w:tc>
          <w:tcPr>
            <w:tcW w:type="dxa" w:w="77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allow employees to dispute outcomes with HR review workflow.</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FR-M4-005</w:t>
            </w:r>
          </w:p>
        </w:tc>
        <w:tc>
          <w:tcPr>
            <w:tcW w:type="dxa" w:w="77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The system shall feed merit recommendations to M6 and development plans to M5.</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8. Non-Functional Requirements</w:t>
      </w:r>
    </w:p>
    <w:p>
      <w:pPr>
        <w:spacing w:after="120" w:before="0" w:line="324" w:lineRule="auto"/>
      </w:pPr>
      <w:r>
        <w:rPr>
          <w:rFonts w:ascii="Inter" w:hAnsi="Inter" w:eastAsia="Inter" w:cs="Inter"/>
          <w:b w:val="0"/>
          <w:i w:val="0"/>
          <w:sz w:val="21"/>
        </w:rPr>
        <w:t>Non-Functional Requirements (NFRs) apply across every Praxion module. Where this module has elevated NFR targets beyond the platform baseline, they are called out explicitly.</w:t>
      </w:r>
    </w:p>
    <w:p>
      <w:pPr>
        <w:spacing w:before="280" w:after="120"/>
      </w:pPr>
      <w:r>
        <w:rPr>
          <w:rFonts w:ascii="Inter" w:hAnsi="Inter" w:eastAsia="Inter" w:cs="Inter"/>
          <w:b/>
          <w:i w:val="0"/>
          <w:color w:val="0B1437"/>
          <w:sz w:val="32"/>
        </w:rPr>
        <w:t>8.1 Performance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List and search screens return the first page in ≤ 1.5 seconds at P95 under nominal load.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Bulk operations (imports, exports, batch updates) process 10,000 records in ≤ 5 minutes.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Concurrency: the module must sustain 500 concurrent users per tenant without degradation.</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NFR-PERF-04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Background jobs must emit progress telemetry every 30 seconds for long-running tasks.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8.2 Scalability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Horizontally scalable stateless services behind a load balancer; no session affinity required.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Database tier supports read replicas for reporting; writes go to primary with RLS enforced.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NFR-SCAL-03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Must support up to 100 client tenants and 50,000 employees at go-live without redesign.</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8.3 Availability &amp; Resilience</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Platform target SLA is 99.9% monthly uptime (≤ 43 minutes of unplanned downtime).</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RPO ≤ 15 minutes, RTO ≤ 4 hours, verified by quarterly disaster recovery drill.</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NFR-AVAIL-03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Graceful degradation: read access must remain available during write-tier incidents.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8.4 Security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authentication via centrally managed identity with MFA mandatory for privileged roles.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data encrypted in transit (TLS 1.2+) and at rest (AES-256).</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enforced on every tenant-scoped query; cross-tenant access is a P1 defect.</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Per-tenant KMS Data Encryption Keys to enable PDPL crypto-shredding on tenant termination.</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Annual penetration test plus automated cross-tenant isolation tests in CI.</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NFR-SEC-06</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Role-Based Access Control with principle of least privilege and quarterly access reviews.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8.5 Privacy &amp; Compliance (PDPL 151/2020)</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Consent management captured per subject, purpose, and legal basis.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Data Subject Requests (access, rectification, erasure) fulfilled within statutory SLA.</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Field-level PII masking enforced for cross-tenant projections of outsourced employees.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Breach notification workflow triggers at detection with a 72-hour regulator alert path.</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NFR-PDPL-05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Crypto-shredding on tenant termination by destroying per-tenant DEKs.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8.6 Usability &amp; Accessibility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All user-facing surfaces conform to WCAG 2.1 Level AA as minimum.</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Bilingual UI (Arabic / English) with full right-to-left support.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Dark-canvas command-center aesthetic per Praxion Brand Identity v3.</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NFR-UX-04</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Command palette (⌘K) for power-user navigation on all desktop screens.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NFR-UX-05</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Mobile parity for key workflows via React Native app (M11).</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8.7 Auditability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Every create, update, delete and access event is captured to the immutable audit log.</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must include actor, tenant, role, timestamp, IP, before/after values.</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NFR-AUD-03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 retention: 7 years minimum, aligned to Egyptian statutory requirements.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8.8 Localisation</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Arabic/English bilingual fields across all screens where user-facing text is stored.</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public holiday calendar, working week (Sun–Thu), and Gregorian/Hijri dates supported.</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NFR-LOC-03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Currency: EGP as default, multi-currency for contractor payouts (M8).</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8.9 Observability</w:t>
      </w:r>
    </w:p>
    <w:tbl>
      <w:tblPr>
        <w:tblW w:type="auto" w:w="0"/>
        <w:jc w:val="center"/>
        <w:tblLayout w:type="fixed"/>
        <w:tblLook w:firstColumn="1" w:firstRow="1" w:lastColumn="0" w:lastRow="0" w:noHBand="0" w:noVBand="1" w:val="04A0"/>
      </w:tblPr>
      <w:tblGrid>
        <w:gridCol w:w="4824"/>
        <w:gridCol w:w="4824"/>
      </w:tblGrid>
      <w:tr>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84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Requirement</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NFR-OBS-01</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logs with correlation IDs traversing every request across services.</w:t>
            </w:r>
          </w:p>
        </w:tc>
      </w:tr>
      <w:tr>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NFR-OBS-02</w:t>
            </w:r>
          </w:p>
        </w:tc>
        <w:tc>
          <w:tcPr>
            <w:tcW w:type="dxa" w:w="84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Metrics on golden signals (latency, traffic, errors, saturation) per service.</w:t>
            </w:r>
          </w:p>
        </w:tc>
      </w:tr>
      <w:tr>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NFR-OBS-03</w:t>
            </w:r>
          </w:p>
        </w:tc>
        <w:tc>
          <w:tcPr>
            <w:tcW w:type="dxa" w:w="84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Real-time alerting on SLO burn and security anomalies.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9. User Stories and Acceptance Criteria</w:t>
      </w:r>
    </w:p>
    <w:p>
      <w:pPr>
        <w:spacing w:after="120" w:before="0" w:line="324" w:lineRule="auto"/>
      </w:pPr>
      <w:r>
        <w:rPr>
          <w:rFonts w:ascii="Inter" w:hAnsi="Inter" w:eastAsia="Inter" w:cs="Inter"/>
          <w:b w:val="0"/>
          <w:i w:val="0"/>
          <w:sz w:val="21"/>
        </w:rPr>
        <w:t>User stories follow the INVEST principles. Each story has Given/When/Then acceptance criteria traceable to functional requirements and UAT cases.</w:t>
      </w:r>
    </w:p>
    <w:p>
      <w:pPr>
        <w:spacing w:before="200" w:after="80"/>
      </w:pPr>
      <w:r>
        <w:rPr>
          <w:rFonts w:ascii="Inter" w:hAnsi="Inter" w:eastAsia="Inter" w:cs="Inter"/>
          <w:b/>
          <w:i w:val="0"/>
          <w:color w:val="1E2A5E"/>
          <w:sz w:val="26"/>
        </w:rPr>
        <w:t>US-M4-001  —  Client Rates Outsourced Staff</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Client Hiring Manager</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to rate outsourced employees on job performance, communication and professionalism</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Egybell has a balanced view of how my team experiences them.</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I am a Client Hiring Manager, when I open the Ratings tab in the portal, then I see my assigned outsourced staff.</w:t>
      </w:r>
    </w:p>
    <w:p>
      <w:pPr>
        <w:pStyle w:val="ListBullet"/>
        <w:spacing w:after="40"/>
        <w:ind w:left="648"/>
      </w:pPr>
      <w:r>
        <w:rPr>
          <w:rFonts w:ascii="Inter" w:hAnsi="Inter" w:eastAsia="Inter" w:cs="Inter"/>
          <w:b w:val="0"/>
          <w:i w:val="0"/>
          <w:color w:val="2B2F3A"/>
          <w:sz w:val="20"/>
        </w:rPr>
        <w:t>Given I rate on three dimensions, when I submit, then the rating is stored and aggregated for the current cycle.</w:t>
      </w:r>
    </w:p>
    <w:p>
      <w:pPr>
        <w:pStyle w:val="ListBullet"/>
        <w:spacing w:after="40"/>
        <w:ind w:left="648"/>
      </w:pPr>
      <w:r>
        <w:rPr>
          <w:rFonts w:ascii="Inter" w:hAnsi="Inter" w:eastAsia="Inter" w:cs="Inter"/>
          <w:b w:val="0"/>
          <w:i w:val="0"/>
          <w:color w:val="2B2F3A"/>
          <w:sz w:val="20"/>
        </w:rPr>
        <w:t>Given I submit a low rating, when the cycle closes, then Egybell HR is alerted and a development conversation is scheduled.</w:t>
      </w:r>
    </w:p>
    <w:p>
      <w:pPr>
        <w:pStyle w:val="ListBullet"/>
        <w:spacing w:after="40"/>
        <w:ind w:left="648"/>
      </w:pPr>
      <w:r>
        <w:rPr>
          <w:rFonts w:ascii="Inter" w:hAnsi="Inter" w:eastAsia="Inter" w:cs="Inter"/>
          <w:b w:val="0"/>
          <w:i w:val="0"/>
          <w:color w:val="2B2F3A"/>
          <w:sz w:val="20"/>
        </w:rPr>
        <w:t>Given I previously rated an employee, when I open the form again, then I see my previous rating and can update it within the cycle window.</w:t>
      </w:r>
    </w:p>
    <w:p>
      <w:pPr>
        <w:spacing w:before="200" w:after="80"/>
      </w:pPr>
      <w:r>
        <w:rPr>
          <w:rFonts w:ascii="Inter" w:hAnsi="Inter" w:eastAsia="Inter" w:cs="Inter"/>
          <w:b/>
          <w:i w:val="0"/>
          <w:color w:val="1E2A5E"/>
          <w:sz w:val="26"/>
        </w:rPr>
        <w:t>US-M4-002  —  Calibration Across Managers</w:t>
      </w:r>
    </w:p>
    <w:p>
      <w:pPr>
        <w:spacing w:after="60"/>
        <w:ind w:left="216"/>
      </w:pPr>
      <w:r>
        <w:rPr>
          <w:rFonts w:ascii="Inter" w:hAnsi="Inter" w:eastAsia="Inter" w:cs="Inter"/>
          <w:b/>
          <w:i w:val="0"/>
          <w:color w:val="2F6BFF"/>
          <w:sz w:val="20"/>
        </w:rPr>
        <w:t xml:space="preserve">As a  </w:t>
      </w:r>
      <w:r>
        <w:rPr>
          <w:rFonts w:ascii="Inter" w:hAnsi="Inter" w:eastAsia="Inter" w:cs="Inter"/>
          <w:b w:val="0"/>
          <w:i w:val="0"/>
          <w:color w:val="2B2F3A"/>
          <w:sz w:val="21"/>
        </w:rPr>
        <w:t>HR Manager</w:t>
      </w:r>
    </w:p>
    <w:p>
      <w:pPr>
        <w:spacing w:after="60"/>
        <w:ind w:left="216"/>
      </w:pPr>
      <w:r>
        <w:rPr>
          <w:rFonts w:ascii="Inter" w:hAnsi="Inter" w:eastAsia="Inter" w:cs="Inter"/>
          <w:b/>
          <w:i w:val="0"/>
          <w:color w:val="2F6BFF"/>
          <w:sz w:val="20"/>
        </w:rPr>
        <w:t xml:space="preserve">I want  </w:t>
      </w:r>
      <w:r>
        <w:rPr>
          <w:rFonts w:ascii="Inter" w:hAnsi="Inter" w:eastAsia="Inter" w:cs="Inter"/>
          <w:b w:val="0"/>
          <w:i w:val="0"/>
          <w:color w:val="2B2F3A"/>
          <w:sz w:val="21"/>
        </w:rPr>
        <w:t>to calibrate ratings across managers before final outcomes</w:t>
      </w:r>
    </w:p>
    <w:p>
      <w:pPr>
        <w:spacing w:after="80"/>
        <w:ind w:left="216"/>
      </w:pPr>
      <w:r>
        <w:rPr>
          <w:rFonts w:ascii="Inter" w:hAnsi="Inter" w:eastAsia="Inter" w:cs="Inter"/>
          <w:b/>
          <w:i w:val="0"/>
          <w:color w:val="2F6BFF"/>
          <w:sz w:val="20"/>
        </w:rPr>
        <w:t xml:space="preserve">so that  </w:t>
      </w:r>
      <w:r>
        <w:rPr>
          <w:rFonts w:ascii="Inter" w:hAnsi="Inter" w:eastAsia="Inter" w:cs="Inter"/>
          <w:b w:val="0"/>
          <w:i w:val="0"/>
          <w:color w:val="2B2F3A"/>
          <w:sz w:val="21"/>
        </w:rPr>
        <w:t>we reduce bias and inflation in performance distributions.</w:t>
      </w:r>
    </w:p>
    <w:p>
      <w:pPr>
        <w:spacing w:after="40"/>
        <w:ind w:left="216"/>
      </w:pPr>
      <w:r>
        <w:rPr>
          <w:rFonts w:ascii="Inter" w:hAnsi="Inter" w:eastAsia="Inter" w:cs="Inter"/>
          <w:b/>
          <w:i w:val="0"/>
          <w:color w:val="0B1437"/>
          <w:sz w:val="20"/>
        </w:rPr>
        <w:t>Acceptance Criteria</w:t>
      </w:r>
    </w:p>
    <w:p>
      <w:pPr>
        <w:pStyle w:val="ListBullet"/>
        <w:spacing w:after="40"/>
        <w:ind w:left="648"/>
      </w:pPr>
      <w:r>
        <w:rPr>
          <w:rFonts w:ascii="Inter" w:hAnsi="Inter" w:eastAsia="Inter" w:cs="Inter"/>
          <w:b w:val="0"/>
          <w:i w:val="0"/>
          <w:color w:val="2B2F3A"/>
          <w:sz w:val="20"/>
        </w:rPr>
        <w:t>Given a cycle is at the calibration stage, when I open the workspace, then I see all managers' ratings in a grid.</w:t>
      </w:r>
    </w:p>
    <w:p>
      <w:pPr>
        <w:pStyle w:val="ListBullet"/>
        <w:spacing w:after="40"/>
        <w:ind w:left="648"/>
      </w:pPr>
      <w:r>
        <w:rPr>
          <w:rFonts w:ascii="Inter" w:hAnsi="Inter" w:eastAsia="Inter" w:cs="Inter"/>
          <w:b w:val="0"/>
          <w:i w:val="0"/>
          <w:color w:val="2B2F3A"/>
          <w:sz w:val="20"/>
        </w:rPr>
        <w:t>Given I adjust a rating, when I save, then the change is captured with justification and the manager is notified.</w:t>
      </w:r>
    </w:p>
    <w:p>
      <w:pPr>
        <w:pStyle w:val="ListBullet"/>
        <w:spacing w:after="40"/>
        <w:ind w:left="648"/>
      </w:pPr>
      <w:r>
        <w:rPr>
          <w:rFonts w:ascii="Inter" w:hAnsi="Inter" w:eastAsia="Inter" w:cs="Inter"/>
          <w:b w:val="0"/>
          <w:i w:val="0"/>
          <w:color w:val="2B2F3A"/>
          <w:sz w:val="20"/>
        </w:rPr>
        <w:t>Given the calibration is complete, when I close the stage, then outcomes are communicated to employees.</w:t>
      </w:r>
    </w:p>
    <w:p>
      <w:r>
        <w:br w:type="page"/>
      </w:r>
    </w:p>
    <w:p>
      <w:pPr>
        <w:spacing w:before="360" w:after="200"/>
        <w:pBdr>
          <w:bottom w:val="single" w:sz="18" w:space="1" w:color="2F6BFF"/>
        </w:pBdr>
      </w:pPr>
      <w:r>
        <w:rPr>
          <w:rFonts w:ascii="Inter" w:hAnsi="Inter" w:eastAsia="Inter" w:cs="Inter"/>
          <w:b/>
          <w:i w:val="0"/>
          <w:color w:val="0B1437"/>
          <w:sz w:val="44"/>
        </w:rPr>
        <w:t>10. Process Flows</w:t>
      </w:r>
    </w:p>
    <w:p>
      <w:pPr>
        <w:spacing w:after="120" w:before="0" w:line="324" w:lineRule="auto"/>
      </w:pPr>
      <w:r>
        <w:rPr>
          <w:rFonts w:ascii="Inter" w:hAnsi="Inter" w:eastAsia="Inter" w:cs="Inter"/>
          <w:b w:val="0"/>
          <w:i w:val="0"/>
          <w:sz w:val="21"/>
        </w:rPr>
        <w:t>Process flows below describe the happy path, exception paths, and system behaviour for each key workflow in this module. Detailed swimlane diagrams are maintained in the Praxion solution design repository; this section captures the prose specification.</w:t>
      </w:r>
    </w:p>
    <w:p>
      <w:pPr>
        <w:spacing w:before="280" w:after="120"/>
      </w:pPr>
      <w:r>
        <w:rPr>
          <w:rFonts w:ascii="Inter" w:hAnsi="Inter" w:eastAsia="Inter" w:cs="Inter"/>
          <w:b/>
          <w:i w:val="0"/>
          <w:color w:val="0B1437"/>
          <w:sz w:val="32"/>
        </w:rPr>
        <w:t>10.1  Review Cycle Happy Path</w:t>
      </w:r>
    </w:p>
    <w:p>
      <w:pPr>
        <w:spacing w:after="120" w:before="0" w:line="324" w:lineRule="auto"/>
      </w:pPr>
      <w:r>
        <w:rPr>
          <w:rFonts w:ascii="Inter" w:hAnsi="Inter" w:eastAsia="Inter" w:cs="Inter"/>
          <w:b w:val="0"/>
          <w:i w:val="0"/>
          <w:sz w:val="21"/>
        </w:rPr>
        <w:t>From cycle open to calibrated outcomes.</w:t>
      </w:r>
    </w:p>
    <w:p>
      <w:pPr>
        <w:spacing w:before="200" w:after="80"/>
      </w:pPr>
      <w:r>
        <w:rPr>
          <w:rFonts w:ascii="Inter" w:hAnsi="Inter" w:eastAsia="Inter" w:cs="Inter"/>
          <w:b/>
          <w:i w:val="0"/>
          <w:color w:val="1E2A5E"/>
          <w:sz w:val="26"/>
        </w:rPr>
        <w:t>Trigger</w:t>
      </w:r>
    </w:p>
    <w:p>
      <w:pPr>
        <w:spacing w:after="120" w:before="0" w:line="324" w:lineRule="auto"/>
      </w:pPr>
      <w:r>
        <w:rPr>
          <w:rFonts w:ascii="Inter" w:hAnsi="Inter" w:eastAsia="Inter" w:cs="Inter"/>
          <w:b w:val="0"/>
          <w:i w:val="0"/>
          <w:sz w:val="21"/>
        </w:rPr>
        <w:t>HR Manager opens a review cycle.</w:t>
      </w:r>
    </w:p>
    <w:p>
      <w:pPr>
        <w:spacing w:before="200" w:after="80"/>
      </w:pPr>
      <w:r>
        <w:rPr>
          <w:rFonts w:ascii="Inter" w:hAnsi="Inter" w:eastAsia="Inter" w:cs="Inter"/>
          <w:b/>
          <w:i w:val="0"/>
          <w:color w:val="1E2A5E"/>
          <w:sz w:val="26"/>
        </w:rPr>
        <w:t>Actors</w:t>
      </w:r>
    </w:p>
    <w:p>
      <w:pPr>
        <w:pStyle w:val="ListBullet"/>
        <w:spacing w:after="60"/>
        <w:ind w:left="360"/>
      </w:pPr>
      <w:r>
        <w:rPr>
          <w:rFonts w:ascii="Inter" w:hAnsi="Inter" w:eastAsia="Inter" w:cs="Inter"/>
          <w:b w:val="0"/>
          <w:i w:val="0"/>
          <w:color w:val="2B2F3A"/>
          <w:sz w:val="22"/>
        </w:rPr>
        <w:t>HR Manager</w:t>
      </w:r>
    </w:p>
    <w:p>
      <w:pPr>
        <w:pStyle w:val="ListBullet"/>
        <w:spacing w:after="60"/>
        <w:ind w:left="360"/>
      </w:pPr>
      <w:r>
        <w:rPr>
          <w:rFonts w:ascii="Inter" w:hAnsi="Inter" w:eastAsia="Inter" w:cs="Inter"/>
          <w:b w:val="0"/>
          <w:i w:val="0"/>
          <w:color w:val="2B2F3A"/>
          <w:sz w:val="22"/>
        </w:rPr>
        <w:t>Managers</w:t>
      </w:r>
    </w:p>
    <w:p>
      <w:pPr>
        <w:pStyle w:val="ListBullet"/>
        <w:spacing w:after="60"/>
        <w:ind w:left="360"/>
      </w:pPr>
      <w:r>
        <w:rPr>
          <w:rFonts w:ascii="Inter" w:hAnsi="Inter" w:eastAsia="Inter" w:cs="Inter"/>
          <w:b w:val="0"/>
          <w:i w:val="0"/>
          <w:color w:val="2B2F3A"/>
          <w:sz w:val="22"/>
        </w:rPr>
        <w:t>Employees</w:t>
      </w:r>
    </w:p>
    <w:p>
      <w:pPr>
        <w:pStyle w:val="ListBullet"/>
        <w:spacing w:after="60"/>
        <w:ind w:left="360"/>
      </w:pPr>
      <w:r>
        <w:rPr>
          <w:rFonts w:ascii="Inter" w:hAnsi="Inter" w:eastAsia="Inter" w:cs="Inter"/>
          <w:b w:val="0"/>
          <w:i w:val="0"/>
          <w:color w:val="2B2F3A"/>
          <w:sz w:val="22"/>
        </w:rPr>
        <w:t>Peers</w:t>
      </w:r>
    </w:p>
    <w:p>
      <w:pPr>
        <w:pStyle w:val="ListBullet"/>
        <w:spacing w:after="60"/>
        <w:ind w:left="360"/>
      </w:pPr>
      <w:r>
        <w:rPr>
          <w:rFonts w:ascii="Inter" w:hAnsi="Inter" w:eastAsia="Inter" w:cs="Inter"/>
          <w:b w:val="0"/>
          <w:i w:val="0"/>
          <w:color w:val="2B2F3A"/>
          <w:sz w:val="22"/>
        </w:rPr>
        <w:t>Clients</w:t>
      </w:r>
    </w:p>
    <w:p>
      <w:pPr>
        <w:spacing w:before="200" w:after="80"/>
      </w:pPr>
      <w:r>
        <w:rPr>
          <w:rFonts w:ascii="Inter" w:hAnsi="Inter" w:eastAsia="Inter" w:cs="Inter"/>
          <w:b/>
          <w:i w:val="0"/>
          <w:color w:val="1E2A5E"/>
          <w:sz w:val="26"/>
        </w:rPr>
        <w:t>Preconditions</w:t>
      </w:r>
    </w:p>
    <w:p>
      <w:pPr>
        <w:pStyle w:val="ListBullet"/>
        <w:spacing w:after="60"/>
        <w:ind w:left="360"/>
      </w:pPr>
      <w:r>
        <w:rPr>
          <w:rFonts w:ascii="Inter" w:hAnsi="Inter" w:eastAsia="Inter" w:cs="Inter"/>
          <w:b w:val="0"/>
          <w:i w:val="0"/>
          <w:color w:val="2B2F3A"/>
          <w:sz w:val="22"/>
        </w:rPr>
        <w:t>Goals set and approved.</w:t>
      </w:r>
    </w:p>
    <w:p>
      <w:pPr>
        <w:pStyle w:val="ListBullet"/>
        <w:spacing w:after="60"/>
        <w:ind w:left="360"/>
      </w:pPr>
      <w:r>
        <w:rPr>
          <w:rFonts w:ascii="Inter" w:hAnsi="Inter" w:eastAsia="Inter" w:cs="Inter"/>
          <w:b w:val="0"/>
          <w:i w:val="0"/>
          <w:color w:val="2B2F3A"/>
          <w:sz w:val="22"/>
        </w:rPr>
        <w:t>Review templates configured.</w:t>
      </w:r>
    </w:p>
    <w:p>
      <w:pPr>
        <w:spacing w:before="200" w:after="80"/>
      </w:pPr>
      <w:r>
        <w:rPr>
          <w:rFonts w:ascii="Inter" w:hAnsi="Inter" w:eastAsia="Inter" w:cs="Inter"/>
          <w:b/>
          <w:i w:val="0"/>
          <w:color w:val="1E2A5E"/>
          <w:sz w:val="26"/>
        </w:rPr>
        <w:t>Main Flow</w:t>
      </w:r>
    </w:p>
    <w:p>
      <w:pPr>
        <w:spacing w:after="60"/>
        <w:ind w:left="288"/>
      </w:pPr>
      <w:r>
        <w:rPr>
          <w:rFonts w:ascii="Inter" w:hAnsi="Inter" w:eastAsia="Inter" w:cs="Inter"/>
          <w:b/>
          <w:i w:val="0"/>
          <w:color w:val="2F6BFF"/>
          <w:sz w:val="21"/>
        </w:rPr>
        <w:t xml:space="preserve">Step 1.  </w:t>
      </w:r>
      <w:r>
        <w:rPr>
          <w:rFonts w:ascii="Inter" w:hAnsi="Inter" w:eastAsia="Inter" w:cs="Inter"/>
          <w:b w:val="0"/>
          <w:i w:val="0"/>
          <w:color w:val="2B2F3A"/>
          <w:sz w:val="21"/>
        </w:rPr>
        <w:t>Self-assessment window opens for employees.</w:t>
      </w:r>
    </w:p>
    <w:p>
      <w:pPr>
        <w:spacing w:after="60"/>
        <w:ind w:left="288"/>
      </w:pPr>
      <w:r>
        <w:rPr>
          <w:rFonts w:ascii="Inter" w:hAnsi="Inter" w:eastAsia="Inter" w:cs="Inter"/>
          <w:b/>
          <w:i w:val="0"/>
          <w:color w:val="2F6BFF"/>
          <w:sz w:val="21"/>
        </w:rPr>
        <w:t xml:space="preserve">Step 2.  </w:t>
      </w:r>
      <w:r>
        <w:rPr>
          <w:rFonts w:ascii="Inter" w:hAnsi="Inter" w:eastAsia="Inter" w:cs="Inter"/>
          <w:b w:val="0"/>
          <w:i w:val="0"/>
          <w:color w:val="2B2F3A"/>
          <w:sz w:val="21"/>
        </w:rPr>
        <w:t>Employees submit self-assessment before the deadline.</w:t>
      </w:r>
    </w:p>
    <w:p>
      <w:pPr>
        <w:spacing w:after="60"/>
        <w:ind w:left="288"/>
      </w:pPr>
      <w:r>
        <w:rPr>
          <w:rFonts w:ascii="Inter" w:hAnsi="Inter" w:eastAsia="Inter" w:cs="Inter"/>
          <w:b/>
          <w:i w:val="0"/>
          <w:color w:val="2F6BFF"/>
          <w:sz w:val="21"/>
        </w:rPr>
        <w:t xml:space="preserve">Step 3.  </w:t>
      </w:r>
      <w:r>
        <w:rPr>
          <w:rFonts w:ascii="Inter" w:hAnsi="Inter" w:eastAsia="Inter" w:cs="Inter"/>
          <w:b w:val="0"/>
          <w:i w:val="0"/>
          <w:color w:val="2B2F3A"/>
          <w:sz w:val="21"/>
        </w:rPr>
        <w:t>Manager review window opens.</w:t>
      </w:r>
    </w:p>
    <w:p>
      <w:pPr>
        <w:spacing w:after="60"/>
        <w:ind w:left="288"/>
      </w:pPr>
      <w:r>
        <w:rPr>
          <w:rFonts w:ascii="Inter" w:hAnsi="Inter" w:eastAsia="Inter" w:cs="Inter"/>
          <w:b/>
          <w:i w:val="0"/>
          <w:color w:val="2F6BFF"/>
          <w:sz w:val="21"/>
        </w:rPr>
        <w:t xml:space="preserve">Step 4.  </w:t>
      </w:r>
      <w:r>
        <w:rPr>
          <w:rFonts w:ascii="Inter" w:hAnsi="Inter" w:eastAsia="Inter" w:cs="Inter"/>
          <w:b w:val="0"/>
          <w:i w:val="0"/>
          <w:color w:val="2B2F3A"/>
          <w:sz w:val="21"/>
        </w:rPr>
        <w:t>Peers and clients submit 360° / client ratings.</w:t>
      </w:r>
    </w:p>
    <w:p>
      <w:pPr>
        <w:spacing w:after="60"/>
        <w:ind w:left="288"/>
      </w:pPr>
      <w:r>
        <w:rPr>
          <w:rFonts w:ascii="Inter" w:hAnsi="Inter" w:eastAsia="Inter" w:cs="Inter"/>
          <w:b/>
          <w:i w:val="0"/>
          <w:color w:val="2F6BFF"/>
          <w:sz w:val="21"/>
        </w:rPr>
        <w:t xml:space="preserve">Step 5.  </w:t>
      </w:r>
      <w:r>
        <w:rPr>
          <w:rFonts w:ascii="Inter" w:hAnsi="Inter" w:eastAsia="Inter" w:cs="Inter"/>
          <w:b w:val="0"/>
          <w:i w:val="0"/>
          <w:color w:val="2B2F3A"/>
          <w:sz w:val="21"/>
        </w:rPr>
        <w:t>System aggregates inputs into a draft final score.</w:t>
      </w:r>
    </w:p>
    <w:p>
      <w:pPr>
        <w:spacing w:after="60"/>
        <w:ind w:left="288"/>
      </w:pPr>
      <w:r>
        <w:rPr>
          <w:rFonts w:ascii="Inter" w:hAnsi="Inter" w:eastAsia="Inter" w:cs="Inter"/>
          <w:b/>
          <w:i w:val="0"/>
          <w:color w:val="2F6BFF"/>
          <w:sz w:val="21"/>
        </w:rPr>
        <w:t xml:space="preserve">Step 6.  </w:t>
      </w:r>
      <w:r>
        <w:rPr>
          <w:rFonts w:ascii="Inter" w:hAnsi="Inter" w:eastAsia="Inter" w:cs="Inter"/>
          <w:b w:val="0"/>
          <w:i w:val="0"/>
          <w:color w:val="2B2F3A"/>
          <w:sz w:val="21"/>
        </w:rPr>
        <w:t>HR Manager runs calibration workspace.</w:t>
      </w:r>
    </w:p>
    <w:p>
      <w:pPr>
        <w:spacing w:after="60"/>
        <w:ind w:left="288"/>
      </w:pPr>
      <w:r>
        <w:rPr>
          <w:rFonts w:ascii="Inter" w:hAnsi="Inter" w:eastAsia="Inter" w:cs="Inter"/>
          <w:b/>
          <w:i w:val="0"/>
          <w:color w:val="2F6BFF"/>
          <w:sz w:val="21"/>
        </w:rPr>
        <w:t xml:space="preserve">Step 7.  </w:t>
      </w:r>
      <w:r>
        <w:rPr>
          <w:rFonts w:ascii="Inter" w:hAnsi="Inter" w:eastAsia="Inter" w:cs="Inter"/>
          <w:b w:val="0"/>
          <w:i w:val="0"/>
          <w:color w:val="2B2F3A"/>
          <w:sz w:val="21"/>
        </w:rPr>
        <w:t>Final outcomes are communicated with acknowledgement.</w:t>
      </w:r>
    </w:p>
    <w:p>
      <w:pPr>
        <w:spacing w:before="200" w:after="80"/>
      </w:pPr>
      <w:r>
        <w:rPr>
          <w:rFonts w:ascii="Inter" w:hAnsi="Inter" w:eastAsia="Inter" w:cs="Inter"/>
          <w:b/>
          <w:i w:val="0"/>
          <w:color w:val="1E2A5E"/>
          <w:sz w:val="26"/>
        </w:rPr>
        <w:t>Alternate / Exception Flows</w:t>
      </w:r>
    </w:p>
    <w:p>
      <w:pPr>
        <w:pStyle w:val="ListBullet"/>
        <w:spacing w:after="60"/>
        <w:ind w:left="360"/>
      </w:pPr>
      <w:r>
        <w:rPr>
          <w:rFonts w:ascii="Inter" w:hAnsi="Inter" w:eastAsia="Inter" w:cs="Inter"/>
          <w:b w:val="0"/>
          <w:i w:val="0"/>
          <w:color w:val="2B2F3A"/>
          <w:sz w:val="22"/>
        </w:rPr>
        <w:t>If an employee fails to self-assess, HR proceeds with manager review only.</w:t>
      </w:r>
    </w:p>
    <w:p>
      <w:pPr>
        <w:pStyle w:val="ListBullet"/>
        <w:spacing w:after="60"/>
        <w:ind w:left="360"/>
      </w:pPr>
      <w:r>
        <w:rPr>
          <w:rFonts w:ascii="Inter" w:hAnsi="Inter" w:eastAsia="Inter" w:cs="Inter"/>
          <w:b w:val="0"/>
          <w:i w:val="0"/>
          <w:color w:val="2B2F3A"/>
          <w:sz w:val="22"/>
        </w:rPr>
        <w:t>If a dispute is raised, HR Manager opens a dispute case.</w:t>
      </w:r>
    </w:p>
    <w:p>
      <w:pPr>
        <w:pStyle w:val="ListBullet"/>
        <w:spacing w:after="60"/>
        <w:ind w:left="360"/>
      </w:pPr>
      <w:r>
        <w:rPr>
          <w:rFonts w:ascii="Inter" w:hAnsi="Inter" w:eastAsia="Inter" w:cs="Inter"/>
          <w:b w:val="0"/>
          <w:i w:val="0"/>
          <w:color w:val="2B2F3A"/>
          <w:sz w:val="22"/>
        </w:rPr>
        <w:t>If a client rating is missing, the outsourced employee's score uses default policy weights.</w:t>
      </w:r>
    </w:p>
    <w:p>
      <w:pPr>
        <w:spacing w:before="200" w:after="80"/>
      </w:pPr>
      <w:r>
        <w:rPr>
          <w:rFonts w:ascii="Inter" w:hAnsi="Inter" w:eastAsia="Inter" w:cs="Inter"/>
          <w:b/>
          <w:i w:val="0"/>
          <w:color w:val="1E2A5E"/>
          <w:sz w:val="26"/>
        </w:rPr>
        <w:t>Postconditions</w:t>
      </w:r>
    </w:p>
    <w:p>
      <w:pPr>
        <w:pStyle w:val="ListBullet"/>
        <w:spacing w:after="60"/>
        <w:ind w:left="360"/>
      </w:pPr>
      <w:r>
        <w:rPr>
          <w:rFonts w:ascii="Inter" w:hAnsi="Inter" w:eastAsia="Inter" w:cs="Inter"/>
          <w:b w:val="0"/>
          <w:i w:val="0"/>
          <w:color w:val="2B2F3A"/>
          <w:sz w:val="22"/>
        </w:rPr>
        <w:t>Final ratings recorded.</w:t>
      </w:r>
    </w:p>
    <w:p>
      <w:pPr>
        <w:pStyle w:val="ListBullet"/>
        <w:spacing w:after="60"/>
        <w:ind w:left="360"/>
      </w:pPr>
      <w:r>
        <w:rPr>
          <w:rFonts w:ascii="Inter" w:hAnsi="Inter" w:eastAsia="Inter" w:cs="Inter"/>
          <w:b w:val="0"/>
          <w:i w:val="0"/>
          <w:color w:val="2B2F3A"/>
          <w:sz w:val="22"/>
        </w:rPr>
        <w:t>Merit recommendations posted to M6.</w:t>
      </w:r>
    </w:p>
    <w:p>
      <w:pPr>
        <w:pStyle w:val="ListBullet"/>
        <w:spacing w:after="60"/>
        <w:ind w:left="360"/>
      </w:pPr>
      <w:r>
        <w:rPr>
          <w:rFonts w:ascii="Inter" w:hAnsi="Inter" w:eastAsia="Inter" w:cs="Inter"/>
          <w:b w:val="0"/>
          <w:i w:val="0"/>
          <w:color w:val="2B2F3A"/>
          <w:sz w:val="22"/>
        </w:rPr>
        <w:t>Development plans seeded in M5.</w:t>
      </w:r>
    </w:p>
    <w:p>
      <w:r>
        <w:br w:type="page"/>
      </w:r>
    </w:p>
    <w:p>
      <w:pPr>
        <w:spacing w:before="360" w:after="200"/>
        <w:pBdr>
          <w:bottom w:val="single" w:sz="18" w:space="1" w:color="2F6BFF"/>
        </w:pBdr>
      </w:pPr>
      <w:r>
        <w:rPr>
          <w:rFonts w:ascii="Inter" w:hAnsi="Inter" w:eastAsia="Inter" w:cs="Inter"/>
          <w:b/>
          <w:i w:val="0"/>
          <w:color w:val="0B1437"/>
          <w:sz w:val="44"/>
        </w:rPr>
        <w:t>11. Data Requirements</w:t>
      </w:r>
    </w:p>
    <w:p>
      <w:pPr>
        <w:spacing w:after="120" w:before="0" w:line="324" w:lineRule="auto"/>
      </w:pPr>
      <w:r>
        <w:rPr>
          <w:rFonts w:ascii="Inter" w:hAnsi="Inter" w:eastAsia="Inter" w:cs="Inter"/>
          <w:b w:val="0"/>
          <w:i w:val="0"/>
          <w:sz w:val="21"/>
        </w:rPr>
        <w:t>Data requirements list the primary entities owned or consumed by this module. Full schema definitions including types, lengths, nullability, foreign keys and indexes are maintained in the Praxion Data Dictionary.</w:t>
      </w:r>
    </w:p>
    <w:p>
      <w:pPr>
        <w:spacing w:before="280" w:after="120"/>
      </w:pPr>
      <w:r>
        <w:rPr>
          <w:rFonts w:ascii="Inter" w:hAnsi="Inter" w:eastAsia="Inter" w:cs="Inter"/>
          <w:b/>
          <w:i w:val="0"/>
          <w:color w:val="0B1437"/>
          <w:sz w:val="32"/>
        </w:rPr>
        <w:t>11.1 Primary Entities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Entity</w:t>
            </w:r>
          </w:p>
        </w:tc>
        <w:tc>
          <w:tcPr>
            <w:tcW w:type="dxa" w:w="172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Ownership</w:t>
            </w:r>
          </w:p>
        </w:tc>
        <w:tc>
          <w:tcPr>
            <w:tcW w:type="dxa" w:w="460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Key Attributes</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Sensitivity</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Cycle</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cycle_id, tenant_id, type, start, end, stages</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Goal</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goal_id, owner_id, title, metric, target, status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review_id, cycle_id, employee_id, manager_id, score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Rating Input</w:t>
            </w:r>
          </w:p>
        </w:tc>
        <w:tc>
          <w:tcPr>
            <w:tcW w:type="dxa" w:w="172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input_id, review_id, source (self/mgr/peer/client), score</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Calibration Entry</w:t>
            </w:r>
          </w:p>
        </w:tc>
        <w:tc>
          <w:tcPr>
            <w:tcW w:type="dxa" w:w="172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Owned</w:t>
            </w:r>
          </w:p>
        </w:tc>
        <w:tc>
          <w:tcPr>
            <w:tcW w:type="dxa" w:w="460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entry_id, cycle_id, from, to, reason</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Confidential</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11.2 Reference / Master Data</w:t>
      </w:r>
    </w:p>
    <w:p>
      <w:pPr>
        <w:pStyle w:val="ListBullet"/>
        <w:spacing w:after="60"/>
        <w:ind w:left="360"/>
      </w:pPr>
      <w:r>
        <w:rPr>
          <w:rFonts w:ascii="Inter" w:hAnsi="Inter" w:eastAsia="Inter" w:cs="Inter"/>
          <w:b w:val="0"/>
          <w:i w:val="0"/>
          <w:color w:val="2B2F3A"/>
          <w:sz w:val="22"/>
        </w:rPr>
        <w:t>Tenant and organisation registry (shared).</w:t>
      </w:r>
    </w:p>
    <w:p>
      <w:pPr>
        <w:pStyle w:val="ListBullet"/>
        <w:spacing w:after="60"/>
        <w:ind w:left="360"/>
      </w:pPr>
      <w:r>
        <w:rPr>
          <w:rFonts w:ascii="Inter" w:hAnsi="Inter" w:eastAsia="Inter" w:cs="Inter"/>
          <w:b w:val="0"/>
          <w:i w:val="0"/>
          <w:color w:val="2B2F3A"/>
          <w:sz w:val="22"/>
        </w:rPr>
        <w:t>Department, job title, grade, cost centre (tenant-scoped).</w:t>
      </w:r>
    </w:p>
    <w:p>
      <w:pPr>
        <w:pStyle w:val="ListBullet"/>
        <w:spacing w:after="60"/>
        <w:ind w:left="360"/>
      </w:pPr>
      <w:r>
        <w:rPr>
          <w:rFonts w:ascii="Inter" w:hAnsi="Inter" w:eastAsia="Inter" w:cs="Inter"/>
          <w:b w:val="0"/>
          <w:i w:val="0"/>
          <w:color w:val="2B2F3A"/>
          <w:sz w:val="22"/>
        </w:rPr>
        <w:t>Egyptian public holiday calendar.</w:t>
      </w:r>
    </w:p>
    <w:p>
      <w:pPr>
        <w:pStyle w:val="ListBullet"/>
        <w:spacing w:after="60"/>
        <w:ind w:left="360"/>
      </w:pPr>
      <w:r>
        <w:rPr>
          <w:rFonts w:ascii="Inter" w:hAnsi="Inter" w:eastAsia="Inter" w:cs="Inter"/>
          <w:b w:val="0"/>
          <w:i w:val="0"/>
          <w:color w:val="2B2F3A"/>
          <w:sz w:val="22"/>
        </w:rPr>
        <w:t>Tax brackets and SI ceilings (version-controlled, effective-dated).</w:t>
      </w:r>
    </w:p>
    <w:p>
      <w:pPr>
        <w:pStyle w:val="ListBullet"/>
        <w:spacing w:after="60"/>
        <w:ind w:left="360"/>
      </w:pPr>
      <w:r>
        <w:rPr>
          <w:rFonts w:ascii="Inter" w:hAnsi="Inter" w:eastAsia="Inter" w:cs="Inter"/>
          <w:b w:val="0"/>
          <w:i w:val="0"/>
          <w:color w:val="2B2F3A"/>
          <w:sz w:val="22"/>
        </w:rPr>
        <w:t>Document types and expiry rules.</w:t>
      </w:r>
    </w:p>
    <w:p>
      <w:pPr>
        <w:spacing w:before="280" w:after="120"/>
      </w:pPr>
      <w:r>
        <w:rPr>
          <w:rFonts w:ascii="Inter" w:hAnsi="Inter" w:eastAsia="Inter" w:cs="Inter"/>
          <w:b/>
          <w:i w:val="0"/>
          <w:color w:val="0B1437"/>
          <w:sz w:val="32"/>
        </w:rPr>
        <w:t>11.3 Data Quality Rules</w:t>
      </w:r>
    </w:p>
    <w:p>
      <w:pPr>
        <w:pStyle w:val="ListBullet"/>
        <w:spacing w:after="60"/>
        <w:ind w:left="360"/>
      </w:pPr>
      <w:r>
        <w:rPr>
          <w:rFonts w:ascii="Inter" w:hAnsi="Inter" w:eastAsia="Inter" w:cs="Inter"/>
          <w:b w:val="0"/>
          <w:i w:val="0"/>
          <w:color w:val="2B2F3A"/>
          <w:sz w:val="22"/>
        </w:rPr>
        <w:t>Mandatory fields must be non-null before record submission.</w:t>
      </w:r>
    </w:p>
    <w:p>
      <w:pPr>
        <w:pStyle w:val="ListBullet"/>
        <w:spacing w:after="60"/>
        <w:ind w:left="360"/>
      </w:pPr>
      <w:r>
        <w:rPr>
          <w:rFonts w:ascii="Inter" w:hAnsi="Inter" w:eastAsia="Inter" w:cs="Inter"/>
          <w:b w:val="0"/>
          <w:i w:val="0"/>
          <w:color w:val="2B2F3A"/>
          <w:sz w:val="22"/>
        </w:rPr>
        <w:t>Unique constraints enforced at the database layer, not only at the application layer.</w:t>
      </w:r>
    </w:p>
    <w:p>
      <w:pPr>
        <w:pStyle w:val="ListBullet"/>
        <w:spacing w:after="60"/>
        <w:ind w:left="360"/>
      </w:pPr>
      <w:r>
        <w:rPr>
          <w:rFonts w:ascii="Inter" w:hAnsi="Inter" w:eastAsia="Inter" w:cs="Inter"/>
          <w:b w:val="0"/>
          <w:i w:val="0"/>
          <w:color w:val="2B2F3A"/>
          <w:sz w:val="22"/>
        </w:rPr>
        <w:t>All records carry created_by, created_at, updated_by, updated_at and tenant_id columns.</w:t>
      </w:r>
    </w:p>
    <w:p>
      <w:pPr>
        <w:pStyle w:val="ListBullet"/>
        <w:spacing w:after="60"/>
        <w:ind w:left="360"/>
      </w:pPr>
      <w:r>
        <w:rPr>
          <w:rFonts w:ascii="Inter" w:hAnsi="Inter" w:eastAsia="Inter" w:cs="Inter"/>
          <w:b w:val="0"/>
          <w:i w:val="0"/>
          <w:color w:val="2B2F3A"/>
          <w:sz w:val="22"/>
        </w:rPr>
        <w:t>Soft-delete preferred over hard-delete; hard-delete only permitted via PDPL DSR workflow.</w:t>
      </w:r>
    </w:p>
    <w:p>
      <w:pPr>
        <w:pStyle w:val="ListBullet"/>
        <w:spacing w:after="60"/>
        <w:ind w:left="360"/>
      </w:pPr>
      <w:r>
        <w:rPr>
          <w:rFonts w:ascii="Inter" w:hAnsi="Inter" w:eastAsia="Inter" w:cs="Inter"/>
          <w:b w:val="0"/>
          <w:i w:val="0"/>
          <w:color w:val="2B2F3A"/>
          <w:sz w:val="22"/>
        </w:rPr>
        <w:t>Bilingual fields must accept Arabic and English; at least one language is mandatory.</w:t>
      </w:r>
    </w:p>
    <w:p>
      <w:pPr>
        <w:spacing w:before="280" w:after="120"/>
      </w:pPr>
      <w:r>
        <w:rPr>
          <w:rFonts w:ascii="Inter" w:hAnsi="Inter" w:eastAsia="Inter" w:cs="Inter"/>
          <w:b/>
          <w:i w:val="0"/>
          <w:color w:val="0B1437"/>
          <w:sz w:val="32"/>
        </w:rPr>
        <w:t>11.4 Data Retention</w:t>
      </w:r>
    </w:p>
    <w:tbl>
      <w:tblPr>
        <w:tblW w:type="auto" w:w="0"/>
        <w:jc w:val="center"/>
        <w:tblLayout w:type="fixed"/>
        <w:tblLook w:firstColumn="1" w:firstRow="1" w:lastColumn="0" w:lastRow="0" w:noHBand="0" w:noVBand="1" w:val="04A0"/>
      </w:tblPr>
      <w:tblGrid>
        <w:gridCol w:w="3216"/>
        <w:gridCol w:w="3216"/>
        <w:gridCol w:w="3216"/>
      </w:tblGrid>
      <w:tr>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Data Class</w:t>
            </w:r>
          </w:p>
        </w:tc>
        <w:tc>
          <w:tcPr>
            <w:tcW w:type="dxa" w:w="360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Retention</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Basis</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Active employee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Duration of employment + 7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records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PIT Law 91/2005</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Social insurance records</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SI Law 148/2019</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7 years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r>
      <w:tr>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Candidate records (rejected)</w:t>
            </w:r>
          </w:p>
        </w:tc>
        <w:tc>
          <w:tcPr>
            <w:tcW w:type="dxa" w:w="360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24 months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&amp; candidate consent</w:t>
            </w:r>
          </w:p>
        </w:tc>
      </w:tr>
      <w:tr>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System telemetry / logs</w:t>
            </w:r>
          </w:p>
        </w:tc>
        <w:tc>
          <w:tcPr>
            <w:tcW w:type="dxa" w:w="360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13 months</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Operational</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12. Integration Requirements</w:t>
      </w:r>
    </w:p>
    <w:p>
      <w:pPr>
        <w:spacing w:after="120" w:before="0" w:line="324" w:lineRule="auto"/>
      </w:pPr>
      <w:r>
        <w:rPr>
          <w:rFonts w:ascii="Inter" w:hAnsi="Inter" w:eastAsia="Inter" w:cs="Inter"/>
          <w:b w:val="0"/>
          <w:i w:val="0"/>
          <w:sz w:val="21"/>
        </w:rPr>
        <w:t>Integration points show where this module sends or receives data from other Praxion modules, internal services, or external systems. Contracts are defined by event schemas on the Kafka bus for async flows and OpenAPI specs for synchronous calls.</w:t>
      </w:r>
    </w:p>
    <w:p>
      <w:pPr>
        <w:spacing w:before="280" w:after="120"/>
      </w:pPr>
      <w:r>
        <w:rPr>
          <w:rFonts w:ascii="Inter" w:hAnsi="Inter" w:eastAsia="Inter" w:cs="Inter"/>
          <w:b/>
          <w:i w:val="0"/>
          <w:color w:val="0B1437"/>
          <w:sz w:val="32"/>
        </w:rPr>
        <w:t>12.1 Internal Integrations (Praxion-to-Praxion)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Partner Module</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HRIS (M1)</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Employee and reporting lines</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Portal (M12)</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ratings</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Payroll (M6)</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Merit and bonus recommendations</w:t>
            </w:r>
          </w:p>
        </w:tc>
      </w:tr>
      <w:tr>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LMS (M5)</w:t>
            </w:r>
          </w:p>
        </w:tc>
        <w:tc>
          <w:tcPr>
            <w:tcW w:type="dxa" w:w="144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Development plans</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Analytics (M9)</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CDC</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Performance distributions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12.2 External Integrations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External System</w:t>
            </w:r>
          </w:p>
        </w:tc>
        <w:tc>
          <w:tcPr>
            <w:tcW w:type="dxa" w:w="144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Direction</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Transport</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r>
      <w:tr>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 SMS</w:t>
            </w:r>
          </w:p>
        </w:tc>
        <w:tc>
          <w:tcPr>
            <w:tcW w:type="dxa" w:w="144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Gateway</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12.3 Integration Principles</w:t>
      </w:r>
    </w:p>
    <w:p>
      <w:pPr>
        <w:pStyle w:val="ListBullet"/>
        <w:spacing w:after="60"/>
        <w:ind w:left="360"/>
      </w:pPr>
      <w:r>
        <w:rPr>
          <w:rFonts w:ascii="Inter" w:hAnsi="Inter" w:eastAsia="Inter" w:cs="Inter"/>
          <w:b w:val="0"/>
          <w:i w:val="0"/>
          <w:color w:val="2B2F3A"/>
          <w:sz w:val="22"/>
        </w:rPr>
        <w:t>Events first: prefer Kafka events with tenant_id headers for loose coupling.</w:t>
      </w:r>
    </w:p>
    <w:p>
      <w:pPr>
        <w:pStyle w:val="ListBullet"/>
        <w:spacing w:after="60"/>
        <w:ind w:left="360"/>
      </w:pPr>
      <w:r>
        <w:rPr>
          <w:rFonts w:ascii="Inter" w:hAnsi="Inter" w:eastAsia="Inter" w:cs="Inter"/>
          <w:b w:val="0"/>
          <w:i w:val="0"/>
          <w:color w:val="2B2F3A"/>
          <w:sz w:val="22"/>
        </w:rPr>
        <w:t>Idempotent consumers: all event handlers must be idempotent to tolerate retries.</w:t>
      </w:r>
    </w:p>
    <w:p>
      <w:pPr>
        <w:pStyle w:val="ListBullet"/>
        <w:spacing w:after="60"/>
        <w:ind w:left="360"/>
      </w:pPr>
      <w:r>
        <w:rPr>
          <w:rFonts w:ascii="Inter" w:hAnsi="Inter" w:eastAsia="Inter" w:cs="Inter"/>
          <w:b w:val="0"/>
          <w:i w:val="0"/>
          <w:color w:val="2B2F3A"/>
          <w:sz w:val="22"/>
        </w:rPr>
        <w:t>Schema evolution: backward-compatible only; breaking changes require versioned topics.</w:t>
      </w:r>
    </w:p>
    <w:p>
      <w:pPr>
        <w:pStyle w:val="ListBullet"/>
        <w:spacing w:after="60"/>
        <w:ind w:left="360"/>
      </w:pPr>
      <w:r>
        <w:rPr>
          <w:rFonts w:ascii="Inter" w:hAnsi="Inter" w:eastAsia="Inter" w:cs="Inter"/>
          <w:b w:val="0"/>
          <w:i w:val="0"/>
          <w:color w:val="2B2F3A"/>
          <w:sz w:val="22"/>
        </w:rPr>
        <w:t>Contract tests in CI between producers and consumers to catch drift early.</w:t>
      </w:r>
    </w:p>
    <w:p>
      <w:pPr>
        <w:pStyle w:val="ListBullet"/>
        <w:spacing w:after="60"/>
        <w:ind w:left="360"/>
      </w:pPr>
      <w:r>
        <w:rPr>
          <w:rFonts w:ascii="Inter" w:hAnsi="Inter" w:eastAsia="Inter" w:cs="Inter"/>
          <w:b w:val="0"/>
          <w:i w:val="0"/>
          <w:color w:val="2B2F3A"/>
          <w:sz w:val="22"/>
        </w:rPr>
        <w:t>External calls run through an outbound gateway with circuit breakers and retries with exponential backoff.</w:t>
      </w:r>
    </w:p>
    <w:p>
      <w:pPr>
        <w:pStyle w:val="ListBullet"/>
        <w:spacing w:after="60"/>
        <w:ind w:left="360"/>
      </w:pPr>
      <w:r>
        <w:rPr>
          <w:rFonts w:ascii="Inter" w:hAnsi="Inter" w:eastAsia="Inter" w:cs="Inter"/>
          <w:b w:val="0"/>
          <w:i w:val="0"/>
          <w:color w:val="2B2F3A"/>
          <w:sz w:val="22"/>
        </w:rPr>
        <w:t>All external traffic is TLS 1.2+ with certificate pinning for regulator endpoints.</w:t>
      </w:r>
    </w:p>
    <w:p>
      <w:r>
        <w:br w:type="page"/>
      </w:r>
    </w:p>
    <w:p>
      <w:pPr>
        <w:spacing w:before="360" w:after="200"/>
        <w:pBdr>
          <w:bottom w:val="single" w:sz="18" w:space="1" w:color="2F6BFF"/>
        </w:pBdr>
      </w:pPr>
      <w:r>
        <w:rPr>
          <w:rFonts w:ascii="Inter" w:hAnsi="Inter" w:eastAsia="Inter" w:cs="Inter"/>
          <w:b/>
          <w:i w:val="0"/>
          <w:color w:val="0B1437"/>
          <w:sz w:val="44"/>
        </w:rPr>
        <w:t>13. Compliance and Regulatory Mapping</w:t>
      </w:r>
    </w:p>
    <w:p>
      <w:pPr>
        <w:spacing w:after="120" w:before="0" w:line="324" w:lineRule="auto"/>
      </w:pPr>
      <w:r>
        <w:rPr>
          <w:rFonts w:ascii="Inter" w:hAnsi="Inter" w:eastAsia="Inter" w:cs="Inter"/>
          <w:b w:val="0"/>
          <w:i w:val="0"/>
          <w:sz w:val="21"/>
        </w:rPr>
        <w:t>Every Praxion module must evidence alignment to Egyptian statutory law and to the platform privacy posture under PDPL. The table below maps key regulatory obligations to the module features and artefacts that satisfy them.</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Regulation / Standard</w:t>
            </w:r>
          </w:p>
        </w:tc>
        <w:tc>
          <w:tcPr>
            <w:tcW w:type="dxa" w:w="331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Obligation</w:t>
            </w:r>
          </w:p>
        </w:tc>
        <w:tc>
          <w:tcPr>
            <w:tcW w:type="dxa" w:w="44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How This Module Complies</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Labor Law 12/2003</w:t>
            </w:r>
          </w:p>
        </w:tc>
        <w:tc>
          <w:tcPr>
            <w:tcW w:type="dxa" w:w="331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Fair process</w:t>
            </w:r>
          </w:p>
        </w:tc>
        <w:tc>
          <w:tcPr>
            <w:tcW w:type="dxa" w:w="44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Transparent cycles with acknowledgement and dispute.</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PDPL 151/2020</w:t>
            </w:r>
          </w:p>
        </w:tc>
        <w:tc>
          <w:tcPr>
            <w:tcW w:type="dxa" w:w="331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Sensitive data</w:t>
            </w:r>
          </w:p>
        </w:tc>
        <w:tc>
          <w:tcPr>
            <w:tcW w:type="dxa" w:w="44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Review data restricted to authorised roles; retention policy.</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13.1 PDPL Data Subject Rights (DSR) Checklist</w:t>
      </w:r>
    </w:p>
    <w:tbl>
      <w:tblPr>
        <w:tblW w:type="auto" w:w="0"/>
        <w:jc w:val="center"/>
        <w:tblLayout w:type="fixed"/>
        <w:tblLook w:firstColumn="1" w:firstRow="1" w:lastColumn="0" w:lastRow="0" w:noHBand="0" w:noVBand="1" w:val="04A0"/>
      </w:tblPr>
      <w:tblGrid>
        <w:gridCol w:w="4824"/>
        <w:gridCol w:w="4824"/>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Right</w:t>
            </w:r>
          </w:p>
        </w:tc>
        <w:tc>
          <w:tcPr>
            <w:tcW w:type="dxa" w:w="70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Implementation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Access</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download their data via self-service export.</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Rectification</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correction; tracked with approval chain.</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Erasure</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request erasure; subject to legal retention overrides.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Restrict</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Processing can be paused for a record under dispute.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Object</w:t>
            </w:r>
          </w:p>
        </w:tc>
        <w:tc>
          <w:tcPr>
            <w:tcW w:type="dxa" w:w="70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Subject can object to specific processing purposes.</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Right to Portability</w:t>
            </w:r>
          </w:p>
        </w:tc>
        <w:tc>
          <w:tcPr>
            <w:tcW w:type="dxa" w:w="70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Structured export in JSON or CSV on request.</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14. UAT Scenarios</w:t>
      </w:r>
    </w:p>
    <w:p>
      <w:pPr>
        <w:spacing w:after="120" w:before="0" w:line="324" w:lineRule="auto"/>
      </w:pPr>
      <w:r>
        <w:rPr>
          <w:rFonts w:ascii="Inter" w:hAnsi="Inter" w:eastAsia="Inter" w:cs="Inter"/>
          <w:b w:val="0"/>
          <w:i w:val="0"/>
          <w:sz w:val="21"/>
        </w:rPr>
        <w:t>User Acceptance Test scenarios verify that the module meets business requirements from the perspective of real users. Each scenario maps back to a business rule and/or user story. Pass criteria must be met with zero critical defects for UAT sign-off.</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230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Scenario</w:t>
            </w:r>
          </w:p>
        </w:tc>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Given</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When / Then</w:t>
            </w:r>
          </w:p>
        </w:tc>
        <w:tc>
          <w:tcPr>
            <w:tcW w:type="dxa" w:w="86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Priority</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UAT-M4-001</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Goal set and approved</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Employee with manager</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approved, goal appears in dashboard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UAT-M4-002</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Self-assessment blocks manager review</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Self not submitted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manager opens review, system prompts to wait</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UAT-M4-003</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rating submission</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Outsourced employee assigned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submitted, rating stored</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UAT-M4-004</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Calibration adjustment</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Manager ratings captured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adjusted, audit trail captures reason</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P1</w:t>
            </w:r>
          </w:p>
        </w:tc>
      </w:tr>
      <w:tr>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UAT-M4-005</w:t>
            </w:r>
          </w:p>
        </w:tc>
        <w:tc>
          <w:tcPr>
            <w:tcW w:type="dxa" w:w="230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Employee acknowledges outcome</w:t>
            </w:r>
          </w:p>
        </w:tc>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Final rating set</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acknowledged, status closes</w:t>
            </w:r>
          </w:p>
        </w:tc>
        <w:tc>
          <w:tcPr>
            <w:tcW w:type="dxa" w:w="86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r>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UAT-M4-006</w:t>
            </w:r>
          </w:p>
        </w:tc>
        <w:tc>
          <w:tcPr>
            <w:tcW w:type="dxa" w:w="230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Dispute workflow</w:t>
            </w:r>
          </w:p>
        </w:tc>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Final rating set</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When disputed, HR receives case</w:t>
            </w:r>
          </w:p>
        </w:tc>
        <w:tc>
          <w:tcPr>
            <w:tcW w:type="dxa" w:w="86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P2</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14.1 UAT Entry and Exit Criteria</w:t>
      </w:r>
    </w:p>
    <w:p>
      <w:pPr>
        <w:spacing w:after="120" w:before="0" w:line="324" w:lineRule="auto"/>
      </w:pPr>
      <w:r>
        <w:rPr>
          <w:rFonts w:ascii="Inter" w:hAnsi="Inter" w:eastAsia="Inter" w:cs="Inter"/>
          <w:b/>
          <w:i w:val="0"/>
          <w:sz w:val="22"/>
        </w:rPr>
        <w:t>Entry Criteria</w:t>
      </w:r>
    </w:p>
    <w:p>
      <w:pPr>
        <w:pStyle w:val="ListBullet"/>
        <w:spacing w:after="60"/>
        <w:ind w:left="360"/>
      </w:pPr>
      <w:r>
        <w:rPr>
          <w:rFonts w:ascii="Inter" w:hAnsi="Inter" w:eastAsia="Inter" w:cs="Inter"/>
          <w:b w:val="0"/>
          <w:i w:val="0"/>
          <w:color w:val="2B2F3A"/>
          <w:sz w:val="22"/>
        </w:rPr>
        <w:t>All in-scope functional requirements implemented and unit-tested.</w:t>
      </w:r>
    </w:p>
    <w:p>
      <w:pPr>
        <w:pStyle w:val="ListBullet"/>
        <w:spacing w:after="60"/>
        <w:ind w:left="360"/>
      </w:pPr>
      <w:r>
        <w:rPr>
          <w:rFonts w:ascii="Inter" w:hAnsi="Inter" w:eastAsia="Inter" w:cs="Inter"/>
          <w:b w:val="0"/>
          <w:i w:val="0"/>
          <w:color w:val="2B2F3A"/>
          <w:sz w:val="22"/>
        </w:rPr>
        <w:t>QA regression pass ≥ 95% on the latest build.</w:t>
      </w:r>
    </w:p>
    <w:p>
      <w:pPr>
        <w:pStyle w:val="ListBullet"/>
        <w:spacing w:after="60"/>
        <w:ind w:left="360"/>
      </w:pPr>
      <w:r>
        <w:rPr>
          <w:rFonts w:ascii="Inter" w:hAnsi="Inter" w:eastAsia="Inter" w:cs="Inter"/>
          <w:b w:val="0"/>
          <w:i w:val="0"/>
          <w:color w:val="2B2F3A"/>
          <w:sz w:val="22"/>
        </w:rPr>
        <w:t>UAT environment refreshed with sanitised production-like data.</w:t>
      </w:r>
    </w:p>
    <w:p>
      <w:pPr>
        <w:pStyle w:val="ListBullet"/>
        <w:spacing w:after="60"/>
        <w:ind w:left="360"/>
      </w:pPr>
      <w:r>
        <w:rPr>
          <w:rFonts w:ascii="Inter" w:hAnsi="Inter" w:eastAsia="Inter" w:cs="Inter"/>
          <w:b w:val="0"/>
          <w:i w:val="0"/>
          <w:color w:val="2B2F3A"/>
          <w:sz w:val="22"/>
        </w:rPr>
        <w:t>Training delivered to UAT testers; access provisioned per role.</w:t>
      </w:r>
    </w:p>
    <w:p>
      <w:pPr>
        <w:pStyle w:val="ListBullet"/>
        <w:spacing w:after="60"/>
        <w:ind w:left="360"/>
      </w:pPr>
      <w:r>
        <w:rPr>
          <w:rFonts w:ascii="Inter" w:hAnsi="Inter" w:eastAsia="Inter" w:cs="Inter"/>
          <w:b w:val="0"/>
          <w:i w:val="0"/>
          <w:color w:val="2B2F3A"/>
          <w:sz w:val="22"/>
        </w:rPr>
        <w:t>Defect tracker prepared and triage rules agreed.</w:t>
      </w:r>
    </w:p>
    <w:p>
      <w:pPr>
        <w:spacing w:after="120" w:before="0" w:line="324" w:lineRule="auto"/>
      </w:pPr>
      <w:r>
        <w:rPr>
          <w:rFonts w:ascii="Inter" w:hAnsi="Inter" w:eastAsia="Inter" w:cs="Inter"/>
          <w:b/>
          <w:i w:val="0"/>
          <w:sz w:val="22"/>
        </w:rPr>
        <w:t>Exit Criteria</w:t>
      </w:r>
    </w:p>
    <w:p>
      <w:pPr>
        <w:pStyle w:val="ListBullet"/>
        <w:spacing w:after="60"/>
        <w:ind w:left="360"/>
      </w:pPr>
      <w:r>
        <w:rPr>
          <w:rFonts w:ascii="Inter" w:hAnsi="Inter" w:eastAsia="Inter" w:cs="Inter"/>
          <w:b w:val="0"/>
          <w:i w:val="0"/>
          <w:color w:val="2B2F3A"/>
          <w:sz w:val="22"/>
        </w:rPr>
        <w:t>Zero open critical (P1) defects; ≤ 5 open medium (P3) defects with workarounds.</w:t>
      </w:r>
    </w:p>
    <w:p>
      <w:pPr>
        <w:pStyle w:val="ListBullet"/>
        <w:spacing w:after="60"/>
        <w:ind w:left="360"/>
      </w:pPr>
      <w:r>
        <w:rPr>
          <w:rFonts w:ascii="Inter" w:hAnsi="Inter" w:eastAsia="Inter" w:cs="Inter"/>
          <w:b w:val="0"/>
          <w:i w:val="0"/>
          <w:color w:val="2B2F3A"/>
          <w:sz w:val="22"/>
        </w:rPr>
        <w:t>All UAT scenarios executed with ≥ 95% pass rate.</w:t>
      </w:r>
    </w:p>
    <w:p>
      <w:pPr>
        <w:pStyle w:val="ListBullet"/>
        <w:spacing w:after="60"/>
        <w:ind w:left="360"/>
      </w:pPr>
      <w:r>
        <w:rPr>
          <w:rFonts w:ascii="Inter" w:hAnsi="Inter" w:eastAsia="Inter" w:cs="Inter"/>
          <w:b w:val="0"/>
          <w:i w:val="0"/>
          <w:color w:val="2B2F3A"/>
          <w:sz w:val="22"/>
        </w:rPr>
        <w:t>Business sponsor sign-off obtained in writing.</w:t>
      </w:r>
    </w:p>
    <w:p>
      <w:pPr>
        <w:pStyle w:val="ListBullet"/>
        <w:spacing w:after="60"/>
        <w:ind w:left="360"/>
      </w:pPr>
      <w:r>
        <w:rPr>
          <w:rFonts w:ascii="Inter" w:hAnsi="Inter" w:eastAsia="Inter" w:cs="Inter"/>
          <w:b w:val="0"/>
          <w:i w:val="0"/>
          <w:color w:val="2B2F3A"/>
          <w:sz w:val="22"/>
        </w:rPr>
        <w:t>Production readiness review completed and approved.</w:t>
      </w:r>
    </w:p>
    <w:p>
      <w:pPr>
        <w:pStyle w:val="ListBullet"/>
        <w:spacing w:after="60"/>
        <w:ind w:left="360"/>
      </w:pPr>
      <w:r>
        <w:rPr>
          <w:rFonts w:ascii="Inter" w:hAnsi="Inter" w:eastAsia="Inter" w:cs="Inter"/>
          <w:b w:val="0"/>
          <w:i w:val="0"/>
          <w:color w:val="2B2F3A"/>
          <w:sz w:val="22"/>
        </w:rPr>
        <w:t>Operational runbooks and on-call rota in place.</w:t>
      </w:r>
    </w:p>
    <w:p>
      <w:r>
        <w:br w:type="page"/>
      </w:r>
    </w:p>
    <w:p>
      <w:pPr>
        <w:spacing w:before="360" w:after="200"/>
        <w:pBdr>
          <w:bottom w:val="single" w:sz="18" w:space="1" w:color="2F6BFF"/>
        </w:pBdr>
      </w:pPr>
      <w:r>
        <w:rPr>
          <w:rFonts w:ascii="Inter" w:hAnsi="Inter" w:eastAsia="Inter" w:cs="Inter"/>
          <w:b/>
          <w:i w:val="0"/>
          <w:color w:val="0B1437"/>
          <w:sz w:val="44"/>
        </w:rPr>
        <w:t>15. Dependencies</w:t>
      </w:r>
    </w:p>
    <w:p>
      <w:pPr>
        <w:spacing w:after="120" w:before="0" w:line="324" w:lineRule="auto"/>
      </w:pPr>
      <w:r>
        <w:rPr>
          <w:rFonts w:ascii="Inter" w:hAnsi="Inter" w:eastAsia="Inter" w:cs="Inter"/>
          <w:b w:val="0"/>
          <w:i w:val="0"/>
          <w:sz w:val="21"/>
        </w:rPr>
        <w:t>Dependencies capture everything this module relies on outside its own scope. A miss on any of these dependencies directly threatens go-live.</w:t>
      </w:r>
    </w:p>
    <w:p>
      <w:pPr>
        <w:spacing w:before="280" w:after="120"/>
      </w:pPr>
      <w:r>
        <w:rPr>
          <w:rFonts w:ascii="Inter" w:hAnsi="Inter" w:eastAsia="Inter" w:cs="Inter"/>
          <w:b/>
          <w:i w:val="0"/>
          <w:color w:val="0B1437"/>
          <w:sz w:val="32"/>
        </w:rPr>
        <w:t>15.1 Platform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Type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Required By</w:t>
            </w:r>
          </w:p>
        </w:tc>
        <w:tc>
          <w:tcPr>
            <w:tcW w:type="dxa" w:w="417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Notes</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Multi-tenant Identity (Auth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 (M1/M10)</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SSO, MFA, RBAC foundation</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Row-Level Security enablement</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Blocks any tenant-scoped feature</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Notification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Email, SMS, in-app, push</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Storage service (S3, per-tenant prefix)</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Documents, attachments, media</w:t>
            </w:r>
          </w:p>
        </w:tc>
      </w:tr>
      <w:tr>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Audit logging service</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Immutable audit trail</w:t>
            </w:r>
          </w:p>
        </w:tc>
      </w:tr>
      <w:tr>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Event bus (Kafka) with tenant headers</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Internal</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Phase 1</w:t>
            </w:r>
          </w:p>
        </w:tc>
        <w:tc>
          <w:tcPr>
            <w:tcW w:type="dxa" w:w="417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Inter-module events</w:t>
            </w:r>
          </w:p>
        </w:tc>
      </w:tr>
    </w:tbl>
    <w:p>
      <w:pPr>
        <w:spacing w:after="80" w:before="0" w:line="324" w:lineRule="auto"/>
      </w:pPr>
      <w:r>
        <w:rPr>
          <w:rFonts w:ascii="Inter" w:hAnsi="Inter" w:eastAsia="Inter" w:cs="Inter"/>
          <w:b w:val="0"/>
          <w:i w:val="0"/>
          <w:sz w:val="22"/>
        </w:rPr>
      </w:r>
    </w:p>
    <w:p>
      <w:pPr>
        <w:spacing w:before="280" w:after="120"/>
      </w:pPr>
      <w:r>
        <w:rPr>
          <w:rFonts w:ascii="Inter" w:hAnsi="Inter" w:eastAsia="Inter" w:cs="Inter"/>
          <w:b/>
          <w:i w:val="0"/>
          <w:color w:val="0B1437"/>
          <w:sz w:val="32"/>
        </w:rPr>
        <w:t>15.2 External Dependencies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Dependency</w:t>
            </w:r>
          </w:p>
        </w:tc>
        <w:tc>
          <w:tcPr>
            <w:tcW w:type="dxa" w:w="201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Provider</w:t>
            </w:r>
          </w:p>
        </w:tc>
        <w:tc>
          <w:tcPr>
            <w:tcW w:type="dxa" w:w="302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Purpose</w:t>
            </w:r>
          </w:p>
        </w:tc>
        <w:tc>
          <w:tcPr>
            <w:tcW w:type="dxa" w:w="2160"/>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Status</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Tax Authority e-invoice portal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ETA</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Client invoicing (M13)</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Integration required</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 filing endpoints</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NOSI</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Monthly SI forms (M6)</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API/SFTP</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Bank file formats for payroll</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Egyptian banks</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Salary disbursement</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Per-bank template</w:t>
            </w:r>
          </w:p>
        </w:tc>
      </w:tr>
      <w:tr>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e-Signature provider</w:t>
            </w:r>
          </w:p>
        </w:tc>
        <w:tc>
          <w:tcPr>
            <w:tcW w:type="dxa" w:w="201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 (DocuSign or local)</w:t>
            </w:r>
          </w:p>
        </w:tc>
        <w:tc>
          <w:tcPr>
            <w:tcW w:type="dxa" w:w="302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Offers, contracts, onboarding</w:t>
            </w:r>
          </w:p>
        </w:tc>
        <w:tc>
          <w:tcPr>
            <w:tcW w:type="dxa" w:w="2160"/>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r>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SMS gateway (Egypt)</w:t>
            </w:r>
          </w:p>
        </w:tc>
        <w:tc>
          <w:tcPr>
            <w:tcW w:type="dxa" w:w="201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TBD</w:t>
            </w:r>
          </w:p>
        </w:tc>
        <w:tc>
          <w:tcPr>
            <w:tcW w:type="dxa" w:w="302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OTP, notifications</w:t>
            </w:r>
          </w:p>
        </w:tc>
        <w:tc>
          <w:tcPr>
            <w:tcW w:type="dxa" w:w="2160"/>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Procurement open</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16. Risks and Mitigations</w:t>
      </w:r>
    </w:p>
    <w:p>
      <w:pPr>
        <w:spacing w:after="120" w:before="0" w:line="324" w:lineRule="auto"/>
      </w:pPr>
      <w:r>
        <w:rPr>
          <w:rFonts w:ascii="Inter" w:hAnsi="Inter" w:eastAsia="Inter" w:cs="Inter"/>
          <w:b w:val="0"/>
          <w:i w:val="0"/>
          <w:sz w:val="21"/>
        </w:rPr>
        <w:t>Risks are tracked in the Praxion risk register and reviewed weekly by the steering committee. The risks below are those most directly relevant to this module.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ID</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Risk</w:t>
            </w:r>
          </w:p>
        </w:tc>
        <w:tc>
          <w:tcPr>
            <w:tcW w:type="dxa" w:w="115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Impact</w:t>
            </w:r>
          </w:p>
        </w:tc>
        <w:tc>
          <w:tcPr>
            <w:tcW w:type="dxa" w:w="129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Likelihood</w:t>
            </w:r>
          </w:p>
        </w:tc>
        <w:tc>
          <w:tcPr>
            <w:tcW w:type="dxa" w:w="316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Mitigation</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R-M4-01</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 client rating coverage leaves outsourced scores incomplete.</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Mandatory client rating as part of client portal engagement; reminders.</w:t>
            </w:r>
          </w:p>
        </w:tc>
      </w:tr>
      <w:tr>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R-M4-02</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Manager inconsistency inflates ratings.</w:t>
            </w:r>
          </w:p>
        </w:tc>
        <w:tc>
          <w:tcPr>
            <w:tcW w:type="dxa" w:w="115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High</w:t>
            </w:r>
          </w:p>
        </w:tc>
        <w:tc>
          <w:tcPr>
            <w:tcW w:type="dxa" w:w="129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Calibration tool; distribution constraints.</w:t>
            </w:r>
          </w:p>
        </w:tc>
      </w:tr>
      <w:tr>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R-M4-03</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Employee dispute volume overloads HR.</w:t>
            </w:r>
          </w:p>
        </w:tc>
        <w:tc>
          <w:tcPr>
            <w:tcW w:type="dxa" w:w="115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Low</w:t>
            </w:r>
          </w:p>
        </w:tc>
        <w:tc>
          <w:tcPr>
            <w:tcW w:type="dxa" w:w="129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Med</w:t>
            </w:r>
          </w:p>
        </w:tc>
        <w:tc>
          <w:tcPr>
            <w:tcW w:type="dxa" w:w="316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Clear dispute workflow with SLA; templates.</w:t>
            </w:r>
          </w:p>
        </w:tc>
      </w:tr>
    </w:tbl>
    <w:p>
      <w:pPr>
        <w:spacing w:after="80" w:before="0" w:line="324" w:lineRule="auto"/>
      </w:pPr>
      <w:r>
        <w:rPr>
          <w:rFonts w:ascii="Inter" w:hAnsi="Inter" w:eastAsia="Inter" w:cs="Inter"/>
          <w:b w:val="0"/>
          <w:i w:val="0"/>
          <w:sz w:val="22"/>
        </w:rPr>
      </w:r>
    </w:p>
    <w:p>
      <w:r>
        <w:br w:type="page"/>
      </w:r>
    </w:p>
    <w:p>
      <w:pPr>
        <w:spacing w:before="360" w:after="200"/>
        <w:pBdr>
          <w:bottom w:val="single" w:sz="18" w:space="1" w:color="2F6BFF"/>
        </w:pBdr>
      </w:pPr>
      <w:r>
        <w:rPr>
          <w:rFonts w:ascii="Inter" w:hAnsi="Inter" w:eastAsia="Inter" w:cs="Inter"/>
          <w:b/>
          <w:i w:val="0"/>
          <w:color w:val="0B1437"/>
          <w:sz w:val="44"/>
        </w:rPr>
        <w:t>17. Appendix</w:t>
      </w:r>
    </w:p>
    <w:p>
      <w:pPr>
        <w:spacing w:before="280" w:after="120"/>
      </w:pPr>
      <w:r>
        <w:rPr>
          <w:rFonts w:ascii="Inter" w:hAnsi="Inter" w:eastAsia="Inter" w:cs="Inter"/>
          <w:b/>
          <w:i w:val="0"/>
          <w:color w:val="0B1437"/>
          <w:sz w:val="32"/>
        </w:rPr>
        <w:t>17.1 Module Traceability Summary</w:t>
      </w:r>
    </w:p>
    <w:p>
      <w:pPr>
        <w:spacing w:after="120" w:before="0" w:line="324" w:lineRule="auto"/>
      </w:pPr>
      <w:r>
        <w:rPr>
          <w:rFonts w:ascii="Inter" w:hAnsi="Inter" w:eastAsia="Inter" w:cs="Inter"/>
          <w:b w:val="0"/>
          <w:i w:val="0"/>
          <w:sz w:val="21"/>
        </w:rPr>
        <w:t>Every Business Rule (BR) is traceable to at least one Functional Requirement (FR), User Story (US), and UAT scenario. The traceability matrix is maintained in the Praxion requirements-management tool and reviewed at each sprint close.</w:t>
      </w:r>
    </w:p>
    <w:p>
      <w:pPr>
        <w:spacing w:before="280" w:after="120"/>
      </w:pPr>
      <w:r>
        <w:rPr>
          <w:rFonts w:ascii="Inter" w:hAnsi="Inter" w:eastAsia="Inter" w:cs="Inter"/>
          <w:b/>
          <w:i w:val="0"/>
          <w:color w:val="0B1437"/>
          <w:sz w:val="32"/>
        </w:rPr>
        <w:t>17.2 Change Control</w:t>
      </w:r>
    </w:p>
    <w:p>
      <w:pPr>
        <w:spacing w:after="120" w:before="0" w:line="324" w:lineRule="auto"/>
      </w:pPr>
      <w:r>
        <w:rPr>
          <w:rFonts w:ascii="Inter" w:hAnsi="Inter" w:eastAsia="Inter" w:cs="Inter"/>
          <w:b w:val="0"/>
          <w:i w:val="0"/>
          <w:sz w:val="21"/>
        </w:rPr>
        <w:t>Any change to this BRD after v1.0 sign-off follows the Praxion Change Control process: (1) change request raised, (2) impact assessment by delivery lead, (3) review by change advisory board, (4) approval by business sponsor, (5) document update with incremented version. Changes to statutory or compliance requirements are always prioritised.</w:t>
      </w:r>
    </w:p>
    <w:p>
      <w:pPr>
        <w:spacing w:before="280" w:after="120"/>
      </w:pPr>
      <w:r>
        <w:rPr>
          <w:rFonts w:ascii="Inter" w:hAnsi="Inter" w:eastAsia="Inter" w:cs="Inter"/>
          <w:b/>
          <w:i w:val="0"/>
          <w:color w:val="0B1437"/>
          <w:sz w:val="32"/>
        </w:rPr>
        <w:t>17.3 Open Questions</w:t>
      </w:r>
    </w:p>
    <w:p>
      <w:pPr>
        <w:pStyle w:val="ListBullet"/>
        <w:spacing w:after="60"/>
        <w:ind w:left="360"/>
      </w:pPr>
      <w:r>
        <w:rPr>
          <w:rFonts w:ascii="Inter" w:hAnsi="Inter" w:eastAsia="Inter" w:cs="Inter"/>
          <w:b w:val="0"/>
          <w:i w:val="0"/>
          <w:color w:val="2B2F3A"/>
          <w:sz w:val="22"/>
        </w:rPr>
        <w:t>Final list of pilot client tenants and their target onboarding dates.</w:t>
      </w:r>
    </w:p>
    <w:p>
      <w:pPr>
        <w:pStyle w:val="ListBullet"/>
        <w:spacing w:after="60"/>
        <w:ind w:left="360"/>
      </w:pPr>
      <w:r>
        <w:rPr>
          <w:rFonts w:ascii="Inter" w:hAnsi="Inter" w:eastAsia="Inter" w:cs="Inter"/>
          <w:b w:val="0"/>
          <w:i w:val="0"/>
          <w:color w:val="2B2F3A"/>
          <w:sz w:val="22"/>
        </w:rPr>
        <w:t>Procurement decision on e-Signature provider and SMS gateway.</w:t>
      </w:r>
    </w:p>
    <w:p>
      <w:pPr>
        <w:pStyle w:val="ListBullet"/>
        <w:spacing w:after="60"/>
        <w:ind w:left="360"/>
      </w:pPr>
      <w:r>
        <w:rPr>
          <w:rFonts w:ascii="Inter" w:hAnsi="Inter" w:eastAsia="Inter" w:cs="Inter"/>
          <w:b w:val="0"/>
          <w:i w:val="0"/>
          <w:color w:val="2B2F3A"/>
          <w:sz w:val="22"/>
        </w:rPr>
        <w:t>Confirmation of preferred bank file formats across Egybell’s banking partners.</w:t>
      </w:r>
    </w:p>
    <w:p>
      <w:pPr>
        <w:pStyle w:val="ListBullet"/>
        <w:spacing w:after="60"/>
        <w:ind w:left="360"/>
      </w:pPr>
      <w:r>
        <w:rPr>
          <w:rFonts w:ascii="Inter" w:hAnsi="Inter" w:eastAsia="Inter" w:cs="Inter"/>
          <w:b w:val="0"/>
          <w:i w:val="0"/>
          <w:color w:val="2B2F3A"/>
          <w:sz w:val="22"/>
        </w:rPr>
        <w:t>Agreement on data sovereignty region for hosted infrastructure.</w:t>
      </w:r>
    </w:p>
    <w:p>
      <w:pPr>
        <w:pStyle w:val="ListBullet"/>
        <w:spacing w:after="60"/>
        <w:ind w:left="360"/>
      </w:pPr>
      <w:r>
        <w:rPr>
          <w:rFonts w:ascii="Inter" w:hAnsi="Inter" w:eastAsia="Inter" w:cs="Inter"/>
          <w:b w:val="0"/>
          <w:i w:val="0"/>
          <w:color w:val="2B2F3A"/>
          <w:sz w:val="22"/>
        </w:rPr>
        <w:t>Clarification of expected SLAs with client tenants and penalty framework.</w:t>
      </w:r>
    </w:p>
    <w:p>
      <w:pPr>
        <w:spacing w:before="280" w:after="120"/>
      </w:pPr>
      <w:r>
        <w:rPr>
          <w:rFonts w:ascii="Inter" w:hAnsi="Inter" w:eastAsia="Inter" w:cs="Inter"/>
          <w:b/>
          <w:i w:val="0"/>
          <w:color w:val="0B1437"/>
          <w:sz w:val="32"/>
        </w:rPr>
        <w:t>17.4 Sign-Off</w:t>
      </w:r>
    </w:p>
    <w:p>
      <w:pPr>
        <w:spacing w:after="120" w:before="0" w:line="324" w:lineRule="auto"/>
      </w:pPr>
      <w:r>
        <w:rPr>
          <w:rFonts w:ascii="Inter" w:hAnsi="Inter" w:eastAsia="Inter" w:cs="Inter"/>
          <w:b w:val="0"/>
          <w:i w:val="0"/>
          <w:sz w:val="21"/>
        </w:rPr>
        <w:t>By signing below, the named stakeholders confirm that the requirements in this document accurately reflect the business need for the Praxion Performance and KPIs module and authorise the Praxion delivery team to proceed to solution design and build.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Name</w:t>
            </w:r>
          </w:p>
        </w:tc>
        <w:tc>
          <w:tcPr>
            <w:tcW w:type="dxa" w:w="2592"/>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Role</w:t>
            </w:r>
          </w:p>
        </w:tc>
        <w:tc>
          <w:tcPr>
            <w:tcW w:type="dxa" w:w="1584"/>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Date</w:t>
            </w:r>
          </w:p>
        </w:tc>
        <w:tc>
          <w:tcPr>
            <w:tcW w:type="dxa" w:w="3456"/>
            <w:shd w:val="clear" w:color="auto" w:fill="0B1437"/>
            <w:tcBorders>
              <w:top w:val="single" w:sz="8" w:space="0" w:color="0B1437"/>
              <w:left w:val="single" w:sz="8" w:space="0" w:color="0B1437"/>
              <w:bottom w:val="single" w:sz="8" w:space="0" w:color="0B1437"/>
              <w:right w:val="single" w:sz="8" w:space="0" w:color="0B1437"/>
            </w:tcBorders>
            <w:vAlign w:val="center"/>
          </w:tcPr>
          <w:p>
            <w:pPr>
              <w:spacing w:after="40" w:before="40"/>
            </w:pPr>
            <w:r/>
            <w:r>
              <w:rPr>
                <w:rFonts w:ascii="Inter" w:hAnsi="Inter" w:eastAsia="Inter" w:cs="Inter"/>
                <w:b/>
                <w:i w:val="0"/>
                <w:color w:val="FFFFFF"/>
                <w:sz w:val="20"/>
              </w:rPr>
              <w:t>Signature</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Sabry</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Project Director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Egybell Executive</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Sponsor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HR Director</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Business Owner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Director</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Finance Owner</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IT / CIO</w:t>
            </w:r>
          </w:p>
        </w:tc>
        <w:tc>
          <w:tcPr>
            <w:tcW w:type="dxa" w:w="2592"/>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Technical Approver</w:t>
            </w:r>
          </w:p>
        </w:tc>
        <w:tc>
          <w:tcPr>
            <w:tcW w:type="dxa" w:w="1584"/>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EEF3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r>
        <w:tc>
          <w:tcPr>
            <w:tcW w:type="dxa" w:w="2448"/>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Delivery Lead</w:t>
            </w:r>
          </w:p>
        </w:tc>
        <w:tc>
          <w:tcPr>
            <w:tcW w:type="dxa" w:w="2592"/>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Praxion Delivery</w:t>
            </w:r>
          </w:p>
        </w:tc>
        <w:tc>
          <w:tcPr>
            <w:tcW w:type="dxa" w:w="1584"/>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w:t>
            </w:r>
          </w:p>
        </w:tc>
        <w:tc>
          <w:tcPr>
            <w:tcW w:type="dxa" w:w="3456"/>
            <w:shd w:val="clear" w:color="auto" w:fill="FFFFFF"/>
            <w:tcBorders>
              <w:top w:val="single" w:sz="4" w:space="0" w:color="E6EAF2"/>
              <w:left w:val="single" w:sz="4" w:space="0" w:color="E6EAF2"/>
              <w:bottom w:val="single" w:sz="4" w:space="0" w:color="E6EAF2"/>
              <w:right w:val="single" w:sz="4" w:space="0" w:color="E6EAF2"/>
            </w:tcBorders>
            <w:vAlign w:val="center"/>
          </w:tcPr>
          <w:p>
            <w:pPr>
              <w:spacing w:after="40" w:before="40"/>
            </w:pPr>
            <w:r/>
            <w:r>
              <w:rPr>
                <w:rFonts w:ascii="Inter" w:hAnsi="Inter" w:eastAsia="Inter" w:cs="Inter"/>
                <w:b w:val="0"/>
                <w:i w:val="0"/>
                <w:color w:val="2B2F3A"/>
                <w:sz w:val="19"/>
              </w:rPr>
              <w:t>__________________________</w:t>
            </w:r>
          </w:p>
        </w:tc>
      </w:tr>
    </w:tbl>
    <w:p>
      <w:pPr>
        <w:spacing w:after="80" w:before="0" w:line="324" w:lineRule="auto"/>
      </w:pPr>
      <w:r>
        <w:rPr>
          <w:rFonts w:ascii="Inter" w:hAnsi="Inter" w:eastAsia="Inter" w:cs="Inter"/>
          <w:b w:val="0"/>
          <w:i w:val="0"/>
          <w:sz w:val="22"/>
        </w:rP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eastAsia="Inter" w:cs="Inter"/>
        <w:b w:val="0"/>
        <w:i w:val="0"/>
        <w:color w:val="8892B0"/>
        <w:sz w:val="16"/>
      </w:rPr>
      <w:t>Confidential · © 2026 Egybell · Praxion HR Operating System</w:t>
    </w:r>
    <w:r>
      <w:tab/>
      <w:tab/>
    </w:r>
    <w:r>
      <w:rPr>
        <w:rFonts w:ascii="Inter" w:hAnsi="Inter" w:eastAsia="Inter" w:cs="Inter"/>
        <w:b/>
        <w:i w:val="0"/>
        <w:color w:val="0B143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1" w:color="2F6BFF"/>
      </w:pBdr>
    </w:pPr>
    <w:r>
      <w:rPr>
        <w:rFonts w:ascii="Inter" w:hAnsi="Inter" w:eastAsia="Inter" w:cs="Inter"/>
        <w:b/>
        <w:i w:val="0"/>
        <w:color w:val="0B1437"/>
        <w:sz w:val="17"/>
      </w:rPr>
      <w:t>PRAXION  ·  M4  ·  PERFORMANCE AND KPIS</w:t>
    </w:r>
    <w:r>
      <w:tab/>
      <w:tab/>
    </w:r>
    <w:r>
      <w:rPr>
        <w:rFonts w:ascii="Inter" w:hAnsi="Inter" w:eastAsia="Inter" w:cs="Inter"/>
        <w:b w:val="0"/>
        <w:i w:val="0"/>
        <w:color w:val="2F6BFF"/>
        <w:sz w:val="17"/>
      </w:rPr>
      <w:t>BUSINESS REQUIREMENTS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