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◆ PRAXION</w:t>
      </w:r>
      <w:r>
        <w:t xml:space="preserve"> </w:t>
      </w:r>
      <w:r>
        <w:t xml:space="preserve">HR OPERATING SYSTEM</w:t>
      </w:r>
    </w:p>
    <w:p>
      <w:pPr>
        <w:pStyle w:val="BodyText"/>
      </w:pPr>
      <w:r>
        <w:rPr>
          <w:b/>
        </w:rPr>
        <w:t xml:space="preserve">MODULE M7 · PHASE 3</w:t>
      </w:r>
    </w:p>
    <w:p>
      <w:pPr>
        <w:pStyle w:val="BodyText"/>
      </w:pPr>
      <w:r>
        <w:rPr>
          <w:b/>
        </w:rPr>
        <w:t xml:space="preserve">Benefits and Expenses</w:t>
      </w:r>
    </w:p>
    <w:p>
      <w:pPr>
        <w:pStyle w:val="BodyText"/>
      </w:pPr>
      <w:r>
        <w:t xml:space="preserve">Benefits administration, expense claims with OCR, approval workflows and</w:t>
      </w:r>
      <w:r>
        <w:t xml:space="preserve"> </w:t>
      </w:r>
      <w:r>
        <w:t xml:space="preserve">insurance.</w:t>
      </w:r>
    </w:p>
    <w:p>
      <w:pPr>
        <w:pStyle w:val="BodyText"/>
      </w:pPr>
      <w:r>
        <w:rPr>
          <w:b/>
        </w:rPr>
        <w:t xml:space="preserve">BUSINESS REQUIREMENTS DOCUMENT</w:t>
      </w:r>
    </w:p>
    <w:p>
      <w:pPr>
        <w:pStyle w:val="BodyText"/>
      </w:pPr>
      <w:r>
        <w:t xml:space="preserve">Execution. Intelligence. Flow.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PRODUCT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Praxion — HR Operating 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ORGANIZATION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Egybell (Provider Tenant)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M7 — Benefits and Expenses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DELIVERY PHASE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3 — Money Flows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VERSION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2.0 — Legacy Payroll Taxonomy Alignment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STATUS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 Stakeholder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PREPARED BY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Praxion Delivery Team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 DIRECTOR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Sabry · mohamed.sabry@praxionhr.com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DATE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 April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 GO-LIVE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 March 2027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Confidential — Egybell Internal + Approved Reviewers</w:t>
            </w:r>
          </w:p>
        </w:tc>
      </w:tr>
    </w:tbl>
    <w:p>
      <w:pPr>
        <w:pStyle w:val="BodyText"/>
      </w:pPr>
      <w:r>
        <w:rPr>
          <w:b/>
        </w:rPr>
        <w:t xml:space="preserve">Document Control</w:t>
      </w:r>
    </w:p>
    <w:p>
      <w:pPr>
        <w:pStyle w:val="BodyText"/>
      </w:pPr>
      <w:r>
        <w:t xml:space="preserve">This Business Requirements Document forms part of the Praxion Discovery</w:t>
      </w:r>
      <w:r>
        <w:t xml:space="preserve"> </w:t>
      </w:r>
      <w:r>
        <w:t xml:space="preserve">Baseline v3 and must be kept under version control. Any amendment after</w:t>
      </w:r>
      <w:r>
        <w:t xml:space="preserve"> </w:t>
      </w:r>
      <w:r>
        <w:t xml:space="preserve">sign-off follows the Praxion Change Control process.</w:t>
      </w:r>
    </w:p>
    <w:p>
      <w:pPr>
        <w:pStyle w:val="BodyText"/>
      </w:pPr>
      <w:r>
        <w:rPr>
          <w:b/>
        </w:rPr>
        <w:t xml:space="preserve">Revision History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28 Mar 2026</w:t>
            </w:r>
          </w:p>
        </w:tc>
        <w:tc>
          <w:p>
            <w:pPr>
              <w:pStyle w:val="Compact"/>
              <w:jc w:val="left"/>
            </w:pPr>
            <w:r>
              <w:t xml:space="preserve">Delivery Team</w:t>
            </w:r>
          </w:p>
        </w:tc>
        <w:tc>
          <w:p>
            <w:pPr>
              <w:pStyle w:val="Compact"/>
              <w:jc w:val="left"/>
            </w:pPr>
            <w:r>
              <w:t xml:space="preserve">Initial draft from discovery workshops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03 Apr 2026</w:t>
            </w:r>
          </w:p>
        </w:tc>
        <w:tc>
          <w:p>
            <w:pPr>
              <w:pStyle w:val="Compact"/>
              <w:jc w:val="left"/>
            </w:pPr>
            <w:r>
              <w:t xml:space="preserve">Delivery Team</w:t>
            </w:r>
          </w:p>
        </w:tc>
        <w:tc>
          <w:p>
            <w:pPr>
              <w:pStyle w:val="Compact"/>
              <w:jc w:val="left"/>
            </w:pPr>
            <w:r>
              <w:t xml:space="preserve">Incorporated stakeholder interview findings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08 Apr 2026</w:t>
            </w:r>
          </w:p>
        </w:tc>
        <w:tc>
          <w:p>
            <w:pPr>
              <w:pStyle w:val="Compact"/>
              <w:jc w:val="left"/>
            </w:pPr>
            <w:r>
              <w:t xml:space="preserve">Delivery Team</w:t>
            </w:r>
          </w:p>
        </w:tc>
        <w:tc>
          <w:p>
            <w:pPr>
              <w:pStyle w:val="Compact"/>
              <w:jc w:val="left"/>
            </w:pPr>
            <w:r>
              <w:t xml:space="preserve">Internal QA review, compliance mapping added</w:t>
            </w:r>
          </w:p>
        </w:tc>
        <w:tc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10 Apr 2026</w:t>
            </w:r>
          </w:p>
        </w:tc>
        <w:tc>
          <w:p>
            <w:pPr>
              <w:pStyle w:val="Compact"/>
              <w:jc w:val="left"/>
            </w:pPr>
            <w:r>
              <w:t xml:space="preserve">Delivery Team</w:t>
            </w:r>
          </w:p>
        </w:tc>
        <w:tc>
          <w:p>
            <w:pPr>
              <w:pStyle w:val="Compact"/>
              <w:jc w:val="left"/>
            </w:pPr>
            <w:r>
              <w:t xml:space="preserve">Discovery baseline — issued for stakeholder review</w:t>
            </w:r>
          </w:p>
        </w:tc>
        <w:tc>
          <w:p>
            <w:pPr>
              <w:pStyle w:val="Compact"/>
              <w:jc w:val="left"/>
            </w:pPr>
            <w:r>
              <w:t xml:space="preserve">Issued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19 Apr 2026</w:t>
            </w:r>
          </w:p>
        </w:tc>
        <w:tc>
          <w:p>
            <w:pPr>
              <w:pStyle w:val="Compact"/>
              <w:jc w:val="left"/>
            </w:pPr>
            <w:r>
              <w:t xml:space="preserve">Delivery Team</w:t>
            </w:r>
          </w:p>
        </w:tc>
        <w:tc>
          <w:p>
            <w:pPr>
              <w:pStyle w:val="Compact"/>
              <w:jc w:val="left"/>
            </w:pPr>
            <w:r>
              <w:t xml:space="preserve">Added allowance/benefit/deduction master data model ali</w:t>
            </w:r>
          </w:p>
        </w:tc>
        <w:tc>
          <w:p>
            <w:pPr>
              <w:pStyle w:val="Compact"/>
              <w:jc w:val="left"/>
            </w:pPr>
            <w:r>
              <w:t xml:space="preserve">gned with Egybell legacy payroll (tax-pool flag, Target cap, per-department scoping) from EGYBELL Payroll System PDF Issued</w:t>
            </w:r>
          </w:p>
        </w:tc>
      </w:tr>
    </w:tbl>
    <w:p>
      <w:pPr>
        <w:pStyle w:val="BodyText"/>
      </w:pPr>
      <w:r>
        <w:rPr>
          <w:b/>
        </w:rPr>
        <w:t xml:space="preserve">Approvers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Responsibility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Signature /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Director</w:t>
            </w:r>
          </w:p>
        </w:tc>
        <w:tc>
          <w:p>
            <w:pPr>
              <w:pStyle w:val="Compact"/>
              <w:jc w:val="left"/>
            </w:pPr>
            <w:r>
              <w:t xml:space="preserve">Sabry</w:t>
            </w:r>
          </w:p>
        </w:tc>
        <w:tc>
          <w:p>
            <w:pPr>
              <w:pStyle w:val="Compact"/>
              <w:jc w:val="left"/>
            </w:pPr>
            <w:r>
              <w:t xml:space="preserve">Overall Praxion programme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CEO</w:t>
            </w:r>
          </w:p>
        </w:tc>
        <w:tc>
          <w:p>
            <w:pPr>
              <w:pStyle w:val="Compact"/>
              <w:jc w:val="left"/>
            </w:pPr>
            <w:r>
              <w:t xml:space="preserve">Egybell Executive</w:t>
            </w:r>
          </w:p>
        </w:tc>
        <w:tc>
          <w:p>
            <w:pPr>
              <w:pStyle w:val="Compact"/>
              <w:jc w:val="left"/>
            </w:pPr>
            <w:r>
              <w:t xml:space="preserve">Business sponsor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HR Director</w:t>
            </w:r>
          </w:p>
        </w:tc>
        <w:tc>
          <w:p>
            <w:pPr>
              <w:pStyle w:val="Compact"/>
              <w:jc w:val="left"/>
            </w:pPr>
            <w:r>
              <w:t xml:space="preserve">HR Director</w:t>
            </w:r>
          </w:p>
        </w:tc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Finance Director</w:t>
            </w:r>
          </w:p>
        </w:tc>
        <w:tc>
          <w:p>
            <w:pPr>
              <w:pStyle w:val="Compact"/>
              <w:jc w:val="left"/>
            </w:pPr>
            <w:r>
              <w:t xml:space="preserve">Finance Director</w:t>
            </w:r>
          </w:p>
        </w:tc>
        <w:tc>
          <w:p>
            <w:pPr>
              <w:pStyle w:val="Compact"/>
              <w:jc w:val="left"/>
            </w:pPr>
            <w:r>
              <w:t xml:space="preserve">Financial approver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CIO / IT Lead</w:t>
            </w:r>
          </w:p>
        </w:tc>
        <w:tc>
          <w:p>
            <w:pPr>
              <w:pStyle w:val="Compact"/>
              <w:jc w:val="left"/>
            </w:pPr>
            <w:r>
              <w:t xml:space="preserve">IT Leadership</w:t>
            </w:r>
          </w:p>
        </w:tc>
        <w:tc>
          <w:p>
            <w:pPr>
              <w:pStyle w:val="Compact"/>
              <w:jc w:val="left"/>
            </w:pPr>
            <w:r>
              <w:t xml:space="preserve">Technical approver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 Lead (Praxion)</w:t>
            </w:r>
          </w:p>
        </w:tc>
        <w:tc>
          <w:p>
            <w:pPr>
              <w:pStyle w:val="Compact"/>
              <w:jc w:val="left"/>
            </w:pPr>
            <w:r>
              <w:t xml:space="preserve">Delivery PM</w:t>
            </w:r>
          </w:p>
        </w:tc>
        <w:tc>
          <w:p>
            <w:pPr>
              <w:pStyle w:val="Compact"/>
              <w:jc w:val="left"/>
            </w:pPr>
            <w:r>
              <w:t xml:space="preserve">Delivery accountability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</w:tr>
    </w:tbl>
    <w:p>
      <w:pPr>
        <w:pStyle w:val="BodyText"/>
      </w:pPr>
      <w:r>
        <w:rPr>
          <w:b/>
        </w:rPr>
        <w:t xml:space="preserve">Distribution List</w:t>
      </w:r>
    </w:p>
    <w:p>
      <w:pPr>
        <w:numPr>
          <w:ilvl w:val="0"/>
          <w:numId w:val="1001"/>
        </w:numPr>
      </w:pPr>
      <w:r>
        <w:t xml:space="preserve">Egybell Executive Sponsors (CEO, COO, CFO)</w:t>
      </w:r>
    </w:p>
    <w:p>
      <w:pPr>
        <w:numPr>
          <w:ilvl w:val="0"/>
          <w:numId w:val="1001"/>
        </w:numPr>
      </w:pPr>
      <w:r>
        <w:t xml:space="preserve">Egybell HR Leadership and Operations Managers</w:t>
      </w:r>
    </w:p>
    <w:p>
      <w:pPr>
        <w:numPr>
          <w:ilvl w:val="0"/>
          <w:numId w:val="1001"/>
        </w:numPr>
      </w:pPr>
      <w:r>
        <w:t xml:space="preserve">Egybell IT &amp; Security team</w:t>
      </w:r>
    </w:p>
    <w:p>
      <w:pPr>
        <w:numPr>
          <w:ilvl w:val="0"/>
          <w:numId w:val="1001"/>
        </w:numPr>
      </w:pPr>
      <w:r>
        <w:t xml:space="preserve">Praxion Delivery Team (PM, Architects, Leads)</w:t>
      </w:r>
    </w:p>
    <w:p>
      <w:pPr>
        <w:numPr>
          <w:ilvl w:val="0"/>
          <w:numId w:val="1001"/>
        </w:numPr>
      </w:pPr>
      <w:r>
        <w:t xml:space="preserve">Nominated Pilot Client Stakeholders (confidentiality-bound)</w:t>
      </w:r>
    </w:p>
    <w:p>
      <w:pPr>
        <w:numPr>
          <w:ilvl w:val="0"/>
          <w:numId w:val="1001"/>
        </w:numPr>
      </w:pPr>
      <w:r>
        <w:t xml:space="preserve">External Auditors — on request only</w:t>
      </w:r>
    </w:p>
    <w:p>
      <w:pPr>
        <w:pStyle w:val="FirstParagraph"/>
      </w:pPr>
      <w:r>
        <w:rPr>
          <w:b/>
        </w:rPr>
        <w:t xml:space="preserve">Table of Contents</w:t>
      </w:r>
    </w:p>
    <w:p>
      <w:pPr>
        <w:pStyle w:val="BodyText"/>
      </w:pPr>
      <w:r>
        <w:t xml:space="preserve">This Table of Contents reflects the canonical section order for every</w:t>
      </w:r>
      <w:r>
        <w:t xml:space="preserve"> </w:t>
      </w:r>
      <w:r>
        <w:t xml:space="preserve">Praxion BRD. Section numbers are stable across modules; page numbers can</w:t>
      </w:r>
      <w:r>
        <w:t xml:space="preserve"> </w:t>
      </w:r>
      <w:r>
        <w:t xml:space="preserve">be updated in Microsoft Word via View → Update Field.</w:t>
      </w:r>
    </w:p>
    <w:p>
      <w:pPr>
        <w:pStyle w:val="BodyText"/>
      </w:pPr>
      <w:r>
        <w:rPr>
          <w:b/>
        </w:rPr>
        <w:t xml:space="preserve">1.</w:t>
      </w:r>
      <w:r>
        <w:t xml:space="preserve"> </w:t>
      </w:r>
      <w:r>
        <w:t xml:space="preserve">Executive Summary</w:t>
      </w:r>
    </w:p>
    <w:p>
      <w:pPr>
        <w:pStyle w:val="BodyText"/>
      </w:pPr>
      <w:r>
        <w:rPr>
          <w:b/>
        </w:rPr>
        <w:t xml:space="preserve">2.</w:t>
      </w:r>
      <w:r>
        <w:t xml:space="preserve"> </w:t>
      </w:r>
      <w:r>
        <w:t xml:space="preserve">Introduction</w:t>
      </w:r>
    </w:p>
    <w:p>
      <w:pPr>
        <w:pStyle w:val="BodyText"/>
      </w:pPr>
      <w:r>
        <w:rPr>
          <w:b/>
        </w:rPr>
        <w:t xml:space="preserve">3.</w:t>
      </w:r>
      <w:r>
        <w:t xml:space="preserve"> </w:t>
      </w:r>
      <w:r>
        <w:t xml:space="preserve">Business Context</w:t>
      </w:r>
    </w:p>
    <w:p>
      <w:pPr>
        <w:pStyle w:val="BodyText"/>
      </w:pPr>
      <w:r>
        <w:rPr>
          <w:b/>
        </w:rPr>
        <w:t xml:space="preserve">4.</w:t>
      </w:r>
      <w:r>
        <w:t xml:space="preserve"> </w:t>
      </w:r>
      <w:r>
        <w:t xml:space="preserve">Stakeholders and Users</w:t>
      </w:r>
    </w:p>
    <w:p>
      <w:pPr>
        <w:pStyle w:val="BodyText"/>
      </w:pPr>
      <w:r>
        <w:rPr>
          <w:b/>
        </w:rPr>
        <w:t xml:space="preserve">5.</w:t>
      </w:r>
      <w:r>
        <w:t xml:space="preserve"> </w:t>
      </w:r>
      <w:r>
        <w:t xml:space="preserve">Scope</w:t>
      </w:r>
    </w:p>
    <w:p>
      <w:pPr>
        <w:pStyle w:val="BodyText"/>
      </w:pPr>
      <w:r>
        <w:rPr>
          <w:b/>
        </w:rPr>
        <w:t xml:space="preserve">6.</w:t>
      </w:r>
      <w:r>
        <w:t xml:space="preserve"> </w:t>
      </w:r>
      <w:r>
        <w:t xml:space="preserve">Business Rules</w:t>
      </w:r>
    </w:p>
    <w:p>
      <w:pPr>
        <w:pStyle w:val="BodyText"/>
      </w:pPr>
      <w:r>
        <w:rPr>
          <w:b/>
        </w:rPr>
        <w:t xml:space="preserve">7.</w:t>
      </w:r>
      <w:r>
        <w:t xml:space="preserve"> </w:t>
      </w:r>
      <w:r>
        <w:t xml:space="preserve">Functional Requirements</w:t>
      </w:r>
    </w:p>
    <w:p>
      <w:pPr>
        <w:pStyle w:val="BodyText"/>
      </w:pPr>
      <w:r>
        <w:rPr>
          <w:b/>
        </w:rPr>
        <w:t xml:space="preserve">8.</w:t>
      </w:r>
      <w:r>
        <w:t xml:space="preserve"> </w:t>
      </w:r>
      <w:r>
        <w:t xml:space="preserve">Non-Functional Requirements</w:t>
      </w:r>
    </w:p>
    <w:p>
      <w:pPr>
        <w:pStyle w:val="BodyText"/>
      </w:pPr>
      <w:r>
        <w:rPr>
          <w:b/>
        </w:rPr>
        <w:t xml:space="preserve">9.</w:t>
      </w:r>
      <w:r>
        <w:t xml:space="preserve"> </w:t>
      </w:r>
      <w:r>
        <w:t xml:space="preserve">User Stories and Acceptance Criteria</w:t>
      </w:r>
    </w:p>
    <w:p>
      <w:pPr>
        <w:pStyle w:val="BodyText"/>
      </w:pPr>
      <w:r>
        <w:rPr>
          <w:b/>
        </w:rPr>
        <w:t xml:space="preserve">10.</w:t>
      </w:r>
      <w:r>
        <w:t xml:space="preserve"> </w:t>
      </w:r>
      <w:r>
        <w:t xml:space="preserve">Process Flows</w:t>
      </w:r>
    </w:p>
    <w:p>
      <w:pPr>
        <w:pStyle w:val="BodyText"/>
      </w:pPr>
      <w:r>
        <w:rPr>
          <w:b/>
        </w:rPr>
        <w:t xml:space="preserve">11.</w:t>
      </w:r>
      <w:r>
        <w:t xml:space="preserve"> </w:t>
      </w:r>
      <w:r>
        <w:t xml:space="preserve">Data Requirements</w:t>
      </w:r>
    </w:p>
    <w:p>
      <w:pPr>
        <w:pStyle w:val="BodyText"/>
      </w:pPr>
      <w:r>
        <w:rPr>
          <w:b/>
        </w:rPr>
        <w:t xml:space="preserve">12.</w:t>
      </w:r>
      <w:r>
        <w:t xml:space="preserve"> </w:t>
      </w:r>
      <w:r>
        <w:t xml:space="preserve">Integration Requirements</w:t>
      </w:r>
    </w:p>
    <w:p>
      <w:pPr>
        <w:pStyle w:val="BodyText"/>
      </w:pPr>
      <w:r>
        <w:rPr>
          <w:b/>
        </w:rPr>
        <w:t xml:space="preserve">13.</w:t>
      </w:r>
      <w:r>
        <w:t xml:space="preserve"> </w:t>
      </w:r>
      <w:r>
        <w:t xml:space="preserve">Compliance and Regulatory Mapping</w:t>
      </w:r>
    </w:p>
    <w:p>
      <w:pPr>
        <w:pStyle w:val="BodyText"/>
      </w:pPr>
      <w:r>
        <w:rPr>
          <w:b/>
        </w:rPr>
        <w:t xml:space="preserve">14.</w:t>
      </w:r>
      <w:r>
        <w:t xml:space="preserve"> </w:t>
      </w:r>
      <w:r>
        <w:t xml:space="preserve">UAT Scenarios</w:t>
      </w:r>
    </w:p>
    <w:p>
      <w:pPr>
        <w:pStyle w:val="BodyText"/>
      </w:pPr>
      <w:r>
        <w:rPr>
          <w:b/>
        </w:rPr>
        <w:t xml:space="preserve">15.</w:t>
      </w:r>
      <w:r>
        <w:t xml:space="preserve"> </w:t>
      </w:r>
      <w:r>
        <w:t xml:space="preserve">Dependencies</w:t>
      </w:r>
    </w:p>
    <w:p>
      <w:pPr>
        <w:pStyle w:val="BodyText"/>
      </w:pPr>
      <w:r>
        <w:rPr>
          <w:b/>
        </w:rPr>
        <w:t xml:space="preserve">16.</w:t>
      </w:r>
      <w:r>
        <w:t xml:space="preserve"> </w:t>
      </w:r>
      <w:r>
        <w:t xml:space="preserve">Risks and Mitigations</w:t>
      </w:r>
    </w:p>
    <w:p>
      <w:pPr>
        <w:pStyle w:val="BodyText"/>
      </w:pPr>
      <w:r>
        <w:rPr>
          <w:b/>
        </w:rPr>
        <w:t xml:space="preserve">17.</w:t>
      </w:r>
      <w:r>
        <w:t xml:space="preserve"> </w:t>
      </w:r>
      <w:r>
        <w:t xml:space="preserve">Appendix and Sign-Off</w:t>
      </w:r>
    </w:p>
    <w:p>
      <w:pPr>
        <w:pStyle w:val="BodyText"/>
      </w:pPr>
      <w:r>
        <w:rPr>
          <w:b/>
        </w:rPr>
        <w:t xml:space="preserve">1. Executive Summary</w:t>
      </w:r>
    </w:p>
    <w:p>
      <w:pPr>
        <w:pStyle w:val="BodyText"/>
      </w:pPr>
      <w:r>
        <w:rPr>
          <w:b/>
        </w:rPr>
        <w:t xml:space="preserve">1.1 Purpose</w:t>
      </w:r>
    </w:p>
    <w:p>
      <w:pPr>
        <w:pStyle w:val="BodyText"/>
      </w:pPr>
      <w:r>
        <w:t xml:space="preserve">To manage employee benefits (medical, life insurance, allowances) and</w:t>
      </w:r>
      <w:r>
        <w:t xml:space="preserve"> </w:t>
      </w:r>
      <w:r>
        <w:t xml:space="preserve">expense claims (travel, meals, equipment) with OCR receipt scanning,</w:t>
      </w:r>
      <w:r>
        <w:t xml:space="preserve"> </w:t>
      </w:r>
      <w:r>
        <w:t xml:space="preserve">policy-driven approval workflows, and hand-off to payroll for</w:t>
      </w:r>
      <w:r>
        <w:t xml:space="preserve"> </w:t>
      </w:r>
      <w:r>
        <w:t xml:space="preserve">reimbursement.</w:t>
      </w:r>
    </w:p>
    <w:p>
      <w:pPr>
        <w:pStyle w:val="BodyText"/>
      </w:pPr>
      <w:r>
        <w:rPr>
          <w:b/>
        </w:rPr>
        <w:t xml:space="preserve">1.2 Business Problem</w:t>
      </w:r>
    </w:p>
    <w:p>
      <w:pPr>
        <w:pStyle w:val="BodyText"/>
      </w:pPr>
      <w:r>
        <w:t xml:space="preserve">Expense claims today flow through email and WhatsApp with photos of</w:t>
      </w:r>
      <w:r>
        <w:t xml:space="preserve"> </w:t>
      </w:r>
      <w:r>
        <w:t xml:space="preserve">receipts. Reimbursement is late and auditability is poor. Benefits</w:t>
      </w:r>
      <w:r>
        <w:t xml:space="preserve"> </w:t>
      </w:r>
      <w:r>
        <w:t xml:space="preserve">enrolment is managed in spreadsheets with no eligibility control.</w:t>
      </w:r>
    </w:p>
    <w:p>
      <w:pPr>
        <w:pStyle w:val="BodyText"/>
      </w:pPr>
      <w:r>
        <w:rPr>
          <w:b/>
        </w:rPr>
        <w:t xml:space="preserve">1.3 Proposed Solution</w:t>
      </w:r>
    </w:p>
    <w:p>
      <w:pPr>
        <w:pStyle w:val="BodyText"/>
      </w:pPr>
      <w:r>
        <w:t xml:space="preserve">Deliver a benefits catalogue with eligibility rules and enrolment, an</w:t>
      </w:r>
      <w:r>
        <w:t xml:space="preserve"> </w:t>
      </w:r>
      <w:r>
        <w:t xml:space="preserve">expense claim flow with OCR-driven receipt capture, configurable</w:t>
      </w:r>
      <w:r>
        <w:t xml:space="preserve"> </w:t>
      </w:r>
      <w:r>
        <w:t xml:space="preserve">approval chains, and reimbursement via payroll (M6).</w:t>
      </w:r>
    </w:p>
    <w:p>
      <w:pPr>
        <w:pStyle w:val="BodyText"/>
      </w:pPr>
      <w:r>
        <w:rPr>
          <w:b/>
        </w:rPr>
        <w:t xml:space="preserve">1.4 Expected Benefits</w:t>
      </w:r>
    </w:p>
    <w:p>
      <w:pPr>
        <w:numPr>
          <w:ilvl w:val="0"/>
          <w:numId w:val="1002"/>
        </w:numPr>
      </w:pPr>
      <w:r>
        <w:t xml:space="preserve">OCR captures receipts in seconds, not minutes.</w:t>
      </w:r>
    </w:p>
    <w:p>
      <w:pPr>
        <w:numPr>
          <w:ilvl w:val="0"/>
          <w:numId w:val="1002"/>
        </w:numPr>
      </w:pPr>
      <w:r>
        <w:t xml:space="preserve">Policy-driven approvals eliminate exceptions.</w:t>
      </w:r>
    </w:p>
    <w:p>
      <w:pPr>
        <w:numPr>
          <w:ilvl w:val="0"/>
          <w:numId w:val="1002"/>
        </w:numPr>
      </w:pPr>
      <w:r>
        <w:t xml:space="preserve">Complete audit trail for every claim.</w:t>
      </w:r>
    </w:p>
    <w:p>
      <w:pPr>
        <w:numPr>
          <w:ilvl w:val="0"/>
          <w:numId w:val="1002"/>
        </w:numPr>
      </w:pPr>
      <w:r>
        <w:t xml:space="preserve">Faster reimbursement improves employee experience.</w:t>
      </w:r>
    </w:p>
    <w:p>
      <w:pPr>
        <w:numPr>
          <w:ilvl w:val="0"/>
          <w:numId w:val="1002"/>
        </w:numPr>
      </w:pPr>
      <w:r>
        <w:t xml:space="preserve">Eligibility rules remove manual benefits tracking.</w:t>
      </w:r>
    </w:p>
    <w:p>
      <w:pPr>
        <w:pStyle w:val="FirstParagraph"/>
      </w:pPr>
      <w:r>
        <w:rPr>
          <w:b/>
        </w:rPr>
        <w:t xml:space="preserve">1.5 Success Criteria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Baseline (Today)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Target at Go-Live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Target +6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Claim cycle time</w:t>
            </w:r>
          </w:p>
        </w:tc>
        <w:tc>
          <w:p>
            <w:pPr>
              <w:pStyle w:val="Compact"/>
              <w:jc w:val="left"/>
            </w:pPr>
            <w:r>
              <w:t xml:space="preserve">10–14 d</w:t>
            </w:r>
          </w:p>
        </w:tc>
        <w:tc>
          <w:p>
            <w:pPr>
              <w:pStyle w:val="Compact"/>
              <w:jc w:val="left"/>
            </w:pPr>
            <w:r>
              <w:t xml:space="preserve">≤ 3 d</w:t>
            </w:r>
          </w:p>
        </w:tc>
        <w:tc>
          <w:p>
            <w:pPr>
              <w:pStyle w:val="Compact"/>
              <w:jc w:val="left"/>
            </w:pPr>
            <w:r>
              <w:t xml:space="preserve">≤ 1 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 OCR accuracy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p>
            <w:pPr>
              <w:pStyle w:val="Compact"/>
              <w:jc w:val="left"/>
            </w:pPr>
            <w:r>
              <w:t xml:space="preserve">≥ 98%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claim rate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≤ 2%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Policy violations caught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</w:rPr>
        <w:t xml:space="preserve">2. Introduction</w:t>
      </w:r>
    </w:p>
    <w:p>
      <w:pPr>
        <w:pStyle w:val="BodyText"/>
      </w:pPr>
      <w:r>
        <w:rPr>
          <w:b/>
        </w:rPr>
        <w:t xml:space="preserve">2.1 Document Purpose</w:t>
      </w:r>
    </w:p>
    <w:p>
      <w:pPr>
        <w:pStyle w:val="BodyText"/>
      </w:pPr>
      <w:r>
        <w:t xml:space="preserve">This Business Requirements Document (BRD) captures the business,</w:t>
      </w:r>
      <w:r>
        <w:t xml:space="preserve"> </w:t>
      </w:r>
      <w:r>
        <w:t xml:space="preserve">functional, data, and compliance requirements for the Praxion Benefits</w:t>
      </w:r>
      <w:r>
        <w:t xml:space="preserve"> </w:t>
      </w:r>
      <w:r>
        <w:t xml:space="preserve">and Expenses module (M7). It is the authoritative reference for design,</w:t>
      </w:r>
      <w:r>
        <w:t xml:space="preserve"> </w:t>
      </w:r>
      <w:r>
        <w:t xml:space="preserve">development, testing, and user acceptance of this module. All downstream</w:t>
      </w:r>
      <w:r>
        <w:t xml:space="preserve"> </w:t>
      </w:r>
      <w:r>
        <w:t xml:space="preserve">artefacts — Functional Specifications, Solution Designs, Test Plans</w:t>
      </w:r>
      <w:r>
        <w:t xml:space="preserve"> </w:t>
      </w:r>
      <w:r>
        <w:t xml:space="preserve">and Training Materials — trace back to the requirements documented</w:t>
      </w:r>
      <w:r>
        <w:t xml:space="preserve"> </w:t>
      </w:r>
      <w:r>
        <w:t xml:space="preserve">here.</w:t>
      </w:r>
    </w:p>
    <w:p>
      <w:pPr>
        <w:pStyle w:val="BodyText"/>
      </w:pPr>
      <w:r>
        <w:rPr>
          <w:b/>
        </w:rPr>
        <w:t xml:space="preserve">2.2 Intended Audience</w:t>
      </w:r>
    </w:p>
    <w:p>
      <w:pPr>
        <w:pStyle w:val="BlockText"/>
      </w:pPr>
      <w:r>
        <w:rPr>
          <w:b/>
        </w:rPr>
        <w:t xml:space="preserve">Business Sponsors —</w:t>
      </w:r>
      <w:r>
        <w:t xml:space="preserve"> </w:t>
      </w:r>
      <w:r>
        <w:t xml:space="preserve">Validate business value, cost-benefit, and</w:t>
      </w:r>
      <w:r>
        <w:t xml:space="preserve"> </w:t>
      </w:r>
      <w:r>
        <w:t xml:space="preserve">go/no-go decisions.</w:t>
      </w:r>
    </w:p>
    <w:p>
      <w:pPr>
        <w:pStyle w:val="BlockText"/>
      </w:pPr>
      <w:r>
        <w:rPr>
          <w:b/>
        </w:rPr>
        <w:t xml:space="preserve">Subject-Matter Experts (SMEs) —</w:t>
      </w:r>
      <w:r>
        <w:t xml:space="preserve"> </w:t>
      </w:r>
      <w:r>
        <w:t xml:space="preserve">Confirm that business rules,</w:t>
      </w:r>
      <w:r>
        <w:t xml:space="preserve"> </w:t>
      </w:r>
      <w:r>
        <w:t xml:space="preserve">workflows and edge cases reflect Egybell operational reality.</w:t>
      </w:r>
    </w:p>
    <w:p>
      <w:pPr>
        <w:pStyle w:val="BlockText"/>
      </w:pPr>
      <w:r>
        <w:rPr>
          <w:b/>
        </w:rPr>
        <w:t xml:space="preserve">Solution Architects —</w:t>
      </w:r>
      <w:r>
        <w:t xml:space="preserve"> </w:t>
      </w:r>
      <w:r>
        <w:t xml:space="preserve">Translate requirements into target</w:t>
      </w:r>
      <w:r>
        <w:t xml:space="preserve"> </w:t>
      </w:r>
      <w:r>
        <w:t xml:space="preserve">architecture and integration design.</w:t>
      </w:r>
    </w:p>
    <w:p>
      <w:pPr>
        <w:pStyle w:val="BlockText"/>
      </w:pPr>
      <w:r>
        <w:rPr>
          <w:b/>
        </w:rPr>
        <w:t xml:space="preserve">Product &amp; Delivery Team —</w:t>
      </w:r>
      <w:r>
        <w:t xml:space="preserve"> </w:t>
      </w:r>
      <w:r>
        <w:t xml:space="preserve">Decompose requirements into features,</w:t>
      </w:r>
      <w:r>
        <w:t xml:space="preserve"> </w:t>
      </w:r>
      <w:r>
        <w:t xml:space="preserve">user stories, sprints and releases.</w:t>
      </w:r>
    </w:p>
    <w:p>
      <w:pPr>
        <w:pStyle w:val="BlockText"/>
      </w:pPr>
      <w:r>
        <w:rPr>
          <w:b/>
        </w:rPr>
        <w:t xml:space="preserve">QA / Test Team —</w:t>
      </w:r>
      <w:r>
        <w:t xml:space="preserve"> </w:t>
      </w:r>
      <w:r>
        <w:t xml:space="preserve">Derive UAT scenarios and regression packs from</w:t>
      </w:r>
      <w:r>
        <w:t xml:space="preserve"> </w:t>
      </w:r>
      <w:r>
        <w:t xml:space="preserve">functional requirements.</w:t>
      </w:r>
    </w:p>
    <w:p>
      <w:pPr>
        <w:pStyle w:val="BlockText"/>
      </w:pPr>
      <w:r>
        <w:rPr>
          <w:b/>
        </w:rPr>
        <w:t xml:space="preserve">Compliance &amp; Legal —</w:t>
      </w:r>
      <w:r>
        <w:t xml:space="preserve"> </w:t>
      </w:r>
      <w:r>
        <w:t xml:space="preserve">Verify alignment with Egyptian Labor Law</w:t>
      </w:r>
      <w:r>
        <w:t xml:space="preserve"> </w:t>
      </w:r>
      <w:r>
        <w:t xml:space="preserve">12/2003, PIT 91/2005, SI 148/2019, PDPL 151/2020 and ETA e-invoicing.</w:t>
      </w:r>
    </w:p>
    <w:p>
      <w:pPr>
        <w:pStyle w:val="BlockText"/>
      </w:pPr>
      <w:r>
        <w:rPr>
          <w:b/>
        </w:rPr>
        <w:t xml:space="preserve">External Auditors —</w:t>
      </w:r>
      <w:r>
        <w:t xml:space="preserve"> </w:t>
      </w:r>
      <w:r>
        <w:t xml:space="preserve">Evidence that requirements incorporate</w:t>
      </w:r>
      <w:r>
        <w:t xml:space="preserve"> </w:t>
      </w:r>
      <w:r>
        <w:t xml:space="preserve">statutory and contractual obligations.</w:t>
      </w:r>
    </w:p>
    <w:p>
      <w:pPr>
        <w:pStyle w:val="FirstParagraph"/>
      </w:pPr>
      <w:r>
        <w:rPr>
          <w:b/>
        </w:rPr>
        <w:t xml:space="preserve">2.3 Definitions, Acronyms and Abbreviations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Requirements Document — this document.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Praxion</w:t>
            </w:r>
          </w:p>
        </w:tc>
        <w:tc>
          <w:p>
            <w:pPr>
              <w:pStyle w:val="Compact"/>
              <w:jc w:val="left"/>
            </w:pPr>
            <w:r>
              <w:t xml:space="preserve">The HR Operating System product delivered to Egybell.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</w:t>
            </w:r>
          </w:p>
        </w:tc>
        <w:tc>
          <w:p>
            <w:pPr>
              <w:pStyle w:val="Compact"/>
              <w:jc w:val="left"/>
            </w:pPr>
            <w:r>
              <w:t xml:space="preserve">The provider organisation; primary tenant of Praxion.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p>
            <w:pPr>
              <w:pStyle w:val="Compact"/>
              <w:jc w:val="left"/>
            </w:pPr>
            <w:r>
              <w:t xml:space="preserve">An isolated customer organisation within the Praxion platform (Egybell = provider tenant, each client company = client tenant).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Outsourced Employee</w:t>
            </w:r>
          </w:p>
        </w:tc>
        <w:tc>
          <w:p>
            <w:pPr>
              <w:pStyle w:val="Compact"/>
              <w:jc w:val="left"/>
            </w:pPr>
            <w:r>
              <w:t xml:space="preserve">A person legally employed by Egybell and assigned to perform work at a client site.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ATS</w:t>
            </w:r>
          </w:p>
        </w:tc>
        <w:tc>
          <w:p>
            <w:pPr>
              <w:pStyle w:val="Compact"/>
              <w:jc w:val="left"/>
            </w:pPr>
            <w:r>
              <w:t xml:space="preserve">Applicant Tracking System (Module M2).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HRIS</w:t>
            </w:r>
          </w:p>
        </w:tc>
        <w:tc>
          <w:p>
            <w:pPr>
              <w:pStyle w:val="Compact"/>
              <w:jc w:val="left"/>
            </w:pPr>
            <w:r>
              <w:t xml:space="preserve">Human Resources Information System (Module M1).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p>
            <w:pPr>
              <w:pStyle w:val="Compact"/>
              <w:jc w:val="left"/>
            </w:pPr>
            <w:r>
              <w:t xml:space="preserve">Role-Based Access Control.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Row-Level Security — database enforcement of tenant isolation.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PDPL</w:t>
            </w:r>
          </w:p>
        </w:tc>
        <w:tc>
          <w:p>
            <w:pPr>
              <w:pStyle w:val="Compact"/>
              <w:jc w:val="left"/>
            </w:pPr>
            <w:r>
              <w:t xml:space="preserve">Egyptian Personal Data Protection Law 151/2020.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NOSI</w:t>
            </w:r>
          </w:p>
        </w:tc>
        <w:tc>
          <w:p>
            <w:pPr>
              <w:pStyle w:val="Compact"/>
              <w:jc w:val="left"/>
            </w:pPr>
            <w:r>
              <w:t xml:space="preserve">National Organisation for Social Insurance (Egypt).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PIT</w:t>
            </w:r>
          </w:p>
        </w:tc>
        <w:tc>
          <w:p>
            <w:pPr>
              <w:pStyle w:val="Compact"/>
              <w:jc w:val="left"/>
            </w:pPr>
            <w:r>
              <w:t xml:space="preserve">Personal Income Tax.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p>
            <w:pPr>
              <w:pStyle w:val="Compact"/>
              <w:jc w:val="left"/>
            </w:pPr>
            <w:r>
              <w:t xml:space="preserve">Social Insurance contributions.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EOSB</w:t>
            </w:r>
          </w:p>
        </w:tc>
        <w:tc>
          <w:p>
            <w:pPr>
              <w:pStyle w:val="Compact"/>
              <w:jc w:val="left"/>
            </w:pPr>
            <w:r>
              <w:t xml:space="preserve">End Of Service Benefit.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p>
            <w:pPr>
              <w:pStyle w:val="Compact"/>
              <w:jc w:val="left"/>
            </w:pPr>
            <w:r>
              <w:t xml:space="preserve">Egyptian Tax Authority e-invoicing portal.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Service-Level Agreement.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DSR</w:t>
            </w:r>
          </w:p>
        </w:tc>
        <w:tc>
          <w:p>
            <w:pPr>
              <w:pStyle w:val="Compact"/>
              <w:jc w:val="left"/>
            </w:pPr>
            <w:r>
              <w:t xml:space="preserve">Data Subject Request (under PDPL).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KMS / DEK</w:t>
            </w:r>
          </w:p>
        </w:tc>
        <w:tc>
          <w:p>
            <w:pPr>
              <w:pStyle w:val="Compact"/>
              <w:jc w:val="left"/>
            </w:pPr>
            <w:r>
              <w:t xml:space="preserve">Key Management Service / Data Encryption Key (per-tenant).</w:t>
            </w:r>
          </w:p>
        </w:tc>
      </w:tr>
    </w:tbl>
    <w:p>
      <w:pPr>
        <w:pStyle w:val="BodyText"/>
      </w:pPr>
      <w:r>
        <w:rPr>
          <w:b/>
        </w:rPr>
        <w:t xml:space="preserve">2.4 References</w:t>
      </w:r>
    </w:p>
    <w:p>
      <w:pPr>
        <w:numPr>
          <w:ilvl w:val="0"/>
          <w:numId w:val="1003"/>
        </w:numPr>
      </w:pPr>
      <w:r>
        <w:t xml:space="preserve">Praxion Discovery Phase Review v3 — Stakeholder Deck</w:t>
      </w:r>
    </w:p>
    <w:p>
      <w:pPr>
        <w:numPr>
          <w:ilvl w:val="0"/>
          <w:numId w:val="1003"/>
        </w:numPr>
      </w:pPr>
      <w:r>
        <w:t xml:space="preserve">Praxion Visual &amp; Brand Identity Guide v3</w:t>
      </w:r>
    </w:p>
    <w:p>
      <w:pPr>
        <w:numPr>
          <w:ilvl w:val="0"/>
          <w:numId w:val="1003"/>
        </w:numPr>
      </w:pPr>
      <w:r>
        <w:t xml:space="preserve">Praxion Data Dictionary (Praxion_Data_Dictionary.xlsx)</w:t>
      </w:r>
    </w:p>
    <w:p>
      <w:pPr>
        <w:numPr>
          <w:ilvl w:val="0"/>
          <w:numId w:val="1003"/>
        </w:numPr>
      </w:pPr>
      <w:r>
        <w:t xml:space="preserve">Egyptian Labor Law No. 12 of 2003</w:t>
      </w:r>
    </w:p>
    <w:p>
      <w:pPr>
        <w:numPr>
          <w:ilvl w:val="0"/>
          <w:numId w:val="1003"/>
        </w:numPr>
      </w:pPr>
      <w:r>
        <w:t xml:space="preserve">Egyptian Personal Income Tax Law No. 91 of 2005 (and amendments)</w:t>
      </w:r>
    </w:p>
    <w:p>
      <w:pPr>
        <w:numPr>
          <w:ilvl w:val="0"/>
          <w:numId w:val="1003"/>
        </w:numPr>
      </w:pPr>
      <w:r>
        <w:t xml:space="preserve">Social Insurance Law No. 148 of 2019</w:t>
      </w:r>
    </w:p>
    <w:p>
      <w:pPr>
        <w:numPr>
          <w:ilvl w:val="0"/>
          <w:numId w:val="1003"/>
        </w:numPr>
      </w:pPr>
      <w:r>
        <w:t xml:space="preserve">Personal Data Protection Law No. 151 of 2020</w:t>
      </w:r>
    </w:p>
    <w:p>
      <w:pPr>
        <w:numPr>
          <w:ilvl w:val="0"/>
          <w:numId w:val="1003"/>
        </w:numPr>
      </w:pPr>
      <w:r>
        <w:t xml:space="preserve">Egyptian Tax Authority E-Invoicing Technical Specification</w:t>
      </w:r>
    </w:p>
    <w:p>
      <w:pPr>
        <w:numPr>
          <w:ilvl w:val="0"/>
          <w:numId w:val="1003"/>
        </w:numPr>
      </w:pPr>
      <w:r>
        <w:t xml:space="preserve">ISO 27001:2022 Information Security Management</w:t>
      </w:r>
    </w:p>
    <w:p>
      <w:pPr>
        <w:numPr>
          <w:ilvl w:val="0"/>
          <w:numId w:val="1003"/>
        </w:numPr>
      </w:pPr>
      <w:r>
        <w:t xml:space="preserve">WCAG 2.1 Level AA accessibility guidelines</w:t>
      </w:r>
    </w:p>
    <w:p>
      <w:pPr>
        <w:pStyle w:val="FirstParagraph"/>
      </w:pPr>
      <w:r>
        <w:rPr>
          <w:b/>
        </w:rPr>
        <w:t xml:space="preserve">3. Business Context</w:t>
      </w:r>
    </w:p>
    <w:p>
      <w:pPr>
        <w:pStyle w:val="BodyText"/>
      </w:pPr>
      <w:r>
        <w:rPr>
          <w:b/>
        </w:rPr>
        <w:t xml:space="preserve">3.1 Organisational Background</w:t>
      </w:r>
    </w:p>
    <w:p>
      <w:pPr>
        <w:pStyle w:val="BodyText"/>
      </w:pPr>
      <w:r>
        <w:t xml:space="preserve">Egybell is an Egyptian outsourcing company that employs staff and</w:t>
      </w:r>
      <w:r>
        <w:t xml:space="preserve"> </w:t>
      </w:r>
      <w:r>
        <w:t xml:space="preserve">assigns them to perform work at client organisations. Today Egybell</w:t>
      </w:r>
      <w:r>
        <w:t xml:space="preserve"> </w:t>
      </w:r>
      <w:r>
        <w:t xml:space="preserve">operates through a patchwork of Microsoft Excel workbooks, WhatsApp</w:t>
      </w:r>
      <w:r>
        <w:t xml:space="preserve"> </w:t>
      </w:r>
      <w:r>
        <w:t xml:space="preserve">group messages, Word document templates, and email threads. This</w:t>
      </w:r>
      <w:r>
        <w:t xml:space="preserve"> </w:t>
      </w:r>
      <w:r>
        <w:t xml:space="preserve">fragmented operating model causes data duplication, late reporting,</w:t>
      </w:r>
      <w:r>
        <w:t xml:space="preserve"> </w:t>
      </w:r>
      <w:r>
        <w:t xml:space="preserve">compliance exposure under PDPL, and an inability to scale beyond its</w:t>
      </w:r>
      <w:r>
        <w:t xml:space="preserve"> </w:t>
      </w:r>
      <w:r>
        <w:t xml:space="preserve">current client base.</w:t>
      </w:r>
    </w:p>
    <w:p>
      <w:pPr>
        <w:pStyle w:val="BodyText"/>
      </w:pPr>
      <w:r>
        <w:t xml:space="preserve">Praxion replaces this fragmented operating model with a single,</w:t>
      </w:r>
      <w:r>
        <w:t xml:space="preserve"> </w:t>
      </w:r>
      <w:r>
        <w:t xml:space="preserve">multi-tenant HR Operating System. Egybell operates as the provider</w:t>
      </w:r>
      <w:r>
        <w:t xml:space="preserve"> </w:t>
      </w:r>
      <w:r>
        <w:t xml:space="preserve">tenant with full cross-tenant visibility; every outsourcing client is</w:t>
      </w:r>
      <w:r>
        <w:t xml:space="preserve"> </w:t>
      </w:r>
      <w:r>
        <w:t xml:space="preserve">provisioned as an isolated client tenant with self-service HR and ATS.</w:t>
      </w:r>
      <w:r>
        <w:t xml:space="preserve"> </w:t>
      </w:r>
      <w:r>
        <w:t xml:space="preserve">The outsourced employee has dual context — legally employed by Egybell</w:t>
      </w:r>
      <w:r>
        <w:t xml:space="preserve"> </w:t>
      </w:r>
      <w:r>
        <w:t xml:space="preserve">and operationally assigned to a client — and must be represented and</w:t>
      </w:r>
      <w:r>
        <w:t xml:space="preserve"> </w:t>
      </w:r>
      <w:r>
        <w:t xml:space="preserve">permissioned accordingly in every module.</w:t>
      </w:r>
    </w:p>
    <w:p>
      <w:pPr>
        <w:pStyle w:val="BodyText"/>
      </w:pPr>
      <w:r>
        <w:rPr>
          <w:b/>
        </w:rPr>
        <w:t xml:space="preserve">3.2 Current State (Today)</w:t>
      </w:r>
    </w:p>
    <w:p>
      <w:pPr>
        <w:numPr>
          <w:ilvl w:val="0"/>
          <w:numId w:val="1004"/>
        </w:numPr>
      </w:pPr>
      <w:r>
        <w:t xml:space="preserve">HR data is tracked in disconnected Excel files across HR, Payroll</w:t>
      </w:r>
      <w:r>
        <w:t xml:space="preserve"> </w:t>
      </w:r>
      <w:r>
        <w:t xml:space="preserve">&gt; and Operations teams.</w:t>
      </w:r>
    </w:p>
    <w:p>
      <w:pPr>
        <w:numPr>
          <w:ilvl w:val="0"/>
          <w:numId w:val="1004"/>
        </w:numPr>
      </w:pPr>
      <w:r>
        <w:t xml:space="preserve">Communication with employees and clients relies on WhatsApp and</w:t>
      </w:r>
      <w:r>
        <w:t xml:space="preserve"> </w:t>
      </w:r>
      <w:r>
        <w:t xml:space="preserve">&gt; email, with no audit trail.</w:t>
      </w:r>
    </w:p>
    <w:p>
      <w:pPr>
        <w:numPr>
          <w:ilvl w:val="0"/>
          <w:numId w:val="1004"/>
        </w:numPr>
      </w:pPr>
      <w:r>
        <w:t xml:space="preserve">Documents are shared as Word/PDF attachments; version control and</w:t>
      </w:r>
      <w:r>
        <w:t xml:space="preserve"> </w:t>
      </w:r>
      <w:r>
        <w:t xml:space="preserve">&gt; expiry tracking are manual.</w:t>
      </w:r>
    </w:p>
    <w:p>
      <w:pPr>
        <w:numPr>
          <w:ilvl w:val="0"/>
          <w:numId w:val="1004"/>
        </w:numPr>
      </w:pPr>
      <w:r>
        <w:t xml:space="preserve">Approvals happen verbally or over email — frequently undocumented</w:t>
      </w:r>
      <w:r>
        <w:t xml:space="preserve"> </w:t>
      </w:r>
      <w:r>
        <w:t xml:space="preserve">&gt; and unreportable.</w:t>
      </w:r>
    </w:p>
    <w:p>
      <w:pPr>
        <w:numPr>
          <w:ilvl w:val="0"/>
          <w:numId w:val="1004"/>
        </w:numPr>
      </w:pPr>
      <w:r>
        <w:t xml:space="preserve">Cross-tenant reporting is produced manually each month, usually</w:t>
      </w:r>
      <w:r>
        <w:t xml:space="preserve"> </w:t>
      </w:r>
      <w:r>
        <w:t xml:space="preserve">&gt; several days late.</w:t>
      </w:r>
    </w:p>
    <w:p>
      <w:pPr>
        <w:numPr>
          <w:ilvl w:val="0"/>
          <w:numId w:val="1004"/>
        </w:numPr>
      </w:pPr>
      <w:r>
        <w:t xml:space="preserve">Compliance evidence (PDPL, Labor Law, SI filings) is reconstructed</w:t>
      </w:r>
      <w:r>
        <w:t xml:space="preserve"> </w:t>
      </w:r>
      <w:r>
        <w:t xml:space="preserve">&gt; reactively on audit.</w:t>
      </w:r>
    </w:p>
    <w:p>
      <w:pPr>
        <w:pStyle w:val="FirstParagraph"/>
      </w:pPr>
      <w:r>
        <w:rPr>
          <w:b/>
        </w:rPr>
        <w:t xml:space="preserve">3.3 Future State (Praxion)</w:t>
      </w:r>
    </w:p>
    <w:p>
      <w:pPr>
        <w:numPr>
          <w:ilvl w:val="0"/>
          <w:numId w:val="1005"/>
        </w:numPr>
      </w:pPr>
      <w:r>
        <w:t xml:space="preserve">Single multi-tenant platform owns all HR records with strict tenant</w:t>
      </w:r>
      <w:r>
        <w:t xml:space="preserve"> </w:t>
      </w:r>
      <w:r>
        <w:t xml:space="preserve">&gt; isolation.</w:t>
      </w:r>
    </w:p>
    <w:p>
      <w:pPr>
        <w:numPr>
          <w:ilvl w:val="0"/>
          <w:numId w:val="1005"/>
        </w:numPr>
      </w:pPr>
      <w:r>
        <w:t xml:space="preserve">Every transaction is audit-logged with actor, timestamp, tenant</w:t>
      </w:r>
      <w:r>
        <w:t xml:space="preserve"> </w:t>
      </w:r>
      <w:r>
        <w:t xml:space="preserve">&gt; context and before/after state.</w:t>
      </w:r>
    </w:p>
    <w:p>
      <w:pPr>
        <w:numPr>
          <w:ilvl w:val="0"/>
          <w:numId w:val="1005"/>
        </w:numPr>
      </w:pPr>
      <w:r>
        <w:t xml:space="preserve">Clients self-serve via a Client Portal and their own tenant scope.</w:t>
      </w:r>
    </w:p>
    <w:p>
      <w:pPr>
        <w:numPr>
          <w:ilvl w:val="0"/>
          <w:numId w:val="1005"/>
        </w:numPr>
      </w:pPr>
      <w:r>
        <w:t xml:space="preserve">Automated compliance: tax tables, EOSB, NOSI forms, PDPL DSRs, ETA</w:t>
      </w:r>
      <w:r>
        <w:t xml:space="preserve"> </w:t>
      </w:r>
      <w:r>
        <w:t xml:space="preserve">&gt; e-invoices.</w:t>
      </w:r>
    </w:p>
    <w:p>
      <w:pPr>
        <w:numPr>
          <w:ilvl w:val="0"/>
          <w:numId w:val="1005"/>
        </w:numPr>
      </w:pPr>
      <w:r>
        <w:t xml:space="preserve">Cross-tenant analytics surface trends, SLA breaches, and capacity</w:t>
      </w:r>
      <w:r>
        <w:t xml:space="preserve"> </w:t>
      </w:r>
      <w:r>
        <w:t xml:space="preserve">&gt; gaps in real time.</w:t>
      </w:r>
    </w:p>
    <w:p>
      <w:pPr>
        <w:numPr>
          <w:ilvl w:val="0"/>
          <w:numId w:val="1005"/>
        </w:numPr>
      </w:pPr>
      <w:r>
        <w:t xml:space="preserve">Mobile-first experience for employees and approvers with</w:t>
      </w:r>
      <w:r>
        <w:t xml:space="preserve"> </w:t>
      </w:r>
      <w:r>
        <w:t xml:space="preserve">&gt; offline-capable workflows.</w:t>
      </w:r>
    </w:p>
    <w:p>
      <w:pPr>
        <w:pStyle w:val="FirstParagraph"/>
      </w:pPr>
      <w:r>
        <w:rPr>
          <w:b/>
        </w:rPr>
        <w:t xml:space="preserve">3.4 Where This Module Fits</w:t>
      </w:r>
    </w:p>
    <w:p>
      <w:pPr>
        <w:pStyle w:val="BodyText"/>
      </w:pPr>
      <w:r>
        <w:t xml:space="preserve">Benefits/Expenses read employees from M1, integrate with Payroll (M6)</w:t>
      </w:r>
      <w:r>
        <w:t xml:space="preserve"> </w:t>
      </w:r>
      <w:r>
        <w:t xml:space="preserve">for reimbursement, and push analytics to M9.</w:t>
      </w:r>
    </w:p>
    <w:p>
      <w:pPr>
        <w:pStyle w:val="BodyText"/>
      </w:pPr>
      <w:r>
        <w:rPr>
          <w:b/>
        </w:rPr>
        <w:t xml:space="preserve">3.5 Module Dependencies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Upstream Dependency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Phase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HRIS (M1)</w:t>
            </w:r>
          </w:p>
        </w:tc>
        <w:tc>
          <w:p>
            <w:pPr>
              <w:pStyle w:val="Compact"/>
              <w:jc w:val="left"/>
            </w:pPr>
            <w:r>
              <w:t xml:space="preserve">Employee master and eligibility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Admin (M10)</w:t>
            </w:r>
          </w:p>
        </w:tc>
        <w:tc>
          <w:p>
            <w:pPr>
              <w:pStyle w:val="Compact"/>
              <w:jc w:val="left"/>
            </w:pPr>
            <w:r>
              <w:t xml:space="preserve">Policy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Downstream Consumer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Phase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(M6)</w:t>
            </w:r>
          </w:p>
        </w:tc>
        <w:tc>
          <w:p>
            <w:pPr>
              <w:pStyle w:val="Compact"/>
              <w:jc w:val="left"/>
            </w:pPr>
            <w:r>
              <w:t xml:space="preserve">Reimbursement via next payroll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(M9)</w:t>
            </w:r>
          </w:p>
        </w:tc>
        <w:tc>
          <w:p>
            <w:pPr>
              <w:pStyle w:val="Compact"/>
              <w:jc w:val="left"/>
            </w:pPr>
            <w:r>
              <w:t xml:space="preserve">Spend categories and trends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</w:rPr>
        <w:t xml:space="preserve">4. Stakeholders and Users</w:t>
      </w:r>
    </w:p>
    <w:p>
      <w:pPr>
        <w:pStyle w:val="BodyText"/>
      </w:pPr>
      <w:r>
        <w:rPr>
          <w:b/>
        </w:rPr>
        <w:t xml:space="preserve">4.1 Stakeholder Matrix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Stakeholder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Interest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Influence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Engagement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Executive (CEO, COO, CFO)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Steering committee, monthly gate reviews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HR Director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Business owner — weekly working 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Finance Director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Payroll, billing, EOSB, ETA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Operations Managers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SMEs for workforce, assignments, SLAs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IT / Security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Architecture, RBAC, PDPL, pen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Recruiters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SMEs for ATS workflow and client requests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Employees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Communications, training, feedback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HR / Hiring Managers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Pilot clients — tenant onboarding and UAT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Finance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Invoice review, budget reconciliation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Employees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Mobile / portal usability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Outsourced Employees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Dual-context onboarding and payslip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Auditors / Regulators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Compliance evidence, DSR workflows</w:t>
            </w:r>
          </w:p>
        </w:tc>
      </w:tr>
    </w:tbl>
    <w:p>
      <w:pPr>
        <w:pStyle w:val="BodyText"/>
      </w:pPr>
      <w:r>
        <w:rPr>
          <w:b/>
        </w:rPr>
        <w:t xml:space="preserve">4.2 User Roles (Relevant to this Module)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Context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Primary Interactions with this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HR Manager</w:t>
            </w:r>
          </w:p>
        </w:tc>
        <w:tc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Manages benefits catalogue and eligibility.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Finance Officer</w:t>
            </w:r>
          </w:p>
        </w:tc>
        <w:tc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Reviews and approves high-value claims.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Line Manager</w:t>
            </w:r>
          </w:p>
        </w:tc>
        <w:tc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p>
            <w:pPr>
              <w:pStyle w:val="Compact"/>
              <w:jc w:val="left"/>
            </w:pPr>
            <w:r>
              <w:t xml:space="preserve">First-level approver of expenses.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p>
            <w:pPr>
              <w:pStyle w:val="Compact"/>
              <w:jc w:val="left"/>
            </w:pPr>
            <w:r>
              <w:t xml:space="preserve">Submits claims; enrols in benefits.</w:t>
            </w:r>
          </w:p>
        </w:tc>
      </w:tr>
    </w:tbl>
    <w:p>
      <w:pPr>
        <w:pStyle w:val="BodyText"/>
      </w:pPr>
      <w:r>
        <w:rPr>
          <w:b/>
        </w:rPr>
        <w:t xml:space="preserve">4.3 RACI Matrix for Module Delivery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Business Sponsor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HR Director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Delivery Lead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Architect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QA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 module scope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Define business rules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 off BRD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Validate functional requirements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 solution design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Define UAT scenarios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 module at UAT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 off for go-live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pPr>
        <w:pStyle w:val="BodyText"/>
      </w:pPr>
      <w:r>
        <w:t xml:space="preserve">Key: R = Responsible · A = Accountable · C = Consulted · I = Informed</w:t>
      </w:r>
    </w:p>
    <w:p>
      <w:pPr>
        <w:pStyle w:val="BodyText"/>
      </w:pPr>
      <w:r>
        <w:rPr>
          <w:b/>
        </w:rPr>
        <w:t xml:space="preserve">5. Scope</w:t>
      </w:r>
    </w:p>
    <w:p>
      <w:pPr>
        <w:pStyle w:val="BodyText"/>
      </w:pPr>
      <w:r>
        <w:rPr>
          <w:b/>
        </w:rPr>
        <w:t xml:space="preserve">5.1 Business Objectives (Module Level)</w:t>
      </w:r>
    </w:p>
    <w:p>
      <w:pPr>
        <w:numPr>
          <w:ilvl w:val="0"/>
          <w:numId w:val="1006"/>
        </w:numPr>
      </w:pPr>
      <w:r>
        <w:t xml:space="preserve">Streamline expense claims with OCR.</w:t>
      </w:r>
    </w:p>
    <w:p>
      <w:pPr>
        <w:numPr>
          <w:ilvl w:val="0"/>
          <w:numId w:val="1006"/>
        </w:numPr>
      </w:pPr>
      <w:r>
        <w:t xml:space="preserve">Enforce benefits eligibility automatically.</w:t>
      </w:r>
    </w:p>
    <w:p>
      <w:pPr>
        <w:numPr>
          <w:ilvl w:val="0"/>
          <w:numId w:val="1006"/>
        </w:numPr>
      </w:pPr>
      <w:r>
        <w:t xml:space="preserve">Cut reimbursement time to under 3 days.</w:t>
      </w:r>
    </w:p>
    <w:p>
      <w:pPr>
        <w:numPr>
          <w:ilvl w:val="0"/>
          <w:numId w:val="1006"/>
        </w:numPr>
      </w:pPr>
      <w:r>
        <w:t xml:space="preserve">Feed analytics with categorised spend data.</w:t>
      </w:r>
    </w:p>
    <w:p>
      <w:pPr>
        <w:pStyle w:val="FirstParagraph"/>
      </w:pPr>
      <w:r>
        <w:rPr>
          <w:b/>
        </w:rPr>
        <w:t xml:space="preserve">5.2 In Scope</w:t>
      </w:r>
    </w:p>
    <w:p>
      <w:pPr>
        <w:numPr>
          <w:ilvl w:val="0"/>
          <w:numId w:val="1007"/>
        </w:numPr>
      </w:pPr>
      <w:r>
        <w:t xml:space="preserve">Benefits catalogue and eligibility rules.</w:t>
      </w:r>
    </w:p>
    <w:p>
      <w:pPr>
        <w:numPr>
          <w:ilvl w:val="0"/>
          <w:numId w:val="1007"/>
        </w:numPr>
      </w:pPr>
      <w:r>
        <w:t xml:space="preserve">Benefits enrolment workflows.</w:t>
      </w:r>
    </w:p>
    <w:p>
      <w:pPr>
        <w:numPr>
          <w:ilvl w:val="0"/>
          <w:numId w:val="1007"/>
        </w:numPr>
      </w:pPr>
      <w:r>
        <w:t xml:space="preserve">Expense claim submission with OCR receipt capture.</w:t>
      </w:r>
    </w:p>
    <w:p>
      <w:pPr>
        <w:numPr>
          <w:ilvl w:val="0"/>
          <w:numId w:val="1007"/>
        </w:numPr>
      </w:pPr>
      <w:r>
        <w:t xml:space="preserve">Policy-driven approval chains.</w:t>
      </w:r>
    </w:p>
    <w:p>
      <w:pPr>
        <w:numPr>
          <w:ilvl w:val="0"/>
          <w:numId w:val="1007"/>
        </w:numPr>
      </w:pPr>
      <w:r>
        <w:t xml:space="preserve">Reimbursement hand-off to Payroll.</w:t>
      </w:r>
    </w:p>
    <w:p>
      <w:pPr>
        <w:numPr>
          <w:ilvl w:val="0"/>
          <w:numId w:val="1007"/>
        </w:numPr>
      </w:pPr>
      <w:r>
        <w:t xml:space="preserve">Spend analytics per category.</w:t>
      </w:r>
    </w:p>
    <w:p>
      <w:pPr>
        <w:pStyle w:val="FirstParagraph"/>
      </w:pPr>
      <w:r>
        <w:rPr>
          <w:b/>
        </w:rPr>
        <w:t xml:space="preserve">5.3 Out of Scope</w:t>
      </w:r>
    </w:p>
    <w:p>
      <w:pPr>
        <w:numPr>
          <w:ilvl w:val="0"/>
          <w:numId w:val="1008"/>
        </w:numPr>
      </w:pPr>
      <w:r>
        <w:t xml:space="preserve">Direct payment execution (handled by payroll or AP).</w:t>
      </w:r>
    </w:p>
    <w:p>
      <w:pPr>
        <w:numPr>
          <w:ilvl w:val="0"/>
          <w:numId w:val="1008"/>
        </w:numPr>
      </w:pPr>
      <w:r>
        <w:t xml:space="preserve">Corporate card management (future phase).</w:t>
      </w:r>
    </w:p>
    <w:p>
      <w:pPr>
        <w:pStyle w:val="FirstParagraph"/>
      </w:pPr>
      <w:r>
        <w:rPr>
          <w:b/>
        </w:rPr>
        <w:t xml:space="preserve">5.4 Assumptions</w:t>
      </w:r>
    </w:p>
    <w:p>
      <w:pPr>
        <w:numPr>
          <w:ilvl w:val="0"/>
          <w:numId w:val="1009"/>
        </w:numPr>
      </w:pPr>
      <w:r>
        <w:t xml:space="preserve">Egybell entity legal structure, tax registration, and social</w:t>
      </w:r>
      <w:r>
        <w:t xml:space="preserve"> </w:t>
      </w:r>
      <w:r>
        <w:t xml:space="preserve">&gt; insurance numbers are valid and available.</w:t>
      </w:r>
    </w:p>
    <w:p>
      <w:pPr>
        <w:numPr>
          <w:ilvl w:val="0"/>
          <w:numId w:val="1009"/>
        </w:numPr>
      </w:pPr>
      <w:r>
        <w:t xml:space="preserve">Required master data (departments, job titles, cost centres) is</w:t>
      </w:r>
      <w:r>
        <w:t xml:space="preserve"> </w:t>
      </w:r>
      <w:r>
        <w:t xml:space="preserve">&gt; curated and approved prior to cutover.</w:t>
      </w:r>
    </w:p>
    <w:p>
      <w:pPr>
        <w:numPr>
          <w:ilvl w:val="0"/>
          <w:numId w:val="1009"/>
        </w:numPr>
      </w:pPr>
      <w:r>
        <w:t xml:space="preserve">Pilot client tenants cooperate with onboarding and UAT timelines.</w:t>
      </w:r>
    </w:p>
    <w:p>
      <w:pPr>
        <w:numPr>
          <w:ilvl w:val="0"/>
          <w:numId w:val="1009"/>
        </w:numPr>
      </w:pPr>
      <w:r>
        <w:t xml:space="preserve">Source data from legacy Excel/Word systems is exportable and</w:t>
      </w:r>
      <w:r>
        <w:t xml:space="preserve"> </w:t>
      </w:r>
      <w:r>
        <w:t xml:space="preserve">&gt; reasonably consistent.</w:t>
      </w:r>
    </w:p>
    <w:p>
      <w:pPr>
        <w:numPr>
          <w:ilvl w:val="0"/>
          <w:numId w:val="1009"/>
        </w:numPr>
      </w:pPr>
      <w:r>
        <w:t xml:space="preserve">Stakeholder availability for workshops, reviews, and UAT follows the</w:t>
      </w:r>
      <w:r>
        <w:t xml:space="preserve"> </w:t>
      </w:r>
      <w:r>
        <w:t xml:space="preserve">&gt; programme plan.</w:t>
      </w:r>
    </w:p>
    <w:p>
      <w:pPr>
        <w:pStyle w:val="FirstParagraph"/>
      </w:pPr>
      <w:r>
        <w:rPr>
          <w:b/>
        </w:rPr>
        <w:t xml:space="preserve">5.5 Constraints</w:t>
      </w:r>
    </w:p>
    <w:p>
      <w:pPr>
        <w:numPr>
          <w:ilvl w:val="0"/>
          <w:numId w:val="1010"/>
        </w:numPr>
      </w:pPr>
      <w:r>
        <w:t xml:space="preserve">Fixed go-live date of 14 March 2027.</w:t>
      </w:r>
    </w:p>
    <w:p>
      <w:pPr>
        <w:numPr>
          <w:ilvl w:val="0"/>
          <w:numId w:val="1010"/>
        </w:numPr>
      </w:pPr>
      <w:r>
        <w:t xml:space="preserve">All data must reside in-region consistent with PDPL; cross-border</w:t>
      </w:r>
      <w:r>
        <w:t xml:space="preserve"> </w:t>
      </w:r>
      <w:r>
        <w:t xml:space="preserve">&gt; transfer requires explicit legal review.</w:t>
      </w:r>
    </w:p>
    <w:p>
      <w:pPr>
        <w:numPr>
          <w:ilvl w:val="0"/>
          <w:numId w:val="1010"/>
        </w:numPr>
      </w:pPr>
      <w:r>
        <w:t xml:space="preserve">Egyptian statutory changes (tax, SI) must be absorbed through the</w:t>
      </w:r>
      <w:r>
        <w:t xml:space="preserve"> </w:t>
      </w:r>
      <w:r>
        <w:t xml:space="preserve">&gt; configuration engine — no hot code changes.</w:t>
      </w:r>
    </w:p>
    <w:p>
      <w:pPr>
        <w:numPr>
          <w:ilvl w:val="0"/>
          <w:numId w:val="1010"/>
        </w:numPr>
      </w:pPr>
      <w:r>
        <w:t xml:space="preserve">Multi-tenant isolation is non-negotiable; every query must be</w:t>
      </w:r>
      <w:r>
        <w:t xml:space="preserve"> </w:t>
      </w:r>
      <w:r>
        <w:t xml:space="preserve">&gt; tenant-scoped via RLS.</w:t>
      </w:r>
    </w:p>
    <w:p>
      <w:pPr>
        <w:numPr>
          <w:ilvl w:val="0"/>
          <w:numId w:val="1010"/>
        </w:numPr>
      </w:pPr>
      <w:r>
        <w:t xml:space="preserve">Brand system (colors, fonts, logo) must be applied to every</w:t>
      </w:r>
      <w:r>
        <w:t xml:space="preserve"> </w:t>
      </w:r>
      <w:r>
        <w:t xml:space="preserve">&gt; delivered surface per Praxion Brand Identity v3.</w:t>
      </w:r>
    </w:p>
    <w:p>
      <w:pPr>
        <w:pStyle w:val="FirstParagraph"/>
      </w:pPr>
      <w:r>
        <w:rPr>
          <w:b/>
        </w:rPr>
        <w:t xml:space="preserve">6. Business Rules</w:t>
      </w:r>
    </w:p>
    <w:p>
      <w:pPr>
        <w:pStyle w:val="BodyText"/>
      </w:pPr>
      <w:r>
        <w:t xml:space="preserve">Business rules are authoritative statements that constrain or drive</w:t>
      </w:r>
      <w:r>
        <w:t xml:space="preserve"> </w:t>
      </w:r>
      <w:r>
        <w:t xml:space="preserve">module behaviour. They are numbered for traceability from functional</w:t>
      </w:r>
      <w:r>
        <w:t xml:space="preserve"> </w:t>
      </w:r>
      <w:r>
        <w:t xml:space="preserve">requirements and test cases.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Rationale / 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BR-M7-001</w:t>
            </w:r>
          </w:p>
        </w:tc>
        <w:tc>
          <w:p>
            <w:pPr>
              <w:pStyle w:val="Compact"/>
              <w:jc w:val="left"/>
            </w:pPr>
            <w:r>
              <w:t xml:space="preserve">Eligibility for benefits must be enforced automatically from employee type, tenure and role.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BR-M7-002</w:t>
            </w:r>
          </w:p>
        </w:tc>
        <w:tc>
          <w:p>
            <w:pPr>
              <w:pStyle w:val="Compact"/>
              <w:jc w:val="left"/>
            </w:pPr>
            <w:r>
              <w:t xml:space="preserve">Expense claims must attach receipts; OCR fields must match the claim header.</w:t>
            </w:r>
          </w:p>
        </w:tc>
        <w:tc>
          <w:p>
            <w:pPr>
              <w:pStyle w:val="Compact"/>
              <w:jc w:val="left"/>
            </w:pPr>
            <w:r>
              <w:t xml:space="preserve">Fraud prevention</w:t>
            </w:r>
          </w:p>
        </w:tc>
        <w:tc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BR-M7-003</w:t>
            </w:r>
          </w:p>
        </w:tc>
        <w:tc>
          <w:p>
            <w:pPr>
              <w:pStyle w:val="Compact"/>
              <w:jc w:val="left"/>
            </w:pPr>
            <w:r>
              <w:t xml:space="preserve">Duplicate receipt detection must block resubmission of the same receipt.</w:t>
            </w:r>
          </w:p>
        </w:tc>
        <w:tc>
          <w:p>
            <w:pPr>
              <w:pStyle w:val="Compact"/>
              <w:jc w:val="left"/>
            </w:pPr>
            <w:r>
              <w:t xml:space="preserve">Fraud prevention</w:t>
            </w:r>
          </w:p>
        </w:tc>
        <w:tc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BR-M7-004</w:t>
            </w:r>
          </w:p>
        </w:tc>
        <w:tc>
          <w:p>
            <w:pPr>
              <w:pStyle w:val="Compact"/>
              <w:jc w:val="left"/>
            </w:pPr>
            <w:r>
              <w:t xml:space="preserve">Claims exceeding policy limits require additional approver.</w:t>
            </w:r>
          </w:p>
        </w:tc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BR-M7-005</w:t>
            </w:r>
          </w:p>
        </w:tc>
        <w:tc>
          <w:p>
            <w:pPr>
              <w:pStyle w:val="Compact"/>
              <w:jc w:val="left"/>
            </w:pPr>
            <w:r>
              <w:t xml:space="preserve">Reimbursement must flow via Payroll (M6); no direct cash disbursement.</w:t>
            </w:r>
          </w:p>
        </w:tc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BR-M7-006</w:t>
            </w:r>
          </w:p>
        </w:tc>
        <w:tc>
          <w:p>
            <w:pPr>
              <w:pStyle w:val="Compact"/>
              <w:jc w:val="left"/>
            </w:pPr>
            <w:r>
              <w:t xml:space="preserve">NEW (v2): Every allowance, benefit and deduction in the catalogue must carry a Tax Pool flag in</w:t>
            </w:r>
          </w:p>
        </w:tc>
        <w:tc>
          <w:p>
            <w:pPr>
              <w:pStyle w:val="Compact"/>
              <w:jc w:val="left"/>
            </w:pPr>
            <w:r>
              <w:t xml:space="preserve">dicating whether it is in</w:t>
            </w:r>
          </w:p>
        </w:tc>
        <w:tc>
          <w:p>
            <w:pPr>
              <w:pStyle w:val="Compact"/>
              <w:jc w:val="left"/>
            </w:pPr>
            <w:r>
              <w:t xml:space="preserve">cluded in the employee’s taxable base; components without the flag are excluded from income-tax computation by M6. EGYBELL Payroll System (Company Setup screen —</w:t>
            </w:r>
            <w:r>
              <w:t xml:space="preserve"> </w:t>
            </w:r>
            <w:r>
              <w:t xml:space="preserve">“</w:t>
            </w:r>
            <w:r>
              <w:t xml:space="preserve">Tax pool</w:t>
            </w:r>
            <w:r>
              <w:t xml:space="preserve">”</w:t>
            </w:r>
            <w:r>
              <w:t xml:space="preserve"> </w:t>
            </w:r>
            <w:r>
              <w:t xml:space="preserve">column) 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BR-M7-007</w:t>
            </w:r>
          </w:p>
        </w:tc>
        <w:tc>
          <w:p>
            <w:pPr>
              <w:pStyle w:val="Compact"/>
              <w:jc w:val="left"/>
            </w:pPr>
            <w:r>
              <w:t xml:space="preserve">NEW (v2): Each fixed allowance, benefit or deduction may carry a Target (per-employee or per-de</w:t>
            </w:r>
          </w:p>
        </w:tc>
        <w:tc>
          <w:p>
            <w:pPr>
              <w:pStyle w:val="Compact"/>
              <w:jc w:val="left"/>
            </w:pPr>
            <w:r>
              <w:t xml:space="preserve">partment cap). When a Tar</w:t>
            </w:r>
          </w:p>
        </w:tc>
        <w:tc>
          <w:p>
            <w:pPr>
              <w:pStyle w:val="Compact"/>
              <w:jc w:val="left"/>
            </w:pPr>
            <w:r>
              <w:t xml:space="preserve">get is set, M6 must stop accruing the component once the cap is reached within the configured period (monthly / quarterly / annually). EGYBELL Payroll System (Fixed Parameters screen —</w:t>
            </w:r>
            <w:r>
              <w:t xml:space="preserve"> </w:t>
            </w:r>
            <w:r>
              <w:t xml:space="preserve">“</w:t>
            </w:r>
            <w:r>
              <w:t xml:space="preserve">Target</w:t>
            </w:r>
            <w:r>
              <w:t xml:space="preserve">”</w:t>
            </w:r>
            <w:r>
              <w:t xml:space="preserve"> </w:t>
            </w:r>
            <w:r>
              <w:t xml:space="preserve">column) 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BR-M7-008</w:t>
            </w:r>
          </w:p>
        </w:tc>
        <w:tc>
          <w:p>
            <w:pPr>
              <w:pStyle w:val="Compact"/>
              <w:jc w:val="left"/>
            </w:pPr>
            <w:r>
              <w:t xml:space="preserve">NEW (v2): Catalogue entries must be scoped by Company → Department so that the same component c</w:t>
            </w:r>
          </w:p>
        </w:tc>
        <w:tc>
          <w:p>
            <w:pPr>
              <w:pStyle w:val="Compact"/>
              <w:jc w:val="left"/>
            </w:pPr>
            <w:r>
              <w:t xml:space="preserve">an have different amounts</w:t>
            </w:r>
          </w:p>
        </w:tc>
        <w:tc>
          <w:p>
            <w:pPr>
              <w:pStyle w:val="Compact"/>
              <w:jc w:val="left"/>
            </w:pPr>
            <w:r>
              <w:t xml:space="preserve">or Targets per department; the master record is tenant-scoped and inherits defaults unless overridden. EGYBELL Payroll System (Fixed Parameters screen — Company / Department filters) 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BR-M7-009</w:t>
            </w:r>
          </w:p>
        </w:tc>
        <w:tc>
          <w:p>
            <w:pPr>
              <w:pStyle w:val="Compact"/>
              <w:jc w:val="left"/>
            </w:pPr>
            <w:r>
              <w:t xml:space="preserve">NEW (v2): In-kind benefits (non-cash) must support an</w:t>
            </w:r>
            <w:r>
              <w:t xml:space="preserve"> </w:t>
            </w:r>
            <w:r>
              <w:t xml:space="preserve">“</w:t>
            </w:r>
            <w:r>
              <w:t xml:space="preserve">In-Kind Deduction is a Target</w:t>
            </w:r>
            <w:r>
              <w:t xml:space="preserve">”</w:t>
            </w:r>
            <w:r>
              <w:t xml:space="preserve"> </w:t>
            </w:r>
            <w:r>
              <w:t xml:space="preserve">flag; whe</w:t>
            </w:r>
          </w:p>
        </w:tc>
        <w:tc>
          <w:p>
            <w:pPr>
              <w:pStyle w:val="Compact"/>
              <w:jc w:val="left"/>
            </w:pPr>
            <w:r>
              <w:t xml:space="preserve">n set, the benefit is tre</w:t>
            </w:r>
          </w:p>
        </w:tc>
        <w:tc>
          <w:p>
            <w:pPr>
              <w:pStyle w:val="Compact"/>
              <w:jc w:val="left"/>
            </w:pPr>
            <w:r>
              <w:t xml:space="preserve">ated as an earnings item that reduces net cash payout by the equivalent value rather than flowing through as a cash allowance. EGYBELL Payroll System (Company Setup screen —</w:t>
            </w:r>
            <w:r>
              <w:t xml:space="preserve"> </w:t>
            </w:r>
            <w:r>
              <w:t xml:space="preserve">“</w:t>
            </w:r>
            <w:r>
              <w:t xml:space="preserve">In-kind deduction is a target</w:t>
            </w:r>
            <w:r>
              <w:t xml:space="preserve">”</w:t>
            </w:r>
            <w:r>
              <w:t xml:space="preserve"> </w:t>
            </w:r>
            <w:r>
              <w:t xml:space="preserve">flag) 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BR-M7-010</w:t>
            </w:r>
          </w:p>
        </w:tc>
        <w:tc>
          <w:p>
            <w:pPr>
              <w:pStyle w:val="Compact"/>
              <w:jc w:val="left"/>
            </w:pPr>
            <w:r>
              <w:t xml:space="preserve">NEW (v2): The variable / dynamic pay taxonomy must include at least: Pay Cut, Reward, Exception</w:t>
            </w:r>
          </w:p>
        </w:tc>
        <w:tc>
          <w:p>
            <w:pPr>
              <w:pStyle w:val="Compact"/>
              <w:jc w:val="left"/>
            </w:pPr>
            <w:r>
              <w:t xml:space="preserve">al Allowance, Variable Al</w:t>
            </w:r>
          </w:p>
        </w:tc>
        <w:tc>
          <w:p>
            <w:pPr>
              <w:pStyle w:val="Compact"/>
              <w:jc w:val="left"/>
            </w:pPr>
            <w:r>
              <w:t xml:space="preserve">lowance, and Various Deductions. Each variable line must record a Count Method (once / per-occurrence / per-period) that drives how M6 aggregates the line within the payroll cycle. EGYBELL Payroll System (Dynamic Parameters screen) Mandatory</w:t>
            </w:r>
          </w:p>
        </w:tc>
      </w:tr>
    </w:tbl>
    <w:p>
      <w:pPr>
        <w:pStyle w:val="BodyText"/>
      </w:pPr>
      <w:r>
        <w:rPr>
          <w:b/>
        </w:rPr>
        <w:t xml:space="preserve">7. Functional Requirements</w:t>
      </w:r>
    </w:p>
    <w:p>
      <w:pPr>
        <w:pStyle w:val="BodyText"/>
      </w:pPr>
      <w:r>
        <w:t xml:space="preserve">Functional Requirements (FRs) describe what the system must do. Each FR</w:t>
      </w:r>
      <w:r>
        <w:t xml:space="preserve"> </w:t>
      </w:r>
      <w:r>
        <w:t xml:space="preserve">has a unique identifier and is traceable to one or more business rules</w:t>
      </w:r>
      <w:r>
        <w:t xml:space="preserve"> </w:t>
      </w:r>
      <w:r>
        <w:t xml:space="preserve">and user stories. Priority follows the MoSCoW convention: M = Must, S =</w:t>
      </w:r>
      <w:r>
        <w:t xml:space="preserve"> </w:t>
      </w:r>
      <w:r>
        <w:t xml:space="preserve">Should, C = Could, W = Won't (this release).</w:t>
      </w:r>
    </w:p>
    <w:p>
      <w:pPr>
        <w:pStyle w:val="BodyText"/>
      </w:pPr>
      <w:r>
        <w:rPr>
          <w:b/>
        </w:rPr>
        <w:t xml:space="preserve">7.1 Benefits</w:t>
      </w:r>
    </w:p>
    <w:p>
      <w:pPr>
        <w:pStyle w:val="BodyText"/>
      </w:pPr>
      <w:r>
        <w:t xml:space="preserve">Catalogue, eligibility and enrolment.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FR-M7-001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maintain a benefits catalogue per tenant.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FR-M7-002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enforce eligibility by rules.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FR-M7-003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support enrolment workflows with effective dates.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FR-M7-004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feed active benefits to Payroll for allowances.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</w:rPr>
        <w:t xml:space="preserve">7.2 Expenses</w:t>
      </w:r>
    </w:p>
    <w:p>
      <w:pPr>
        <w:pStyle w:val="BodyText"/>
      </w:pPr>
      <w:r>
        <w:t xml:space="preserve">Claim submission, OCR, approval and reimbursement.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FR-M7-001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allow employees to submit expense claims with receipt upload.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FR-M7-002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OCR receipts and pre-populate claim fields.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FR-M7-003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detect duplicate receipts via hash and OCR match.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FR-M7-004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route claims via configurable approval chains.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FR-M7-005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hand off approved claims to Payroll for reimbursement.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</w:rPr>
        <w:t xml:space="preserve">7.3 Allowance / Benefit / Deduction Master Data (NEW in v2)</w:t>
      </w:r>
    </w:p>
    <w:p>
      <w:pPr>
        <w:pStyle w:val="BodyText"/>
      </w:pPr>
      <w:r>
        <w:t xml:space="preserve">The compensation-component master data owned by M7 is the source of</w:t>
      </w:r>
      <w:r>
        <w:t xml:space="preserve"> </w:t>
      </w:r>
      <w:r>
        <w:t xml:space="preserve">truth that M6 Payroll consumes when calculating fixed and variable</w:t>
      </w:r>
      <w:r>
        <w:t xml:space="preserve"> </w:t>
      </w:r>
      <w:r>
        <w:t xml:space="preserve">earnings and deductions. v2 adds the tax-pool flag, Target cap, and</w:t>
      </w:r>
      <w:r>
        <w:t xml:space="preserve"> </w:t>
      </w:r>
      <w:r>
        <w:t xml:space="preserve">per-department scoping surfaced by the Egybell legacy payroll system.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FR-M7-301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maintain a component catalogue keyed by Code + Name, classified by Type (Allowance / In-Kind Benefit / Deduction / Various), owned at Company level and optionally scoped to Department.</w:t>
            </w:r>
          </w:p>
        </w:tc>
        <w:tc>
          <w:p>
            <w:pPr>
              <w:pStyle w:val="Compact"/>
              <w:jc w:val="righ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FR-M7-302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persist a Tax Pool flag on every catalogue entry; M6 shall include only tax-pool-flagged components in the taxable base when computing PIT.</w:t>
            </w:r>
          </w:p>
        </w:tc>
        <w:tc>
          <w:p>
            <w:pPr>
              <w:pStyle w:val="Compact"/>
              <w:jc w:val="righ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FR-M7-303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persist a Target attribute (amount + period: monthly / quarterly / annually) on fixed components; M6 shall stop accruing the component once the Target is reached within the period and log the cutoff on the employee payslip.</w:t>
            </w:r>
          </w:p>
        </w:tc>
        <w:tc>
          <w:p>
            <w:pPr>
              <w:pStyle w:val="Compact"/>
              <w:jc w:val="righ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FR-M7-304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persist an</w:t>
            </w:r>
            <w:r>
              <w:t xml:space="preserve"> </w:t>
            </w:r>
            <w:r>
              <w:t xml:space="preserve">“</w:t>
            </w:r>
            <w:r>
              <w:t xml:space="preserve">In-Kind Deduction is a Target</w:t>
            </w:r>
            <w:r>
              <w:t xml:space="preserve">”</w:t>
            </w:r>
            <w:r>
              <w:t xml:space="preserve"> </w:t>
            </w:r>
            <w:r>
              <w:t xml:space="preserve">flag on in-kind benefit entries; when set, the component is treated as a net-reducing earnings item in M6 rather than a cash allowance.</w:t>
            </w:r>
          </w:p>
        </w:tc>
        <w:tc>
          <w:p>
            <w:pPr>
              <w:pStyle w:val="Compact"/>
              <w:jc w:val="righ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FR-M7-305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expose the catalogue to Payroll Setup screens (fixed vs. dynamic parameters) with the same filter surface as the legacy system (Company → Department → Type).</w:t>
            </w:r>
          </w:p>
        </w:tc>
        <w:tc>
          <w:p>
            <w:pPr>
              <w:pStyle w:val="Compact"/>
              <w:jc w:val="righ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FR-M7-306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support the variable / dynamic pay taxonomy: Pay Cut, Reward, Exceptional Allowance, Variable Allowance, Various Deductions; each variable line records an effective month and Count Method (once / per-occurrence / per-period).</w:t>
            </w:r>
          </w:p>
        </w:tc>
        <w:tc>
          <w:p>
            <w:pPr>
              <w:pStyle w:val="Compact"/>
              <w:jc w:val="righ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FR-M7-307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expose a bulk-import screen for catalogue rows, accepting the legacy Fixed Parameters sheet structure (Code, Name, Amount, Target) and surfacing validation errors inline.</w:t>
            </w:r>
          </w:p>
        </w:tc>
        <w:tc>
          <w:p>
            <w:pPr>
              <w:pStyle w:val="Compact"/>
              <w:jc w:val="righ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FR-M7-308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version catalogue entries: edits to Amount or Target create a new effective-dated version; prior versions remain queryable for payroll reconciliation.</w:t>
            </w:r>
          </w:p>
        </w:tc>
        <w:tc>
          <w:p>
            <w:pPr>
              <w:pStyle w:val="Compact"/>
              <w:jc w:val="righ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FR-M7-309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publish catalogue changes to M6 within 60 seconds of save; M6 shall consume the new effective-dated versions on the next pay cycle that opens after the effective date.</w:t>
            </w:r>
          </w:p>
        </w:tc>
        <w:tc>
          <w:p>
            <w:pPr>
              <w:pStyle w:val="Compact"/>
              <w:jc w:val="right"/>
            </w:pPr>
            <w:r>
              <w:t xml:space="preserve">S</w:t>
            </w:r>
          </w:p>
        </w:tc>
      </w:tr>
    </w:tbl>
    <w:p>
      <w:pPr>
        <w:pStyle w:val="BodyText"/>
      </w:pPr>
      <w:r>
        <w:rPr>
          <w:b/>
        </w:rPr>
        <w:t xml:space="preserve">8. Non-Functional Requirements</w:t>
      </w:r>
    </w:p>
    <w:p>
      <w:pPr>
        <w:pStyle w:val="BodyText"/>
      </w:pPr>
      <w:r>
        <w:t xml:space="preserve">Non-Functional Requirements (NFRs) apply across every Praxion module.</w:t>
      </w:r>
      <w:r>
        <w:t xml:space="preserve"> </w:t>
      </w:r>
      <w:r>
        <w:t xml:space="preserve">Where this module has elevated NFR targets beyond the platform baseline,</w:t>
      </w:r>
      <w:r>
        <w:t xml:space="preserve"> </w:t>
      </w:r>
      <w:r>
        <w:t xml:space="preserve">they are called out explicitly.</w:t>
      </w:r>
    </w:p>
    <w:p>
      <w:pPr>
        <w:pStyle w:val="BodyText"/>
      </w:pPr>
      <w:r>
        <w:rPr>
          <w:b/>
        </w:rPr>
        <w:t xml:space="preserve">8.1 Performance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NFR-PERF-01</w:t>
            </w:r>
          </w:p>
        </w:tc>
        <w:tc>
          <w:p>
            <w:pPr>
              <w:pStyle w:val="Compact"/>
              <w:jc w:val="left"/>
            </w:pPr>
            <w:r>
              <w:t xml:space="preserve">List and search screens return the first page in ≤ 1.5 seconds at P95 under nominal load.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NFR-PERF-02</w:t>
            </w:r>
          </w:p>
        </w:tc>
        <w:tc>
          <w:p>
            <w:pPr>
              <w:pStyle w:val="Compact"/>
              <w:jc w:val="left"/>
            </w:pPr>
            <w:r>
              <w:t xml:space="preserve">Bulk operations (imports, exports, batch updates) process 10,000 records in ≤ 5 minutes.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NFR-PERF-03</w:t>
            </w:r>
          </w:p>
        </w:tc>
        <w:tc>
          <w:p>
            <w:pPr>
              <w:pStyle w:val="Compact"/>
              <w:jc w:val="left"/>
            </w:pPr>
            <w:r>
              <w:t xml:space="preserve">Concurrency: the module must sustain 500 concurrent users per tenant without degradation.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NFR-PERF-04</w:t>
            </w:r>
          </w:p>
        </w:tc>
        <w:tc>
          <w:p>
            <w:pPr>
              <w:pStyle w:val="Compact"/>
              <w:jc w:val="left"/>
            </w:pPr>
            <w:r>
              <w:t xml:space="preserve">Background jobs must emit progress telemetry every 30 seconds for long-running tasks.</w:t>
            </w:r>
          </w:p>
        </w:tc>
      </w:tr>
    </w:tbl>
    <w:p>
      <w:pPr>
        <w:pStyle w:val="BodyText"/>
      </w:pPr>
      <w:r>
        <w:rPr>
          <w:b/>
        </w:rPr>
        <w:t xml:space="preserve">8.2 Scalability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NFR-SCAL-01</w:t>
            </w:r>
          </w:p>
        </w:tc>
        <w:tc>
          <w:p>
            <w:pPr>
              <w:pStyle w:val="Compact"/>
              <w:jc w:val="left"/>
            </w:pPr>
            <w:r>
              <w:t xml:space="preserve">Horizontally scalable stateless services behind a load balancer; no session affinity required.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NFR-SCAL-02</w:t>
            </w:r>
          </w:p>
        </w:tc>
        <w:tc>
          <w:p>
            <w:pPr>
              <w:pStyle w:val="Compact"/>
              <w:jc w:val="left"/>
            </w:pPr>
            <w:r>
              <w:t xml:space="preserve">Database tier supports read replicas for reporting; writes go to primary with RLS enforced.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NFR-SCAL-03</w:t>
            </w:r>
          </w:p>
        </w:tc>
        <w:tc>
          <w:p>
            <w:pPr>
              <w:pStyle w:val="Compact"/>
              <w:jc w:val="left"/>
            </w:pPr>
            <w:r>
              <w:t xml:space="preserve">Must support up to 100 client tenants and 50,000 employees at go-live without redesign.</w:t>
            </w:r>
          </w:p>
        </w:tc>
      </w:tr>
    </w:tbl>
    <w:p>
      <w:pPr>
        <w:pStyle w:val="BodyText"/>
      </w:pPr>
      <w:r>
        <w:rPr>
          <w:b/>
        </w:rPr>
        <w:t xml:space="preserve">8.3 Availability &amp; Resilience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NFR-AVAIL-01</w:t>
            </w:r>
          </w:p>
        </w:tc>
        <w:tc>
          <w:p>
            <w:pPr>
              <w:pStyle w:val="Compact"/>
              <w:jc w:val="left"/>
            </w:pPr>
            <w:r>
              <w:t xml:space="preserve">Platform target SLA is 99.9% monthly uptime (≤ 43 minutes of unplanned downtime).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NFR-AVAIL-02</w:t>
            </w:r>
          </w:p>
        </w:tc>
        <w:tc>
          <w:p>
            <w:pPr>
              <w:pStyle w:val="Compact"/>
              <w:jc w:val="left"/>
            </w:pPr>
            <w:r>
              <w:t xml:space="preserve">RPO ≤ 15 minutes, RTO ≤ 4 hours, verified by quarterly disaster recovery drill.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NFR-AVAIL-03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degradation: read access must remain available during write-tier incidents.</w:t>
            </w:r>
          </w:p>
        </w:tc>
      </w:tr>
    </w:tbl>
    <w:p>
      <w:pPr>
        <w:pStyle w:val="BodyText"/>
      </w:pPr>
      <w:r>
        <w:rPr>
          <w:b/>
        </w:rPr>
        <w:t xml:space="preserve">8.4 Security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NFR-SEC-01</w:t>
            </w:r>
          </w:p>
        </w:tc>
        <w:tc>
          <w:p>
            <w:pPr>
              <w:pStyle w:val="Compact"/>
              <w:jc w:val="left"/>
            </w:pPr>
            <w:r>
              <w:t xml:space="preserve">All authentication via centrally managed identity with MFA mandatory for privileged roles.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NFR-SEC-02</w:t>
            </w:r>
          </w:p>
        </w:tc>
        <w:tc>
          <w:p>
            <w:pPr>
              <w:pStyle w:val="Compact"/>
              <w:jc w:val="left"/>
            </w:pPr>
            <w:r>
              <w:t xml:space="preserve">All data encrypted in transit (TLS 1.2+) and at rest (AES-256).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NFR-SEC-03</w:t>
            </w:r>
          </w:p>
        </w:tc>
        <w:tc>
          <w:p>
            <w:pPr>
              <w:pStyle w:val="Compact"/>
              <w:jc w:val="left"/>
            </w:pPr>
            <w:r>
              <w:t xml:space="preserve">Row-Level Security enforced on every tenant-scoped query; cross-tenant access is a P1 defect.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NFR-SEC-04</w:t>
            </w:r>
          </w:p>
        </w:tc>
        <w:tc>
          <w:p>
            <w:pPr>
              <w:pStyle w:val="Compact"/>
              <w:jc w:val="left"/>
            </w:pPr>
            <w:r>
              <w:t xml:space="preserve">Per-tenant KMS Data Encryption Keys to enable PDPL crypto-shredding on tenant termination.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NFR-SEC-05</w:t>
            </w:r>
          </w:p>
        </w:tc>
        <w:tc>
          <w:p>
            <w:pPr>
              <w:pStyle w:val="Compact"/>
              <w:jc w:val="left"/>
            </w:pPr>
            <w:r>
              <w:t xml:space="preserve">Annual penetration test plus automated cross-tenant isolation tests in CI.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NFR-SEC-06</w:t>
            </w:r>
          </w:p>
        </w:tc>
        <w:tc>
          <w:p>
            <w:pPr>
              <w:pStyle w:val="Compact"/>
              <w:jc w:val="left"/>
            </w:pPr>
            <w:r>
              <w:t xml:space="preserve">Role-Based Access Control with principle of least privilege and quarterly access reviews.</w:t>
            </w:r>
          </w:p>
        </w:tc>
      </w:tr>
    </w:tbl>
    <w:p>
      <w:pPr>
        <w:pStyle w:val="BodyText"/>
      </w:pPr>
      <w:r>
        <w:rPr>
          <w:b/>
        </w:rPr>
        <w:t xml:space="preserve">8.5 Privacy &amp; Compliance (PDPL 151/2020)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NFR-PDPL-01</w:t>
            </w:r>
          </w:p>
        </w:tc>
        <w:tc>
          <w:p>
            <w:pPr>
              <w:pStyle w:val="Compact"/>
              <w:jc w:val="left"/>
            </w:pPr>
            <w:r>
              <w:t xml:space="preserve">Consent management captured per subject, purpose, and legal basis.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NFR-PDPL-02</w:t>
            </w:r>
          </w:p>
        </w:tc>
        <w:tc>
          <w:p>
            <w:pPr>
              <w:pStyle w:val="Compact"/>
              <w:jc w:val="left"/>
            </w:pPr>
            <w:r>
              <w:t xml:space="preserve">Data Subject Requests (access, rectification, erasure) fulfilled within statutory SLA.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NFR-PDPL-03</w:t>
            </w:r>
          </w:p>
        </w:tc>
        <w:tc>
          <w:p>
            <w:pPr>
              <w:pStyle w:val="Compact"/>
              <w:jc w:val="left"/>
            </w:pPr>
            <w:r>
              <w:t xml:space="preserve">Field-level PII masking enforced for cross-tenant projections of outsourced employees.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NFR-PDPL-04</w:t>
            </w:r>
          </w:p>
        </w:tc>
        <w:tc>
          <w:p>
            <w:pPr>
              <w:pStyle w:val="Compact"/>
              <w:jc w:val="left"/>
            </w:pPr>
            <w:r>
              <w:t xml:space="preserve">Breach notification workflow triggers at detection with a 72-hour regulator alert path.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NFR-PDPL-05</w:t>
            </w:r>
          </w:p>
        </w:tc>
        <w:tc>
          <w:p>
            <w:pPr>
              <w:pStyle w:val="Compact"/>
              <w:jc w:val="left"/>
            </w:pPr>
            <w:r>
              <w:t xml:space="preserve">Crypto-shredding on tenant termination by destroying per-tenant DEKs.</w:t>
            </w:r>
          </w:p>
        </w:tc>
      </w:tr>
    </w:tbl>
    <w:p>
      <w:pPr>
        <w:pStyle w:val="BodyText"/>
      </w:pPr>
      <w:r>
        <w:rPr>
          <w:b/>
        </w:rPr>
        <w:t xml:space="preserve">8.6 Usability &amp; Accessibility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NFR-UX-01</w:t>
            </w:r>
          </w:p>
        </w:tc>
        <w:tc>
          <w:p>
            <w:pPr>
              <w:pStyle w:val="Compact"/>
              <w:jc w:val="left"/>
            </w:pPr>
            <w:r>
              <w:t xml:space="preserve">All user-facing surfaces conform to WCAG 2.1 Level AA as minimum.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NFR-UX-02</w:t>
            </w:r>
          </w:p>
        </w:tc>
        <w:tc>
          <w:p>
            <w:pPr>
              <w:pStyle w:val="Compact"/>
              <w:jc w:val="left"/>
            </w:pPr>
            <w:r>
              <w:t xml:space="preserve">Bilingual UI (Arabic / English) with full right-to-left support.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NFR-UX-03</w:t>
            </w:r>
          </w:p>
        </w:tc>
        <w:tc>
          <w:p>
            <w:pPr>
              <w:pStyle w:val="Compact"/>
              <w:jc w:val="left"/>
            </w:pPr>
            <w:r>
              <w:t xml:space="preserve">Dark-canvas command-center aesthetic per Praxion Brand Identity v3.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NFR-UX-04</w:t>
            </w:r>
          </w:p>
        </w:tc>
        <w:tc>
          <w:p>
            <w:pPr>
              <w:pStyle w:val="Compact"/>
              <w:jc w:val="left"/>
            </w:pPr>
            <w:r>
              <w:t xml:space="preserve">Command palette (⌘K) for power-user navigation on all desktop screens.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NFR-UX-05</w:t>
            </w:r>
          </w:p>
        </w:tc>
        <w:tc>
          <w:p>
            <w:pPr>
              <w:pStyle w:val="Compact"/>
              <w:jc w:val="left"/>
            </w:pPr>
            <w:r>
              <w:t xml:space="preserve">Mobile parity for key workflows via React Native app (M11).</w:t>
            </w:r>
          </w:p>
        </w:tc>
      </w:tr>
    </w:tbl>
    <w:p>
      <w:pPr>
        <w:pStyle w:val="BodyText"/>
      </w:pPr>
      <w:r>
        <w:rPr>
          <w:b/>
        </w:rPr>
        <w:t xml:space="preserve">8.7 Auditability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NFR-AUD-01</w:t>
            </w:r>
          </w:p>
        </w:tc>
        <w:tc>
          <w:p>
            <w:pPr>
              <w:pStyle w:val="Compact"/>
              <w:jc w:val="left"/>
            </w:pPr>
            <w:r>
              <w:t xml:space="preserve">Every create, update, delete and access event is captured to the immutable audit 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NFR-AUD-02</w:t>
            </w:r>
          </w:p>
        </w:tc>
        <w:tc>
          <w:p>
            <w:pPr>
              <w:pStyle w:val="Compact"/>
              <w:jc w:val="left"/>
            </w:pPr>
            <w:r>
              <w:t xml:space="preserve">Audit log must include actor, tenant, role, timestamp, IP, before/after values.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NFR-AUD-03</w:t>
            </w:r>
          </w:p>
        </w:tc>
        <w:tc>
          <w:p>
            <w:pPr>
              <w:pStyle w:val="Compact"/>
              <w:jc w:val="left"/>
            </w:pPr>
            <w:r>
              <w:t xml:space="preserve">Audit log retention: 7 years minimum, aligned to Egyptian statutory requirements.</w:t>
            </w:r>
          </w:p>
        </w:tc>
      </w:tr>
    </w:tbl>
    <w:p>
      <w:pPr>
        <w:pStyle w:val="BodyText"/>
      </w:pPr>
      <w:r>
        <w:rPr>
          <w:b/>
        </w:rPr>
        <w:t xml:space="preserve">8.8 Localisation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NFR-LOC-01</w:t>
            </w:r>
          </w:p>
        </w:tc>
        <w:tc>
          <w:p>
            <w:pPr>
              <w:pStyle w:val="Compact"/>
              <w:jc w:val="left"/>
            </w:pPr>
            <w:r>
              <w:t xml:space="preserve">Arabic/English bilingual fields across all screens where user-facing text is stored.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NFR-LOC-02</w:t>
            </w:r>
          </w:p>
        </w:tc>
        <w:tc>
          <w:p>
            <w:pPr>
              <w:pStyle w:val="Compact"/>
              <w:jc w:val="left"/>
            </w:pPr>
            <w:r>
              <w:t xml:space="preserve">Egyptian public holiday calendar, working week (Sun–Thu), and Gregorian/Hijri dates supported.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NFR-LOC-03</w:t>
            </w:r>
          </w:p>
        </w:tc>
        <w:tc>
          <w:p>
            <w:pPr>
              <w:pStyle w:val="Compact"/>
              <w:jc w:val="left"/>
            </w:pPr>
            <w:r>
              <w:t xml:space="preserve">Currency: EGP as default, multi-currency for contractor payouts (M8).</w:t>
            </w:r>
          </w:p>
        </w:tc>
      </w:tr>
    </w:tbl>
    <w:p>
      <w:pPr>
        <w:pStyle w:val="BodyText"/>
      </w:pPr>
      <w:r>
        <w:rPr>
          <w:b/>
        </w:rPr>
        <w:t xml:space="preserve">8.9 Observability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NFR-OBS-01</w:t>
            </w:r>
          </w:p>
        </w:tc>
        <w:tc>
          <w:p>
            <w:pPr>
              <w:pStyle w:val="Compact"/>
              <w:jc w:val="left"/>
            </w:pPr>
            <w:r>
              <w:t xml:space="preserve">Structured logs with correlation IDs traversing every request across services.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NFR-OBS-02</w:t>
            </w:r>
          </w:p>
        </w:tc>
        <w:tc>
          <w:p>
            <w:pPr>
              <w:pStyle w:val="Compact"/>
              <w:jc w:val="left"/>
            </w:pPr>
            <w:r>
              <w:t xml:space="preserve">Metrics on golden signals (latency, traffic, errors, saturation) per service.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NFR-OBS-03</w:t>
            </w:r>
          </w:p>
        </w:tc>
        <w:tc>
          <w:p>
            <w:pPr>
              <w:pStyle w:val="Compact"/>
              <w:jc w:val="left"/>
            </w:pPr>
            <w:r>
              <w:t xml:space="preserve">Real-time alerting on SLO burn and security anomalies.</w:t>
            </w:r>
          </w:p>
        </w:tc>
      </w:tr>
    </w:tbl>
    <w:p>
      <w:pPr>
        <w:pStyle w:val="BodyText"/>
      </w:pPr>
      <w:r>
        <w:rPr>
          <w:b/>
        </w:rPr>
        <w:t xml:space="preserve">9. User Stories and Acceptance Criteria</w:t>
      </w:r>
    </w:p>
    <w:p>
      <w:pPr>
        <w:pStyle w:val="BodyText"/>
      </w:pPr>
      <w:r>
        <w:t xml:space="preserve">User stories follow the INVEST principles. Each story has</w:t>
      </w:r>
      <w:r>
        <w:t xml:space="preserve"> </w:t>
      </w:r>
      <w:r>
        <w:t xml:space="preserve">Given/When/Then acceptance criteria traceable to functional requirements</w:t>
      </w:r>
      <w:r>
        <w:t xml:space="preserve"> </w:t>
      </w:r>
      <w:r>
        <w:t xml:space="preserve">and UAT cases.</w:t>
      </w:r>
    </w:p>
    <w:p>
      <w:pPr>
        <w:pStyle w:val="BodyText"/>
      </w:pPr>
      <w:r>
        <w:rPr>
          <w:b/>
        </w:rPr>
        <w:t xml:space="preserve">US-M7-001 — Submit Expense with OCR</w:t>
      </w:r>
    </w:p>
    <w:p>
      <w:pPr>
        <w:pStyle w:val="BlockText"/>
      </w:pPr>
      <w:r>
        <w:rPr>
          <w:b/>
        </w:rPr>
        <w:t xml:space="preserve">As a</w:t>
      </w:r>
      <w:r>
        <w:t xml:space="preserve"> </w:t>
      </w:r>
      <w:r>
        <w:t xml:space="preserve">Employee</w:t>
      </w:r>
    </w:p>
    <w:p>
      <w:pPr>
        <w:pStyle w:val="BlockText"/>
      </w:pPr>
      <w:r>
        <w:rPr>
          <w:b/>
        </w:rPr>
        <w:t xml:space="preserve">I want</w:t>
      </w:r>
      <w:r>
        <w:t xml:space="preserve"> </w:t>
      </w:r>
      <w:r>
        <w:t xml:space="preserve">to photograph a receipt and have the expense form</w:t>
      </w:r>
      <w:r>
        <w:t xml:space="preserve"> </w:t>
      </w:r>
      <w:r>
        <w:t xml:space="preserve">pre-filled automatically</w:t>
      </w:r>
    </w:p>
    <w:p>
      <w:pPr>
        <w:pStyle w:val="BlockText"/>
      </w:pPr>
      <w:r>
        <w:rPr>
          <w:b/>
        </w:rPr>
        <w:t xml:space="preserve">so that</w:t>
      </w:r>
      <w:r>
        <w:t xml:space="preserve"> </w:t>
      </w:r>
      <w:r>
        <w:t xml:space="preserve">I can submit expenses in under a minute.</w:t>
      </w:r>
    </w:p>
    <w:p>
      <w:pPr>
        <w:pStyle w:val="BlockText"/>
      </w:pPr>
      <w:r>
        <w:rPr>
          <w:b/>
        </w:rPr>
        <w:t xml:space="preserve">Acceptance Criteria</w:t>
      </w:r>
    </w:p>
    <w:p>
      <w:pPr>
        <w:numPr>
          <w:ilvl w:val="0"/>
          <w:numId w:val="1011"/>
        </w:numPr>
      </w:pPr>
      <w:r>
        <w:t xml:space="preserve">Given I open the expense form on mobile, when I take a photo, then</w:t>
      </w:r>
      <w:r>
        <w:t xml:space="preserve"> </w:t>
      </w:r>
      <w:r>
        <w:t xml:space="preserve">&gt; OCR extracts vendor, date, amount and category.</w:t>
      </w:r>
    </w:p>
    <w:p>
      <w:pPr>
        <w:numPr>
          <w:ilvl w:val="0"/>
          <w:numId w:val="1011"/>
        </w:numPr>
      </w:pPr>
      <w:r>
        <w:t xml:space="preserve">Given OCR fields are extracted, when I review, then I can correct</w:t>
      </w:r>
      <w:r>
        <w:t xml:space="preserve"> </w:t>
      </w:r>
      <w:r>
        <w:t xml:space="preserve">&gt; any field before submission.</w:t>
      </w:r>
    </w:p>
    <w:p>
      <w:pPr>
        <w:numPr>
          <w:ilvl w:val="0"/>
          <w:numId w:val="1011"/>
        </w:numPr>
      </w:pPr>
      <w:r>
        <w:t xml:space="preserve">Given I submit the claim, when it is validated, then it is routed to</w:t>
      </w:r>
      <w:r>
        <w:t xml:space="preserve"> </w:t>
      </w:r>
      <w:r>
        <w:t xml:space="preserve">&gt; my line manager.</w:t>
      </w:r>
    </w:p>
    <w:p>
      <w:pPr>
        <w:pStyle w:val="FirstParagraph"/>
      </w:pPr>
      <w:r>
        <w:rPr>
          <w:b/>
        </w:rPr>
        <w:t xml:space="preserve">10. Process Flows</w:t>
      </w:r>
    </w:p>
    <w:p>
      <w:pPr>
        <w:pStyle w:val="BodyText"/>
      </w:pPr>
      <w:r>
        <w:t xml:space="preserve">Process flows below describe the happy path, exception paths, and system</w:t>
      </w:r>
      <w:r>
        <w:t xml:space="preserve"> </w:t>
      </w:r>
      <w:r>
        <w:t xml:space="preserve">behaviour for each key workflow in this module. Detailed swimlane</w:t>
      </w:r>
      <w:r>
        <w:t xml:space="preserve"> </w:t>
      </w:r>
      <w:r>
        <w:t xml:space="preserve">diagrams are maintained in the Praxion solution design repository; this</w:t>
      </w:r>
      <w:r>
        <w:t xml:space="preserve"> </w:t>
      </w:r>
      <w:r>
        <w:t xml:space="preserve">section captures the prose specification.</w:t>
      </w:r>
    </w:p>
    <w:p>
      <w:pPr>
        <w:pStyle w:val="BodyText"/>
      </w:pPr>
      <w:r>
        <w:rPr>
          <w:b/>
        </w:rPr>
        <w:t xml:space="preserve">10.1 Expense Claim</w:t>
      </w:r>
    </w:p>
    <w:p>
      <w:pPr>
        <w:pStyle w:val="BodyText"/>
      </w:pPr>
      <w:r>
        <w:t xml:space="preserve">From OCR capture to reimbursement.</w:t>
      </w:r>
    </w:p>
    <w:p>
      <w:pPr>
        <w:pStyle w:val="BodyText"/>
      </w:pPr>
      <w:r>
        <w:rPr>
          <w:b/>
        </w:rPr>
        <w:t xml:space="preserve">Trigger</w:t>
      </w:r>
    </w:p>
    <w:p>
      <w:pPr>
        <w:pStyle w:val="BodyText"/>
      </w:pPr>
      <w:r>
        <w:t xml:space="preserve">Employee submits a claim.</w:t>
      </w:r>
    </w:p>
    <w:p>
      <w:pPr>
        <w:pStyle w:val="BodyText"/>
      </w:pPr>
      <w:r>
        <w:rPr>
          <w:b/>
        </w:rPr>
        <w:t xml:space="preserve">Actors</w:t>
      </w:r>
    </w:p>
    <w:p>
      <w:pPr>
        <w:numPr>
          <w:ilvl w:val="0"/>
          <w:numId w:val="1012"/>
        </w:numPr>
      </w:pPr>
      <w:r>
        <w:t xml:space="preserve">Employee</w:t>
      </w:r>
    </w:p>
    <w:p>
      <w:pPr>
        <w:numPr>
          <w:ilvl w:val="0"/>
          <w:numId w:val="1012"/>
        </w:numPr>
      </w:pPr>
      <w:r>
        <w:t xml:space="preserve">Line Manager</w:t>
      </w:r>
    </w:p>
    <w:p>
      <w:pPr>
        <w:numPr>
          <w:ilvl w:val="0"/>
          <w:numId w:val="1012"/>
        </w:numPr>
      </w:pPr>
      <w:r>
        <w:t xml:space="preserve">Finance Officer</w:t>
      </w:r>
    </w:p>
    <w:p>
      <w:pPr>
        <w:numPr>
          <w:ilvl w:val="0"/>
          <w:numId w:val="1012"/>
        </w:numPr>
      </w:pPr>
      <w:r>
        <w:t xml:space="preserve">System</w:t>
      </w:r>
    </w:p>
    <w:p>
      <w:pPr>
        <w:pStyle w:val="FirstParagraph"/>
      </w:pPr>
      <w:r>
        <w:rPr>
          <w:b/>
        </w:rPr>
        <w:t xml:space="preserve">Preconditions</w:t>
      </w:r>
    </w:p>
    <w:p>
      <w:pPr>
        <w:numPr>
          <w:ilvl w:val="0"/>
          <w:numId w:val="1013"/>
        </w:numPr>
      </w:pPr>
      <w:r>
        <w:t xml:space="preserve">Employee is active.</w:t>
      </w:r>
    </w:p>
    <w:p>
      <w:pPr>
        <w:numPr>
          <w:ilvl w:val="0"/>
          <w:numId w:val="1013"/>
        </w:numPr>
      </w:pPr>
      <w:r>
        <w:t xml:space="preserve">Policy limits configured.</w:t>
      </w:r>
    </w:p>
    <w:p>
      <w:pPr>
        <w:pStyle w:val="FirstParagraph"/>
      </w:pPr>
      <w:r>
        <w:rPr>
          <w:b/>
        </w:rPr>
        <w:t xml:space="preserve">Main Flow</w:t>
      </w:r>
    </w:p>
    <w:p>
      <w:pPr>
        <w:pStyle w:val="BlockText"/>
      </w:pPr>
      <w:r>
        <w:rPr>
          <w:b/>
        </w:rPr>
        <w:t xml:space="preserve">Step 1.</w:t>
      </w:r>
      <w:r>
        <w:t xml:space="preserve"> </w:t>
      </w:r>
      <w:r>
        <w:t xml:space="preserve">Employee captures receipt; OCR extracts fields.</w:t>
      </w:r>
    </w:p>
    <w:p>
      <w:pPr>
        <w:pStyle w:val="BlockText"/>
      </w:pPr>
      <w:r>
        <w:rPr>
          <w:b/>
        </w:rPr>
        <w:t xml:space="preserve">Step 2.</w:t>
      </w:r>
      <w:r>
        <w:t xml:space="preserve"> </w:t>
      </w:r>
      <w:r>
        <w:t xml:space="preserve">Employee reviews and submits.</w:t>
      </w:r>
    </w:p>
    <w:p>
      <w:pPr>
        <w:pStyle w:val="BlockText"/>
      </w:pPr>
      <w:r>
        <w:rPr>
          <w:b/>
        </w:rPr>
        <w:t xml:space="preserve">Step 3.</w:t>
      </w:r>
      <w:r>
        <w:t xml:space="preserve"> </w:t>
      </w:r>
      <w:r>
        <w:t xml:space="preserve">System validates policy and duplicate receipts.</w:t>
      </w:r>
    </w:p>
    <w:p>
      <w:pPr>
        <w:pStyle w:val="BlockText"/>
      </w:pPr>
      <w:r>
        <w:rPr>
          <w:b/>
        </w:rPr>
        <w:t xml:space="preserve">Step 4.</w:t>
      </w:r>
      <w:r>
        <w:t xml:space="preserve"> </w:t>
      </w:r>
      <w:r>
        <w:t xml:space="preserve">Routed to line manager approval; escalated if above limit.</w:t>
      </w:r>
    </w:p>
    <w:p>
      <w:pPr>
        <w:pStyle w:val="BlockText"/>
      </w:pPr>
      <w:r>
        <w:rPr>
          <w:b/>
        </w:rPr>
        <w:t xml:space="preserve">Step 5.</w:t>
      </w:r>
      <w:r>
        <w:t xml:space="preserve"> </w:t>
      </w:r>
      <w:r>
        <w:t xml:space="preserve">On approval, claim is queued for next payroll.</w:t>
      </w:r>
    </w:p>
    <w:p>
      <w:pPr>
        <w:pStyle w:val="BlockText"/>
      </w:pPr>
      <w:r>
        <w:rPr>
          <w:b/>
        </w:rPr>
        <w:t xml:space="preserve">Step 6.</w:t>
      </w:r>
      <w:r>
        <w:t xml:space="preserve"> </w:t>
      </w:r>
      <w:r>
        <w:t xml:space="preserve">Payroll reimburses and issues payslip line.</w:t>
      </w:r>
    </w:p>
    <w:p>
      <w:pPr>
        <w:pStyle w:val="FirstParagraph"/>
      </w:pPr>
      <w:r>
        <w:rPr>
          <w:b/>
        </w:rPr>
        <w:t xml:space="preserve">Alternate / Exception Flows</w:t>
      </w:r>
    </w:p>
    <w:p>
      <w:pPr>
        <w:numPr>
          <w:ilvl w:val="0"/>
          <w:numId w:val="1014"/>
        </w:numPr>
      </w:pPr>
      <w:r>
        <w:t xml:space="preserve">If receipt is duplicate, claim is blocked.</w:t>
      </w:r>
    </w:p>
    <w:p>
      <w:pPr>
        <w:numPr>
          <w:ilvl w:val="0"/>
          <w:numId w:val="1014"/>
        </w:numPr>
      </w:pPr>
      <w:r>
        <w:t xml:space="preserve">If policy violated, claim is auto-flagged.</w:t>
      </w:r>
    </w:p>
    <w:p>
      <w:pPr>
        <w:numPr>
          <w:ilvl w:val="0"/>
          <w:numId w:val="1014"/>
        </w:numPr>
      </w:pPr>
      <w:r>
        <w:t xml:space="preserve">If reimbursement fails, Finance is alerted.</w:t>
      </w:r>
    </w:p>
    <w:p>
      <w:pPr>
        <w:pStyle w:val="FirstParagraph"/>
      </w:pPr>
      <w:r>
        <w:rPr>
          <w:b/>
        </w:rPr>
        <w:t xml:space="preserve">Postconditions</w:t>
      </w:r>
    </w:p>
    <w:p>
      <w:pPr>
        <w:numPr>
          <w:ilvl w:val="0"/>
          <w:numId w:val="1015"/>
        </w:numPr>
      </w:pPr>
      <w:r>
        <w:t xml:space="preserve">Claim is paid or rejected.</w:t>
      </w:r>
    </w:p>
    <w:p>
      <w:pPr>
        <w:numPr>
          <w:ilvl w:val="0"/>
          <w:numId w:val="1015"/>
        </w:numPr>
      </w:pPr>
      <w:r>
        <w:t xml:space="preserve">Audit trail is complete.</w:t>
      </w:r>
    </w:p>
    <w:p>
      <w:pPr>
        <w:pStyle w:val="FirstParagraph"/>
      </w:pPr>
      <w:r>
        <w:rPr>
          <w:b/>
        </w:rPr>
        <w:t xml:space="preserve">11. Data Requirements</w:t>
      </w:r>
    </w:p>
    <w:p>
      <w:pPr>
        <w:pStyle w:val="BodyText"/>
      </w:pPr>
      <w:r>
        <w:t xml:space="preserve">Data requirements list the primary entities owned or consumed by this</w:t>
      </w:r>
      <w:r>
        <w:t xml:space="preserve"> </w:t>
      </w:r>
      <w:r>
        <w:t xml:space="preserve">module. Full schema definitions including types, lengths, nullability,</w:t>
      </w:r>
      <w:r>
        <w:t xml:space="preserve"> </w:t>
      </w:r>
      <w:r>
        <w:t xml:space="preserve">foreign keys and indexes are maintained in the Praxion Data Dictionary.</w:t>
      </w:r>
    </w:p>
    <w:p>
      <w:pPr>
        <w:pStyle w:val="BodyText"/>
      </w:pPr>
      <w:r>
        <w:rPr>
          <w:b/>
        </w:rPr>
        <w:t xml:space="preserve">11.1 Primary Entities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Ownership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Key Attributes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Sensitivity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p>
            <w:pPr>
              <w:pStyle w:val="Compact"/>
              <w:jc w:val="left"/>
            </w:pPr>
            <w:r>
              <w:t xml:space="preserve">Owned</w:t>
            </w:r>
          </w:p>
        </w:tc>
        <w:tc>
          <w:p>
            <w:pPr>
              <w:pStyle w:val="Compact"/>
              <w:jc w:val="left"/>
            </w:pPr>
            <w:r>
              <w:t xml:space="preserve">benefit_id, tenant_id, type, eligibility_rule</w:t>
            </w:r>
          </w:p>
        </w:tc>
        <w:tc>
          <w:p>
            <w:pPr>
              <w:pStyle w:val="Compact"/>
              <w:jc w:val="left"/>
            </w:pPr>
            <w:r>
              <w:t xml:space="preserve">Operational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Enrolment</w:t>
            </w:r>
          </w:p>
        </w:tc>
        <w:tc>
          <w:p>
            <w:pPr>
              <w:pStyle w:val="Compact"/>
              <w:jc w:val="left"/>
            </w:pPr>
            <w:r>
              <w:t xml:space="preserve">Owned</w:t>
            </w:r>
          </w:p>
        </w:tc>
        <w:tc>
          <w:p>
            <w:pPr>
              <w:pStyle w:val="Compact"/>
              <w:jc w:val="left"/>
            </w:pPr>
            <w:r>
              <w:t xml:space="preserve">enrolment_id, benefit_id, employee_id, effective</w:t>
            </w:r>
          </w:p>
        </w:tc>
        <w:tc>
          <w:p>
            <w:pPr>
              <w:pStyle w:val="Compact"/>
              <w:jc w:val="left"/>
            </w:pPr>
            <w:r>
              <w:t xml:space="preserve">PII L1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p>
            <w:pPr>
              <w:pStyle w:val="Compact"/>
              <w:jc w:val="left"/>
            </w:pPr>
            <w:r>
              <w:t xml:space="preserve">Owned</w:t>
            </w:r>
          </w:p>
        </w:tc>
        <w:tc>
          <w:p>
            <w:pPr>
              <w:pStyle w:val="Compact"/>
              <w:jc w:val="left"/>
            </w:pPr>
            <w:r>
              <w:t xml:space="preserve">claim_id, employee_id, amount, category, receipt_ref</w:t>
            </w:r>
          </w:p>
        </w:tc>
        <w:tc>
          <w:p>
            <w:pPr>
              <w:pStyle w:val="Compact"/>
              <w:jc w:val="left"/>
            </w:pPr>
            <w:r>
              <w:t xml:space="preserve">Confidential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p>
            <w:pPr>
              <w:pStyle w:val="Compact"/>
              <w:jc w:val="left"/>
            </w:pPr>
            <w:r>
              <w:t xml:space="preserve">Owned</w:t>
            </w:r>
          </w:p>
        </w:tc>
        <w:tc>
          <w:p>
            <w:pPr>
              <w:pStyle w:val="Compact"/>
              <w:jc w:val="left"/>
            </w:pPr>
            <w:r>
              <w:t xml:space="preserve">receipt_id, hash, ocr_data, file_ref</w:t>
            </w:r>
          </w:p>
        </w:tc>
        <w:tc>
          <w:p>
            <w:pPr>
              <w:pStyle w:val="Compact"/>
              <w:jc w:val="left"/>
            </w:pPr>
            <w:r>
              <w:t xml:space="preserve">Confidential</w:t>
            </w:r>
          </w:p>
        </w:tc>
      </w:tr>
    </w:tbl>
    <w:p>
      <w:pPr>
        <w:pStyle w:val="BodyText"/>
      </w:pPr>
      <w:r>
        <w:rPr>
          <w:b/>
        </w:rPr>
        <w:t xml:space="preserve">11.2 Reference / Master Data</w:t>
      </w:r>
    </w:p>
    <w:p>
      <w:pPr>
        <w:numPr>
          <w:ilvl w:val="0"/>
          <w:numId w:val="1016"/>
        </w:numPr>
      </w:pPr>
      <w:r>
        <w:t xml:space="preserve">Tenant and organisation registry (shared).</w:t>
      </w:r>
    </w:p>
    <w:p>
      <w:pPr>
        <w:numPr>
          <w:ilvl w:val="0"/>
          <w:numId w:val="1016"/>
        </w:numPr>
      </w:pPr>
      <w:r>
        <w:t xml:space="preserve">Department, job title, grade, cost centre (tenant-scoped).</w:t>
      </w:r>
    </w:p>
    <w:p>
      <w:pPr>
        <w:numPr>
          <w:ilvl w:val="0"/>
          <w:numId w:val="1016"/>
        </w:numPr>
      </w:pPr>
      <w:r>
        <w:t xml:space="preserve">Egyptian public holiday calendar.</w:t>
      </w:r>
    </w:p>
    <w:p>
      <w:pPr>
        <w:numPr>
          <w:ilvl w:val="0"/>
          <w:numId w:val="1016"/>
        </w:numPr>
      </w:pPr>
      <w:r>
        <w:t xml:space="preserve">Tax brackets and SI ceilings (version-controlled, effective-dated).</w:t>
      </w:r>
    </w:p>
    <w:p>
      <w:pPr>
        <w:numPr>
          <w:ilvl w:val="0"/>
          <w:numId w:val="1016"/>
        </w:numPr>
      </w:pPr>
      <w:r>
        <w:t xml:space="preserve">Document types and expiry rules.</w:t>
      </w:r>
    </w:p>
    <w:p>
      <w:pPr>
        <w:pStyle w:val="FirstParagraph"/>
      </w:pPr>
      <w:r>
        <w:rPr>
          <w:b/>
        </w:rPr>
        <w:t xml:space="preserve">11.3 Data Quality Rules</w:t>
      </w:r>
    </w:p>
    <w:p>
      <w:pPr>
        <w:numPr>
          <w:ilvl w:val="0"/>
          <w:numId w:val="1017"/>
        </w:numPr>
      </w:pPr>
      <w:r>
        <w:t xml:space="preserve">Mandatory fields must be non-null before record submission.</w:t>
      </w:r>
    </w:p>
    <w:p>
      <w:pPr>
        <w:numPr>
          <w:ilvl w:val="0"/>
          <w:numId w:val="1017"/>
        </w:numPr>
      </w:pPr>
      <w:r>
        <w:t xml:space="preserve">Unique constraints enforced at the database layer, not only at the</w:t>
      </w:r>
      <w:r>
        <w:t xml:space="preserve"> </w:t>
      </w:r>
      <w:r>
        <w:t xml:space="preserve">&gt; application layer.</w:t>
      </w:r>
    </w:p>
    <w:p>
      <w:pPr>
        <w:numPr>
          <w:ilvl w:val="0"/>
          <w:numId w:val="1017"/>
        </w:numPr>
      </w:pPr>
      <w:r>
        <w:t xml:space="preserve">All records carry created_by, created_at, updated_by, updated_at</w:t>
      </w:r>
      <w:r>
        <w:t xml:space="preserve"> </w:t>
      </w:r>
      <w:r>
        <w:t xml:space="preserve">&gt; and tenant_id columns.</w:t>
      </w:r>
    </w:p>
    <w:p>
      <w:pPr>
        <w:numPr>
          <w:ilvl w:val="0"/>
          <w:numId w:val="1017"/>
        </w:numPr>
      </w:pPr>
      <w:r>
        <w:t xml:space="preserve">Soft-delete preferred over hard-delete; hard-delete only permitted</w:t>
      </w:r>
      <w:r>
        <w:t xml:space="preserve"> </w:t>
      </w:r>
      <w:r>
        <w:t xml:space="preserve">&gt; via PDPL DSR workflow.</w:t>
      </w:r>
    </w:p>
    <w:p>
      <w:pPr>
        <w:numPr>
          <w:ilvl w:val="0"/>
          <w:numId w:val="1017"/>
        </w:numPr>
      </w:pPr>
      <w:r>
        <w:t xml:space="preserve">Bilingual fields must accept Arabic and English; at least one</w:t>
      </w:r>
      <w:r>
        <w:t xml:space="preserve"> </w:t>
      </w:r>
      <w:r>
        <w:t xml:space="preserve">&gt; language is mandatory.</w:t>
      </w:r>
    </w:p>
    <w:p>
      <w:pPr>
        <w:pStyle w:val="FirstParagraph"/>
      </w:pPr>
      <w:r>
        <w:rPr>
          <w:b/>
        </w:rPr>
        <w:t xml:space="preserve">11.4 Data Retention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Data 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Retention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employee records</w:t>
            </w:r>
          </w:p>
        </w:tc>
        <w:tc>
          <w:p>
            <w:pPr>
              <w:pStyle w:val="Compact"/>
              <w:jc w:val="left"/>
            </w:pPr>
            <w:r>
              <w:t xml:space="preserve">Duration of employment + 7 years</w:t>
            </w:r>
          </w:p>
        </w:tc>
        <w:tc>
          <w:p>
            <w:pPr>
              <w:pStyle w:val="Compact"/>
              <w:jc w:val="left"/>
            </w:pPr>
            <w:r>
              <w:t xml:space="preserve">Labor Law 12/2003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records</w:t>
            </w:r>
          </w:p>
        </w:tc>
        <w:tc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p>
            <w:pPr>
              <w:pStyle w:val="Compact"/>
              <w:jc w:val="left"/>
            </w:pPr>
            <w:r>
              <w:t xml:space="preserve">PIT Law 91/2005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insurance records</w:t>
            </w:r>
          </w:p>
        </w:tc>
        <w:tc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p>
            <w:pPr>
              <w:pStyle w:val="Compact"/>
              <w:jc w:val="left"/>
            </w:pPr>
            <w:r>
              <w:t xml:space="preserve">SI Law 148/2019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p>
            <w:pPr>
              <w:pStyle w:val="Compact"/>
              <w:jc w:val="left"/>
            </w:pPr>
            <w:r>
              <w:t xml:space="preserve">PDPL 151/2020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 records (rejected)</w:t>
            </w:r>
          </w:p>
        </w:tc>
        <w:tc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p>
            <w:pPr>
              <w:pStyle w:val="Compact"/>
              <w:jc w:val="left"/>
            </w:pPr>
            <w:r>
              <w:t xml:space="preserve">PDPL &amp; candidate consent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telemetry / logs</w:t>
            </w:r>
          </w:p>
        </w:tc>
        <w:tc>
          <w:p>
            <w:pPr>
              <w:pStyle w:val="Compact"/>
              <w:jc w:val="left"/>
            </w:pPr>
            <w:r>
              <w:t xml:space="preserve">13 months</w:t>
            </w:r>
          </w:p>
        </w:tc>
        <w:tc>
          <w:p>
            <w:pPr>
              <w:pStyle w:val="Compact"/>
              <w:jc w:val="left"/>
            </w:pPr>
            <w:r>
              <w:t xml:space="preserve">Operational</w:t>
            </w:r>
          </w:p>
        </w:tc>
      </w:tr>
    </w:tbl>
    <w:p>
      <w:pPr>
        <w:pStyle w:val="BodyText"/>
      </w:pPr>
      <w:r>
        <w:rPr>
          <w:b/>
        </w:rPr>
        <w:t xml:space="preserve">12. Integration Requirements</w:t>
      </w:r>
    </w:p>
    <w:p>
      <w:pPr>
        <w:pStyle w:val="BodyText"/>
      </w:pPr>
      <w:r>
        <w:t xml:space="preserve">Integration points show where this module sends or receives data from</w:t>
      </w:r>
      <w:r>
        <w:t xml:space="preserve"> </w:t>
      </w:r>
      <w:r>
        <w:t xml:space="preserve">other Praxion modules, internal services, or external systems. Contracts</w:t>
      </w:r>
      <w:r>
        <w:t xml:space="preserve"> </w:t>
      </w:r>
      <w:r>
        <w:t xml:space="preserve">are defined by event schemas on the Kafka bus for async flows and</w:t>
      </w:r>
      <w:r>
        <w:t xml:space="preserve"> </w:t>
      </w:r>
      <w:r>
        <w:t xml:space="preserve">OpenAPI specs for synchronous calls.</w:t>
      </w:r>
    </w:p>
    <w:p>
      <w:pPr>
        <w:pStyle w:val="BodyText"/>
      </w:pPr>
      <w:r>
        <w:rPr>
          <w:b/>
        </w:rPr>
        <w:t xml:space="preserve">12.1 Internal Integrations (Praxion-to-Praxion)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Partner 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Direction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Transport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HRIS (M1)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Employee and eligibility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(M6)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Reimbursement hand-off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(M9)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CDC</w:t>
            </w:r>
          </w:p>
        </w:tc>
        <w:tc>
          <w:p>
            <w:pPr>
              <w:pStyle w:val="Compact"/>
              <w:jc w:val="left"/>
            </w:pPr>
            <w:r>
              <w:t xml:space="preserve">Spend analytics</w:t>
            </w:r>
          </w:p>
        </w:tc>
      </w:tr>
    </w:tbl>
    <w:p>
      <w:pPr>
        <w:pStyle w:val="BodyText"/>
      </w:pPr>
      <w:r>
        <w:rPr>
          <w:b/>
        </w:rPr>
        <w:t xml:space="preserve">12.2 External Integrations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External 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Direction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Transport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OCR service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p>
            <w:pPr>
              <w:pStyle w:val="Compact"/>
              <w:jc w:val="left"/>
            </w:pPr>
            <w:r>
              <w:t xml:space="preserve">Receipt data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Insurer systems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Benefit enrolment</w:t>
            </w:r>
          </w:p>
        </w:tc>
      </w:tr>
    </w:tbl>
    <w:p>
      <w:pPr>
        <w:pStyle w:val="BodyText"/>
      </w:pPr>
      <w:r>
        <w:rPr>
          <w:b/>
        </w:rPr>
        <w:t xml:space="preserve">12.3 Integration Principles</w:t>
      </w:r>
    </w:p>
    <w:p>
      <w:pPr>
        <w:numPr>
          <w:ilvl w:val="0"/>
          <w:numId w:val="1018"/>
        </w:numPr>
      </w:pPr>
      <w:r>
        <w:t xml:space="preserve">Events first: prefer Kafka events with tenant_id headers for loose</w:t>
      </w:r>
      <w:r>
        <w:t xml:space="preserve"> </w:t>
      </w:r>
      <w:r>
        <w:t xml:space="preserve">&gt; coupling.</w:t>
      </w:r>
    </w:p>
    <w:p>
      <w:pPr>
        <w:numPr>
          <w:ilvl w:val="0"/>
          <w:numId w:val="1018"/>
        </w:numPr>
      </w:pPr>
      <w:r>
        <w:t xml:space="preserve">Idempotent consumers: all event handlers must be idempotent to</w:t>
      </w:r>
      <w:r>
        <w:t xml:space="preserve"> </w:t>
      </w:r>
      <w:r>
        <w:t xml:space="preserve">&gt; tolerate retries.</w:t>
      </w:r>
    </w:p>
    <w:p>
      <w:pPr>
        <w:numPr>
          <w:ilvl w:val="0"/>
          <w:numId w:val="1018"/>
        </w:numPr>
      </w:pPr>
      <w:r>
        <w:t xml:space="preserve">Schema evolution: backward-compatible only; breaking changes require</w:t>
      </w:r>
      <w:r>
        <w:t xml:space="preserve"> </w:t>
      </w:r>
      <w:r>
        <w:t xml:space="preserve">&gt; versioned topics.</w:t>
      </w:r>
    </w:p>
    <w:p>
      <w:pPr>
        <w:numPr>
          <w:ilvl w:val="0"/>
          <w:numId w:val="1018"/>
        </w:numPr>
      </w:pPr>
      <w:r>
        <w:t xml:space="preserve">Contract tests in CI between producers and consumers to catch drift</w:t>
      </w:r>
      <w:r>
        <w:t xml:space="preserve"> </w:t>
      </w:r>
      <w:r>
        <w:t xml:space="preserve">&gt; early.</w:t>
      </w:r>
    </w:p>
    <w:p>
      <w:pPr>
        <w:numPr>
          <w:ilvl w:val="0"/>
          <w:numId w:val="1018"/>
        </w:numPr>
      </w:pPr>
      <w:r>
        <w:t xml:space="preserve">External calls run through an outbound gateway with circuit breakers</w:t>
      </w:r>
      <w:r>
        <w:t xml:space="preserve"> </w:t>
      </w:r>
      <w:r>
        <w:t xml:space="preserve">&gt; and retries with exponential backoff.</w:t>
      </w:r>
    </w:p>
    <w:p>
      <w:pPr>
        <w:numPr>
          <w:ilvl w:val="0"/>
          <w:numId w:val="1018"/>
        </w:numPr>
      </w:pPr>
      <w:r>
        <w:t xml:space="preserve">All external traffic is TLS 1.2+ with certificate pinning for</w:t>
      </w:r>
      <w:r>
        <w:t xml:space="preserve"> </w:t>
      </w:r>
      <w:r>
        <w:t xml:space="preserve">&gt; regulator endpoints.</w:t>
      </w:r>
    </w:p>
    <w:p>
      <w:pPr>
        <w:pStyle w:val="FirstParagraph"/>
      </w:pPr>
      <w:r>
        <w:rPr>
          <w:b/>
        </w:rPr>
        <w:t xml:space="preserve">13. Compliance and Regulatory Mapping</w:t>
      </w:r>
    </w:p>
    <w:p>
      <w:pPr>
        <w:pStyle w:val="BodyText"/>
      </w:pPr>
      <w:r>
        <w:t xml:space="preserve">Every Praxion module must evidence alignment to Egyptian statutory law</w:t>
      </w:r>
      <w:r>
        <w:t xml:space="preserve"> </w:t>
      </w:r>
      <w:r>
        <w:t xml:space="preserve">and to the platform privacy posture under PDPL. The table below maps key</w:t>
      </w:r>
      <w:r>
        <w:t xml:space="preserve"> </w:t>
      </w:r>
      <w:r>
        <w:t xml:space="preserve">regulatory obligations to the module features and artefacts that satisfy</w:t>
      </w:r>
      <w:r>
        <w:t xml:space="preserve"> </w:t>
      </w:r>
      <w:r>
        <w:t xml:space="preserve">them.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Regulation / Standard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Obligation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How This Module Complies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PDPL 151/2020</w:t>
            </w:r>
          </w:p>
        </w:tc>
        <w:tc>
          <w:p>
            <w:pPr>
              <w:pStyle w:val="Compact"/>
              <w:jc w:val="left"/>
            </w:pPr>
            <w:r>
              <w:t xml:space="preserve">Personal financial data</w:t>
            </w:r>
          </w:p>
        </w:tc>
        <w:tc>
          <w:p>
            <w:pPr>
              <w:pStyle w:val="Compact"/>
              <w:jc w:val="left"/>
            </w:pPr>
            <w:r>
              <w:t xml:space="preserve">Tenant scope, retention, encryption.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Tax rules</w:t>
            </w:r>
          </w:p>
        </w:tc>
        <w:tc>
          <w:p>
            <w:pPr>
              <w:pStyle w:val="Compact"/>
              <w:jc w:val="left"/>
            </w:pPr>
            <w:r>
              <w:t xml:space="preserve">Reimbursement treatment</w:t>
            </w:r>
          </w:p>
        </w:tc>
        <w:tc>
          <w:p>
            <w:pPr>
              <w:pStyle w:val="Compact"/>
              <w:jc w:val="left"/>
            </w:pPr>
            <w:r>
              <w:t xml:space="preserve">Categories aligned to tax treatment via M6.</w:t>
            </w:r>
          </w:p>
        </w:tc>
      </w:tr>
    </w:tbl>
    <w:p>
      <w:pPr>
        <w:pStyle w:val="BodyText"/>
      </w:pPr>
      <w:r>
        <w:rPr>
          <w:b/>
        </w:rPr>
        <w:t xml:space="preserve">13.1 PDPL Data Subject Rights (DSR) Checklist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Right to Access</w:t>
            </w:r>
          </w:p>
        </w:tc>
        <w:tc>
          <w:p>
            <w:pPr>
              <w:pStyle w:val="Compact"/>
              <w:jc w:val="left"/>
            </w:pPr>
            <w:r>
              <w:t xml:space="preserve">Subject can download their data via self-service export.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Right to Rectification</w:t>
            </w:r>
          </w:p>
        </w:tc>
        <w:tc>
          <w:p>
            <w:pPr>
              <w:pStyle w:val="Compact"/>
              <w:jc w:val="left"/>
            </w:pPr>
            <w:r>
              <w:t xml:space="preserve">Subject can request correction; tracked with approval chain.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Right to Erasure</w:t>
            </w:r>
          </w:p>
        </w:tc>
        <w:tc>
          <w:p>
            <w:pPr>
              <w:pStyle w:val="Compact"/>
              <w:jc w:val="left"/>
            </w:pPr>
            <w:r>
              <w:t xml:space="preserve">Subject can request erasure; subject to legal retention overrides.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Right to Restrict</w:t>
            </w:r>
          </w:p>
        </w:tc>
        <w:tc>
          <w:p>
            <w:pPr>
              <w:pStyle w:val="Compact"/>
              <w:jc w:val="left"/>
            </w:pPr>
            <w:r>
              <w:t xml:space="preserve">Processing can be paused for a record under dispute.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Right to Object</w:t>
            </w:r>
          </w:p>
        </w:tc>
        <w:tc>
          <w:p>
            <w:pPr>
              <w:pStyle w:val="Compact"/>
              <w:jc w:val="left"/>
            </w:pPr>
            <w:r>
              <w:t xml:space="preserve">Subject can object to specific processing purposes.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Right to Portability</w:t>
            </w:r>
          </w:p>
        </w:tc>
        <w:tc>
          <w:p>
            <w:pPr>
              <w:pStyle w:val="Compact"/>
              <w:jc w:val="left"/>
            </w:pPr>
            <w:r>
              <w:t xml:space="preserve">Structured export in JSON or CSV on request.</w:t>
            </w:r>
          </w:p>
        </w:tc>
      </w:tr>
    </w:tbl>
    <w:p>
      <w:pPr>
        <w:pStyle w:val="BodyText"/>
      </w:pPr>
      <w:r>
        <w:rPr>
          <w:b/>
        </w:rPr>
        <w:t xml:space="preserve">14. UAT Scenarios</w:t>
      </w:r>
    </w:p>
    <w:p>
      <w:pPr>
        <w:pStyle w:val="BodyText"/>
      </w:pPr>
      <w:r>
        <w:t xml:space="preserve">User Acceptance Test scenarios verify that the module meets business</w:t>
      </w:r>
      <w:r>
        <w:t xml:space="preserve"> </w:t>
      </w:r>
      <w:r>
        <w:t xml:space="preserve">requirements from the perspective of real users. Each scenario maps back</w:t>
      </w:r>
      <w:r>
        <w:t xml:space="preserve"> </w:t>
      </w:r>
      <w:r>
        <w:t xml:space="preserve">to a business rule and/or user story. Pass criteria must be met with</w:t>
      </w:r>
      <w:r>
        <w:t xml:space="preserve"> </w:t>
      </w:r>
      <w:r>
        <w:t xml:space="preserve">zero critical defects for UAT sign-off.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Given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When / Then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UAT-M7-001</w:t>
            </w:r>
          </w:p>
        </w:tc>
        <w:tc>
          <w:p>
            <w:pPr>
              <w:pStyle w:val="Compact"/>
              <w:jc w:val="left"/>
            </w:pPr>
            <w:r>
              <w:t xml:space="preserve">OCR receipt capture</w:t>
            </w:r>
          </w:p>
        </w:tc>
        <w:tc>
          <w:p>
            <w:pPr>
              <w:pStyle w:val="Compact"/>
              <w:jc w:val="left"/>
            </w:pPr>
            <w:r>
              <w:t xml:space="preserve">Receipt photo</w:t>
            </w:r>
          </w:p>
        </w:tc>
        <w:tc>
          <w:p>
            <w:pPr>
              <w:pStyle w:val="Compact"/>
              <w:jc w:val="left"/>
            </w:pPr>
            <w:r>
              <w:t xml:space="preserve">When uploaded, fields extracted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UAT-M7-002</w:t>
            </w:r>
          </w:p>
        </w:tc>
        <w:tc>
          <w:p>
            <w:pPr>
              <w:pStyle w:val="Compact"/>
              <w:jc w:val="left"/>
            </w:pPr>
            <w:r>
              <w:t xml:space="preserve">Duplicate receipt blocked</w:t>
            </w:r>
          </w:p>
        </w:tc>
        <w:tc>
          <w:p>
            <w:pPr>
              <w:pStyle w:val="Compact"/>
              <w:jc w:val="left"/>
            </w:pPr>
            <w:r>
              <w:t xml:space="preserve">Resubmitted receipt</w:t>
            </w:r>
          </w:p>
        </w:tc>
        <w:tc>
          <w:p>
            <w:pPr>
              <w:pStyle w:val="Compact"/>
              <w:jc w:val="left"/>
            </w:pPr>
            <w:r>
              <w:t xml:space="preserve">When submitted, system blocks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UAT-M7-003</w:t>
            </w:r>
          </w:p>
        </w:tc>
        <w:tc>
          <w:p>
            <w:pPr>
              <w:pStyle w:val="Compact"/>
              <w:jc w:val="left"/>
            </w:pPr>
            <w:r>
              <w:t xml:space="preserve">Approval escalation</w:t>
            </w:r>
          </w:p>
        </w:tc>
        <w:tc>
          <w:p>
            <w:pPr>
              <w:pStyle w:val="Compact"/>
              <w:jc w:val="left"/>
            </w:pPr>
            <w:r>
              <w:t xml:space="preserve">Above limit claim</w:t>
            </w:r>
          </w:p>
        </w:tc>
        <w:tc>
          <w:p>
            <w:pPr>
              <w:pStyle w:val="Compact"/>
              <w:jc w:val="left"/>
            </w:pPr>
            <w:r>
              <w:t xml:space="preserve">When submitted, Finance added as approver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UAT-M7-004</w:t>
            </w:r>
          </w:p>
        </w:tc>
        <w:tc>
          <w:p>
            <w:pPr>
              <w:pStyle w:val="Compact"/>
              <w:jc w:val="left"/>
            </w:pPr>
            <w:r>
              <w:t xml:space="preserve">Reimbursement via payroll</w:t>
            </w:r>
          </w:p>
        </w:tc>
        <w:tc>
          <w:p>
            <w:pPr>
              <w:pStyle w:val="Compact"/>
              <w:jc w:val="left"/>
            </w:pPr>
            <w:r>
              <w:t xml:space="preserve">Approved claim</w:t>
            </w:r>
          </w:p>
        </w:tc>
        <w:tc>
          <w:p>
            <w:pPr>
              <w:pStyle w:val="Compact"/>
              <w:jc w:val="left"/>
            </w:pPr>
            <w:r>
              <w:t xml:space="preserve">When payroll runs, amount reimbursed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14.1 UAT Entry and Exit Criteria</w:t>
      </w:r>
    </w:p>
    <w:p>
      <w:pPr>
        <w:pStyle w:val="BodyText"/>
      </w:pPr>
      <w:r>
        <w:rPr>
          <w:b/>
        </w:rPr>
        <w:t xml:space="preserve">Entry Criteria</w:t>
      </w:r>
    </w:p>
    <w:p>
      <w:pPr>
        <w:numPr>
          <w:ilvl w:val="0"/>
          <w:numId w:val="1019"/>
        </w:numPr>
      </w:pPr>
      <w:r>
        <w:t xml:space="preserve">All in-scope functional requirements implemented and unit-tested.</w:t>
      </w:r>
    </w:p>
    <w:p>
      <w:pPr>
        <w:numPr>
          <w:ilvl w:val="0"/>
          <w:numId w:val="1019"/>
        </w:numPr>
      </w:pPr>
      <w:r>
        <w:t xml:space="preserve">QA regression pass ≥ 95% on the latest build.</w:t>
      </w:r>
    </w:p>
    <w:p>
      <w:pPr>
        <w:numPr>
          <w:ilvl w:val="0"/>
          <w:numId w:val="1019"/>
        </w:numPr>
      </w:pPr>
      <w:r>
        <w:t xml:space="preserve">UAT environment refreshed with sanitised production-like data.</w:t>
      </w:r>
    </w:p>
    <w:p>
      <w:pPr>
        <w:numPr>
          <w:ilvl w:val="0"/>
          <w:numId w:val="1019"/>
        </w:numPr>
      </w:pPr>
      <w:r>
        <w:t xml:space="preserve">Training delivered to UAT testers; access provisioned per role.</w:t>
      </w:r>
    </w:p>
    <w:p>
      <w:pPr>
        <w:numPr>
          <w:ilvl w:val="0"/>
          <w:numId w:val="1019"/>
        </w:numPr>
      </w:pPr>
      <w:r>
        <w:t xml:space="preserve">Defect tracker prepared and triage rules agreed.</w:t>
      </w:r>
    </w:p>
    <w:p>
      <w:pPr>
        <w:pStyle w:val="FirstParagraph"/>
      </w:pPr>
      <w:r>
        <w:rPr>
          <w:b/>
        </w:rPr>
        <w:t xml:space="preserve">Exit Criteria</w:t>
      </w:r>
    </w:p>
    <w:p>
      <w:pPr>
        <w:numPr>
          <w:ilvl w:val="0"/>
          <w:numId w:val="1020"/>
        </w:numPr>
      </w:pPr>
      <w:r>
        <w:t xml:space="preserve">Zero open critical (P1) defects; ≤ 5 open medium (P3) defects with</w:t>
      </w:r>
      <w:r>
        <w:t xml:space="preserve"> </w:t>
      </w:r>
      <w:r>
        <w:t xml:space="preserve">&gt; workarounds.</w:t>
      </w:r>
    </w:p>
    <w:p>
      <w:pPr>
        <w:numPr>
          <w:ilvl w:val="0"/>
          <w:numId w:val="1020"/>
        </w:numPr>
      </w:pPr>
      <w:r>
        <w:t xml:space="preserve">All UAT scenarios executed with ≥ 95% pass rate.</w:t>
      </w:r>
    </w:p>
    <w:p>
      <w:pPr>
        <w:numPr>
          <w:ilvl w:val="0"/>
          <w:numId w:val="1020"/>
        </w:numPr>
      </w:pPr>
      <w:r>
        <w:t xml:space="preserve">Business sponsor sign-off obtained in writing.</w:t>
      </w:r>
    </w:p>
    <w:p>
      <w:pPr>
        <w:numPr>
          <w:ilvl w:val="0"/>
          <w:numId w:val="1020"/>
        </w:numPr>
      </w:pPr>
      <w:r>
        <w:t xml:space="preserve">Production readiness review completed and approved.</w:t>
      </w:r>
    </w:p>
    <w:p>
      <w:pPr>
        <w:numPr>
          <w:ilvl w:val="0"/>
          <w:numId w:val="1020"/>
        </w:numPr>
      </w:pPr>
      <w:r>
        <w:t xml:space="preserve">Operational runbooks and on-call rota in place.</w:t>
      </w:r>
    </w:p>
    <w:p>
      <w:pPr>
        <w:pStyle w:val="FirstParagraph"/>
      </w:pPr>
      <w:r>
        <w:rPr>
          <w:b/>
        </w:rPr>
        <w:t xml:space="preserve">15. Dependencies</w:t>
      </w:r>
    </w:p>
    <w:p>
      <w:pPr>
        <w:pStyle w:val="BodyText"/>
      </w:pPr>
      <w:r>
        <w:t xml:space="preserve">Dependencies capture everything this module relies on outside its own</w:t>
      </w:r>
      <w:r>
        <w:t xml:space="preserve"> </w:t>
      </w:r>
      <w:r>
        <w:t xml:space="preserve">scope. A miss on any of these dependencies directly threatens go-live.</w:t>
      </w:r>
    </w:p>
    <w:p>
      <w:pPr>
        <w:pStyle w:val="BodyText"/>
      </w:pPr>
      <w:r>
        <w:rPr>
          <w:b/>
        </w:rPr>
        <w:t xml:space="preserve">15.1 Platform Dependencies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Required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Multi-tenant Identity (Auth service)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Phase 1 (M1/M10)</w:t>
            </w:r>
          </w:p>
        </w:tc>
        <w:tc>
          <w:p>
            <w:pPr>
              <w:pStyle w:val="Compact"/>
              <w:jc w:val="left"/>
            </w:pPr>
            <w:r>
              <w:t xml:space="preserve">SSO, MFA, RBAC foundation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Row-Level Security enablement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Blocks any tenant-scoped feature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 service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Email, SMS, in-app, 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 service (S3, per-tenant prefix)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Documents, attachments, media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logging service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Immutable audit trail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bus (Kafka) with tenant headers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Inter-module events</w:t>
            </w:r>
          </w:p>
        </w:tc>
      </w:tr>
    </w:tbl>
    <w:p>
      <w:pPr>
        <w:pStyle w:val="BodyText"/>
      </w:pPr>
      <w:r>
        <w:rPr>
          <w:b/>
        </w:rPr>
        <w:t xml:space="preserve">15.2 External Dependencies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Egyptian Tax Authority e-invoice portal</w:t>
            </w:r>
          </w:p>
        </w:tc>
        <w:tc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p>
            <w:pPr>
              <w:pStyle w:val="Compact"/>
              <w:jc w:val="left"/>
            </w:pPr>
            <w:r>
              <w:t xml:space="preserve">Client invoicing (M13)</w:t>
            </w:r>
          </w:p>
        </w:tc>
        <w:tc>
          <w:p>
            <w:pPr>
              <w:pStyle w:val="Compact"/>
              <w:jc w:val="left"/>
            </w:pPr>
            <w:r>
              <w:t xml:space="preserve">Integration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NOSI filing endpoints</w:t>
            </w:r>
          </w:p>
        </w:tc>
        <w:tc>
          <w:p>
            <w:pPr>
              <w:pStyle w:val="Compact"/>
              <w:jc w:val="left"/>
            </w:pPr>
            <w:r>
              <w:t xml:space="preserve">NOSI</w:t>
            </w:r>
          </w:p>
        </w:tc>
        <w:tc>
          <w:p>
            <w:pPr>
              <w:pStyle w:val="Compact"/>
              <w:jc w:val="left"/>
            </w:pPr>
            <w:r>
              <w:t xml:space="preserve">Monthly SI forms (M6)</w:t>
            </w:r>
          </w:p>
        </w:tc>
        <w:tc>
          <w:p>
            <w:pPr>
              <w:pStyle w:val="Compact"/>
              <w:jc w:val="left"/>
            </w:pPr>
            <w:r>
              <w:t xml:space="preserve">API/SFTP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 file formats for payroll</w:t>
            </w:r>
          </w:p>
        </w:tc>
        <w:tc>
          <w:p>
            <w:pPr>
              <w:pStyle w:val="Compact"/>
              <w:jc w:val="left"/>
            </w:pPr>
            <w:r>
              <w:t xml:space="preserve">Egyptian banks</w:t>
            </w:r>
          </w:p>
        </w:tc>
        <w:tc>
          <w:p>
            <w:pPr>
              <w:pStyle w:val="Compact"/>
              <w:jc w:val="left"/>
            </w:pPr>
            <w:r>
              <w:t xml:space="preserve">Salary disbursement</w:t>
            </w:r>
          </w:p>
        </w:tc>
        <w:tc>
          <w:p>
            <w:pPr>
              <w:pStyle w:val="Compact"/>
              <w:jc w:val="left"/>
            </w:pPr>
            <w:r>
              <w:t xml:space="preserve">Per-bank 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e-Signature provider</w:t>
            </w:r>
          </w:p>
        </w:tc>
        <w:tc>
          <w:p>
            <w:pPr>
              <w:pStyle w:val="Compact"/>
              <w:jc w:val="left"/>
            </w:pPr>
            <w:r>
              <w:t xml:space="preserve">TBD (DocuSign or local)</w:t>
            </w:r>
          </w:p>
        </w:tc>
        <w:tc>
          <w:p>
            <w:pPr>
              <w:pStyle w:val="Compact"/>
              <w:jc w:val="left"/>
            </w:pPr>
            <w:r>
              <w:t xml:space="preserve">Offers, contracts, onboarding</w:t>
            </w:r>
          </w:p>
        </w:tc>
        <w:tc>
          <w:p>
            <w:pPr>
              <w:pStyle w:val="Compact"/>
              <w:jc w:val="left"/>
            </w:pPr>
            <w:r>
              <w:t xml:space="preserve">Procurement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 gateway (Egypt)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OTP,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Procurement open</w:t>
            </w:r>
          </w:p>
        </w:tc>
      </w:tr>
    </w:tbl>
    <w:p>
      <w:pPr>
        <w:pStyle w:val="BodyText"/>
      </w:pPr>
      <w:r>
        <w:rPr>
          <w:b/>
        </w:rPr>
        <w:t xml:space="preserve">16. Risks and Mitigations</w:t>
      </w:r>
    </w:p>
    <w:p>
      <w:pPr>
        <w:pStyle w:val="BodyText"/>
      </w:pPr>
      <w:r>
        <w:t xml:space="preserve">Risks are tracked in the Praxion risk register and reviewed weekly by</w:t>
      </w:r>
      <w:r>
        <w:t xml:space="preserve"> </w:t>
      </w:r>
      <w:r>
        <w:t xml:space="preserve">the steering committee. The risks below are those most directly relevant</w:t>
      </w:r>
      <w:r>
        <w:t xml:space="preserve"> </w:t>
      </w:r>
      <w:r>
        <w:t xml:space="preserve">to this module.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R-M7-01</w:t>
            </w:r>
          </w:p>
        </w:tc>
        <w:tc>
          <w:p>
            <w:pPr>
              <w:pStyle w:val="Compact"/>
              <w:jc w:val="left"/>
            </w:pPr>
            <w:r>
              <w:t xml:space="preserve">OCR accuracy below target frustrates users.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Manual override; vendor OCR SLAs; feedback loop.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R-M7-02</w:t>
            </w:r>
          </w:p>
        </w:tc>
        <w:tc>
          <w:p>
            <w:pPr>
              <w:pStyle w:val="Compact"/>
              <w:jc w:val="left"/>
            </w:pPr>
            <w:r>
              <w:t xml:space="preserve">Fraudulent claims slip through controls.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Duplicate detection; spot audits; analytics.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R-M7-03</w:t>
            </w:r>
          </w:p>
        </w:tc>
        <w:tc>
          <w:p>
            <w:pPr>
              <w:pStyle w:val="Compact"/>
              <w:jc w:val="left"/>
            </w:pPr>
            <w:r>
              <w:t xml:space="preserve">Insurer API downtime.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Queue and retry; daily reconciliation.</w:t>
            </w:r>
          </w:p>
        </w:tc>
      </w:tr>
    </w:tbl>
    <w:p>
      <w:pPr>
        <w:pStyle w:val="BodyText"/>
      </w:pPr>
      <w:r>
        <w:rPr>
          <w:b/>
        </w:rPr>
        <w:t xml:space="preserve">17. Appendix</w:t>
      </w:r>
    </w:p>
    <w:p>
      <w:pPr>
        <w:pStyle w:val="BodyText"/>
      </w:pPr>
      <w:r>
        <w:rPr>
          <w:b/>
        </w:rPr>
        <w:t xml:space="preserve">17.1 Module Traceability Summary</w:t>
      </w:r>
    </w:p>
    <w:p>
      <w:pPr>
        <w:pStyle w:val="BodyText"/>
      </w:pPr>
      <w:r>
        <w:t xml:space="preserve">Every Business Rule (BR) is traceable to at least one Functional</w:t>
      </w:r>
      <w:r>
        <w:t xml:space="preserve"> </w:t>
      </w:r>
      <w:r>
        <w:t xml:space="preserve">Requirement (FR), User Story (US), and UAT scenario. The traceability</w:t>
      </w:r>
      <w:r>
        <w:t xml:space="preserve"> </w:t>
      </w:r>
      <w:r>
        <w:t xml:space="preserve">matrix is maintained in the Praxion requirements-management tool and</w:t>
      </w:r>
      <w:r>
        <w:t xml:space="preserve"> </w:t>
      </w:r>
      <w:r>
        <w:t xml:space="preserve">reviewed at each sprint close.</w:t>
      </w:r>
    </w:p>
    <w:p>
      <w:pPr>
        <w:pStyle w:val="BodyText"/>
      </w:pPr>
      <w:r>
        <w:rPr>
          <w:b/>
        </w:rPr>
        <w:t xml:space="preserve">17.2 Change Control</w:t>
      </w:r>
    </w:p>
    <w:p>
      <w:pPr>
        <w:pStyle w:val="BodyText"/>
      </w:pPr>
      <w:r>
        <w:t xml:space="preserve">Any change to this BRD after v1.0 sign-off follows the Praxion Change</w:t>
      </w:r>
      <w:r>
        <w:t xml:space="preserve"> </w:t>
      </w:r>
      <w:r>
        <w:t xml:space="preserve">Control process: (1) change request raised, (2) impact assessment by</w:t>
      </w:r>
      <w:r>
        <w:t xml:space="preserve"> </w:t>
      </w:r>
      <w:r>
        <w:t xml:space="preserve">delivery lead, (3) review by change advisory board, (4) approval by</w:t>
      </w:r>
      <w:r>
        <w:t xml:space="preserve"> </w:t>
      </w:r>
      <w:r>
        <w:t xml:space="preserve">business sponsor, (5) document update with incremented version. Changes</w:t>
      </w:r>
      <w:r>
        <w:t xml:space="preserve"> </w:t>
      </w:r>
      <w:r>
        <w:t xml:space="preserve">to statutory or compliance requirements are always prioritised.</w:t>
      </w:r>
    </w:p>
    <w:p>
      <w:pPr>
        <w:pStyle w:val="BodyText"/>
      </w:pPr>
      <w:r>
        <w:rPr>
          <w:b/>
        </w:rPr>
        <w:t xml:space="preserve">17.3 Open Questions</w:t>
      </w:r>
    </w:p>
    <w:p>
      <w:pPr>
        <w:numPr>
          <w:ilvl w:val="0"/>
          <w:numId w:val="1021"/>
        </w:numPr>
      </w:pPr>
      <w:r>
        <w:t xml:space="preserve">Final list of pilot client tenants and their target onboarding</w:t>
      </w:r>
      <w:r>
        <w:t xml:space="preserve"> </w:t>
      </w:r>
      <w:r>
        <w:t xml:space="preserve">&gt; dates.</w:t>
      </w:r>
    </w:p>
    <w:p>
      <w:pPr>
        <w:numPr>
          <w:ilvl w:val="0"/>
          <w:numId w:val="1021"/>
        </w:numPr>
      </w:pPr>
      <w:r>
        <w:t xml:space="preserve">Procurement decision on e-Signature provider and SMS gateway.</w:t>
      </w:r>
    </w:p>
    <w:p>
      <w:pPr>
        <w:numPr>
          <w:ilvl w:val="0"/>
          <w:numId w:val="1021"/>
        </w:numPr>
      </w:pPr>
      <w:r>
        <w:t xml:space="preserve">Confirmation of preferred bank file formats across Egybell’s banking</w:t>
      </w:r>
      <w:r>
        <w:t xml:space="preserve"> </w:t>
      </w:r>
      <w:r>
        <w:t xml:space="preserve">&gt; partners.</w:t>
      </w:r>
    </w:p>
    <w:p>
      <w:pPr>
        <w:numPr>
          <w:ilvl w:val="0"/>
          <w:numId w:val="1021"/>
        </w:numPr>
      </w:pPr>
      <w:r>
        <w:t xml:space="preserve">Agreement on data sovereignty region for hosted infrastructure.</w:t>
      </w:r>
    </w:p>
    <w:p>
      <w:pPr>
        <w:numPr>
          <w:ilvl w:val="0"/>
          <w:numId w:val="1021"/>
        </w:numPr>
      </w:pPr>
      <w:r>
        <w:t xml:space="preserve">Clarification of expected SLAs with client tenants and penalty</w:t>
      </w:r>
      <w:r>
        <w:t xml:space="preserve"> </w:t>
      </w:r>
      <w:r>
        <w:t xml:space="preserve">&gt; framework.</w:t>
      </w:r>
    </w:p>
    <w:p>
      <w:pPr>
        <w:pStyle w:val="FirstParagraph"/>
      </w:pPr>
      <w:r>
        <w:rPr>
          <w:b/>
        </w:rPr>
        <w:t xml:space="preserve">17.4 Sign-Off</w:t>
      </w:r>
    </w:p>
    <w:p>
      <w:pPr>
        <w:pStyle w:val="BodyText"/>
      </w:pPr>
      <w:r>
        <w:t xml:space="preserve">By signing below, the named stakeholders confirm that the requirements</w:t>
      </w:r>
      <w:r>
        <w:t xml:space="preserve"> </w:t>
      </w:r>
      <w:r>
        <w:t xml:space="preserve">in this document accurately reflect the business need for the Praxion</w:t>
      </w:r>
      <w:r>
        <w:t xml:space="preserve"> </w:t>
      </w:r>
      <w:r>
        <w:t xml:space="preserve">Benefits and Expenses module and authorise the Praxion delivery team to</w:t>
      </w:r>
      <w:r>
        <w:t xml:space="preserve"> </w:t>
      </w:r>
      <w:r>
        <w:t xml:space="preserve">proceed to solution design and build.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Sabry</w:t>
            </w:r>
          </w:p>
        </w:tc>
        <w:tc>
          <w:p>
            <w:pPr>
              <w:pStyle w:val="Compact"/>
              <w:jc w:val="left"/>
            </w:pPr>
            <w:r>
              <w:t xml:space="preserve">Project Director</w:t>
            </w:r>
          </w:p>
        </w:tc>
        <w:tc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Egybell Executive</w:t>
            </w:r>
          </w:p>
        </w:tc>
        <w:tc>
          <w:p>
            <w:pPr>
              <w:pStyle w:val="Compact"/>
              <w:jc w:val="left"/>
            </w:pPr>
            <w:r>
              <w:t xml:space="preserve">Business Sponsor</w:t>
            </w:r>
          </w:p>
        </w:tc>
        <w:tc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 Director</w:t>
            </w:r>
          </w:p>
        </w:tc>
        <w:tc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 Director</w:t>
            </w:r>
          </w:p>
        </w:tc>
        <w:tc>
          <w:p>
            <w:pPr>
              <w:pStyle w:val="Compact"/>
              <w:jc w:val="left"/>
            </w:pPr>
            <w:r>
              <w:t xml:space="preserve">Finance Owner</w:t>
            </w:r>
          </w:p>
        </w:tc>
        <w:tc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/ CIO</w:t>
            </w:r>
          </w:p>
        </w:tc>
        <w:tc>
          <w:p>
            <w:pPr>
              <w:pStyle w:val="Compact"/>
              <w:jc w:val="left"/>
            </w:pPr>
            <w:r>
              <w:t xml:space="preserve">Technical Approver</w:t>
            </w:r>
          </w:p>
        </w:tc>
        <w:tc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 Lead</w:t>
            </w:r>
          </w:p>
        </w:tc>
        <w:tc>
          <w:p>
            <w:pPr>
              <w:pStyle w:val="Compact"/>
              <w:jc w:val="left"/>
            </w:pPr>
            <w:r>
              <w:t xml:space="preserve">Praxion Delivery</w:t>
            </w:r>
          </w:p>
        </w:tc>
        <w:tc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 w:eastAsia="Inter" w:cs="Inter"/>
        <w:b w:val="0"/>
        <w:i w:val="0"/>
        <w:color w:val="8892B0"/>
        <w:sz w:val="16"/>
      </w:rPr>
      <w:t>Confidential · © 2026 Egybell · Praxion HR Operating System</w:t>
    </w:r>
    <w:r>
      <w:tab/>
      <w:tab/>
    </w:r>
    <w:r>
      <w:rPr>
        <w:rFonts w:ascii="Inter" w:hAnsi="Inter" w:eastAsia="Inter" w:cs="Inter"/>
        <w:b/>
        <w:i w:val="0"/>
        <w:color w:val="0B143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10" w:space="1" w:color="2F6BFF"/>
      </w:pBdr>
    </w:pPr>
    <w:r>
      <w:rPr>
        <w:rFonts w:ascii="Inter" w:hAnsi="Inter" w:eastAsia="Inter" w:cs="Inter"/>
        <w:b/>
        <w:i w:val="0"/>
        <w:color w:val="0B1437"/>
        <w:sz w:val="17"/>
      </w:rPr>
      <w:t>PRAXION  ·  M7  ·  BENEFITS AND EXPENSES</w:t>
    </w:r>
    <w:r>
      <w:tab/>
      <w:tab/>
    </w:r>
    <w:r>
      <w:rPr>
        <w:rFonts w:ascii="Inter" w:hAnsi="Inter" w:eastAsia="Inter" w:cs="Inter"/>
        <w:b w:val="0"/>
        <w:i w:val="0"/>
        <w:color w:val="2F6BFF"/>
        <w:sz w:val="17"/>
      </w:rPr>
      <w:t>BUSINESS REQUIREMENTS DOCUMENT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2026-04-19T08:22:16Z</dcterms:created>
  <dcterms:modified xsi:type="dcterms:W3CDTF">2026-04-19T08:22:16Z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