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0360" w14:textId="77777777" w:rsidR="00E665BE" w:rsidRDefault="00E665BE">
      <w:pPr>
        <w:spacing w:before="1200"/>
      </w:pPr>
    </w:p>
    <w:p w14:paraId="67FB446E" w14:textId="77777777" w:rsidR="00E665BE" w:rsidRDefault="00000000">
      <w:pPr>
        <w:spacing w:after="100"/>
        <w:jc w:val="center"/>
      </w:pPr>
      <w:r>
        <w:rPr>
          <w:b/>
          <w:bCs/>
          <w:color w:val="0B1437"/>
          <w:sz w:val="52"/>
          <w:szCs w:val="52"/>
        </w:rPr>
        <w:t>PRAXION HROS</w:t>
      </w:r>
    </w:p>
    <w:p w14:paraId="2D7D168A" w14:textId="77777777" w:rsidR="00E665BE" w:rsidRDefault="00000000">
      <w:pPr>
        <w:spacing w:after="80"/>
        <w:jc w:val="center"/>
      </w:pPr>
      <w:r>
        <w:rPr>
          <w:color w:val="2F6BFF"/>
          <w:sz w:val="32"/>
          <w:szCs w:val="32"/>
        </w:rPr>
        <w:t>MODULE M1  ·  CORE HRIS</w:t>
      </w:r>
    </w:p>
    <w:p w14:paraId="32D67929" w14:textId="77777777" w:rsidR="00E665BE" w:rsidRDefault="00000000">
      <w:pPr>
        <w:pBdr>
          <w:bottom w:val="single" w:sz="8" w:space="16" w:color="19D3C5"/>
        </w:pBdr>
        <w:spacing w:after="400"/>
        <w:jc w:val="center"/>
      </w:pPr>
      <w:r>
        <w:rPr>
          <w:color w:val="0B1437"/>
          <w:sz w:val="28"/>
          <w:szCs w:val="28"/>
        </w:rPr>
        <w:t>Consolidated Discovery Questionnaire</w:t>
      </w:r>
    </w:p>
    <w:p w14:paraId="68F2E93E" w14:textId="77777777" w:rsidR="00E665BE" w:rsidRDefault="00000000">
      <w:pPr>
        <w:spacing w:after="60"/>
        <w:jc w:val="center"/>
      </w:pPr>
      <w:r>
        <w:rPr>
          <w:color w:val="666666"/>
        </w:rPr>
        <w:t>Prepared for the Praxion × Egybell Business Team</w:t>
      </w:r>
    </w:p>
    <w:p w14:paraId="49EAD713" w14:textId="77777777" w:rsidR="00E665BE" w:rsidRDefault="00000000">
      <w:pPr>
        <w:spacing w:after="60"/>
        <w:jc w:val="center"/>
      </w:pPr>
      <w:r>
        <w:rPr>
          <w:color w:val="666666"/>
        </w:rPr>
        <w:t>April 2026</w:t>
      </w:r>
    </w:p>
    <w:p w14:paraId="5149CECA" w14:textId="77777777" w:rsidR="00E665BE" w:rsidRDefault="00000000">
      <w:pPr>
        <w:spacing w:after="400"/>
        <w:jc w:val="center"/>
      </w:pPr>
      <w:r>
        <w:rPr>
          <w:b/>
          <w:bCs/>
          <w:color w:val="2F6BFF"/>
        </w:rPr>
        <w:t>Target Go-Live: 14 March 2027</w:t>
      </w:r>
    </w:p>
    <w:p w14:paraId="178F01E3" w14:textId="77777777" w:rsidR="00E665BE" w:rsidRDefault="00000000">
      <w:pPr>
        <w:spacing w:after="200"/>
      </w:pPr>
      <w:r>
        <w:rPr>
          <w:b/>
          <w:bCs/>
          <w:color w:val="0B1437"/>
          <w:sz w:val="26"/>
          <w:szCs w:val="26"/>
        </w:rPr>
        <w:t>How to Use This Document</w:t>
      </w:r>
    </w:p>
    <w:p w14:paraId="64482785" w14:textId="77777777" w:rsidR="00E665BE" w:rsidRDefault="00000000">
      <w:pPr>
        <w:spacing w:after="120"/>
      </w:pPr>
      <w:r>
        <w:rPr>
          <w:color w:val="333333"/>
          <w:sz w:val="20"/>
          <w:szCs w:val="20"/>
        </w:rPr>
        <w:t>This questionnaire consolidates all M1 Core HRIS discovery questions into a single document for the business team. Many answers have been pre-filled from the approved BRD (v1.0, 10 April 2026). Pre-filled answers appear in blue italic text.</w:t>
      </w:r>
    </w:p>
    <w:p w14:paraId="3F211326" w14:textId="77777777" w:rsidR="00E665BE" w:rsidRDefault="00000000">
      <w:pPr>
        <w:spacing w:after="120"/>
      </w:pPr>
      <w:r>
        <w:rPr>
          <w:b/>
          <w:bCs/>
          <w:color w:val="333333"/>
          <w:sz w:val="20"/>
          <w:szCs w:val="20"/>
        </w:rPr>
        <w:t>For each question:</w:t>
      </w:r>
    </w:p>
    <w:p w14:paraId="72E87FFA" w14:textId="77777777" w:rsidR="00E665BE" w:rsidRDefault="00000000">
      <w:pPr>
        <w:spacing w:after="60"/>
      </w:pPr>
      <w:r>
        <w:rPr>
          <w:color w:val="333333"/>
          <w:sz w:val="20"/>
          <w:szCs w:val="20"/>
        </w:rPr>
        <w:t xml:space="preserve">   1.  Review the pre-filled answer (if any).</w:t>
      </w:r>
    </w:p>
    <w:p w14:paraId="5C829E98" w14:textId="77777777" w:rsidR="00E665BE" w:rsidRDefault="00000000">
      <w:pPr>
        <w:spacing w:after="60"/>
      </w:pPr>
      <w:r>
        <w:rPr>
          <w:color w:val="333333"/>
          <w:sz w:val="20"/>
          <w:szCs w:val="20"/>
        </w:rPr>
        <w:t xml:space="preserve">   2.  Mark Y in the Confirm column if the answer is correct, or N if changes are needed.</w:t>
      </w:r>
    </w:p>
    <w:p w14:paraId="1A0B01F7" w14:textId="77777777" w:rsidR="00E665BE" w:rsidRDefault="00000000">
      <w:pPr>
        <w:spacing w:after="60"/>
      </w:pPr>
      <w:r>
        <w:rPr>
          <w:color w:val="333333"/>
          <w:sz w:val="20"/>
          <w:szCs w:val="20"/>
        </w:rPr>
        <w:t xml:space="preserve">   3.  For blank responses, provide your answer in the Response column.</w:t>
      </w:r>
    </w:p>
    <w:p w14:paraId="335724EB" w14:textId="77777777" w:rsidR="00E665BE" w:rsidRDefault="00000000">
      <w:pPr>
        <w:spacing w:after="200"/>
      </w:pPr>
      <w:r>
        <w:rPr>
          <w:color w:val="333333"/>
          <w:sz w:val="20"/>
          <w:szCs w:val="20"/>
        </w:rPr>
        <w:t xml:space="preserve">   4.  If you mark N, please add your correction or comment in the Response column.</w:t>
      </w:r>
    </w:p>
    <w:p w14:paraId="31300A16" w14:textId="77777777" w:rsidR="00E665BE" w:rsidRDefault="00000000">
      <w:r>
        <w:br w:type="page"/>
      </w:r>
    </w:p>
    <w:p w14:paraId="1AFFC91C" w14:textId="77777777" w:rsidR="00E665BE" w:rsidRDefault="00000000">
      <w:pPr>
        <w:pStyle w:val="Heading2"/>
        <w:spacing w:before="360"/>
      </w:pPr>
      <w:r>
        <w:lastRenderedPageBreak/>
        <w:t>1. Organization Structure</w:t>
      </w:r>
    </w:p>
    <w:p w14:paraId="61D2E5DA" w14:textId="77777777" w:rsidR="00E665BE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the org model and hierarchy that Praxion must support at go-live.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E665BE" w14:paraId="497AC8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BC40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ADE36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B73F0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BB279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E665BE" w14:paraId="2BAA87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18C7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4351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many legal entities, business units, departments, and locations must the system represent at go-live?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36AB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Egybell is the provider tenant. Each outsourcing client is a separate client tenant. Exact count of client tenants TBD.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11976" w14:textId="77777777" w:rsidR="00E665BE" w:rsidRDefault="00E665BE">
            <w:pPr>
              <w:jc w:val="center"/>
            </w:pPr>
          </w:p>
        </w:tc>
      </w:tr>
      <w:tr w:rsidR="00E665BE" w14:paraId="3D8342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B40D6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2775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does the org chart look like today, and where is the source of truth?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ABEA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Currently in Excel workbooks managed independently by HR, Ops, and Payroll. No single source of truth exists.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905E0" w14:textId="77777777" w:rsidR="00E665BE" w:rsidRDefault="00E665BE">
            <w:pPr>
              <w:jc w:val="center"/>
            </w:pPr>
          </w:p>
        </w:tc>
      </w:tr>
      <w:tr w:rsidR="00E665BE" w14:paraId="337CF0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5910C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5A17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Do we use position management (every seat is a defined position) or headcount management (just employee records)?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1160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74BB" w14:textId="77777777" w:rsidR="00E665BE" w:rsidRDefault="00E665BE">
            <w:pPr>
              <w:jc w:val="center"/>
            </w:pPr>
          </w:p>
        </w:tc>
      </w:tr>
      <w:tr w:rsidR="00E665BE" w14:paraId="14C961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5767C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51FB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are dotted-line and matrix reporting relationships handled?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E959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CA2AC" w14:textId="77777777" w:rsidR="00E665BE" w:rsidRDefault="00E665BE">
            <w:pPr>
              <w:jc w:val="center"/>
            </w:pPr>
          </w:p>
        </w:tc>
      </w:tr>
      <w:tr w:rsidR="00E665BE" w14:paraId="4E8491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A9E1E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5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9CCB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are cost centers and GL dimensions linked to org units?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04EB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Cost centres are part of the org structure data model. Departments, job titles, grades, and cost centres are tenant-scoped.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77DF" w14:textId="77777777" w:rsidR="00E665BE" w:rsidRDefault="00E665BE">
            <w:pPr>
              <w:jc w:val="center"/>
            </w:pPr>
          </w:p>
        </w:tc>
      </w:tr>
      <w:tr w:rsidR="00E665BE" w14:paraId="01294F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761BC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6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4190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Who owns org changes, and what is the approval workflow for creating, moving, or closing units?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0A19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56AA6" w14:textId="77777777" w:rsidR="00E665BE" w:rsidRDefault="00E665BE">
            <w:pPr>
              <w:jc w:val="center"/>
            </w:pPr>
          </w:p>
        </w:tc>
      </w:tr>
      <w:tr w:rsidR="00E665BE" w14:paraId="62BD99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8886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7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535F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working week pattern (Sun-Thu, Mon-Fri, shifts)?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4EEC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Sun-Thu is the default Egyptian working week. System supports Gregorian/Hijri dates.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8914" w14:textId="77777777" w:rsidR="00E665BE" w:rsidRDefault="00E665BE">
            <w:pPr>
              <w:jc w:val="center"/>
            </w:pPr>
          </w:p>
        </w:tc>
      </w:tr>
      <w:tr w:rsidR="00E665BE" w14:paraId="399842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6ADB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8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70B4E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many departments exist across all entities today? Please provide a list if available.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8E92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F4BB5" w14:textId="77777777" w:rsidR="00E665BE" w:rsidRDefault="00E665BE">
            <w:pPr>
              <w:jc w:val="center"/>
            </w:pPr>
          </w:p>
        </w:tc>
      </w:tr>
      <w:tr w:rsidR="00E665BE" w14:paraId="4C15F3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5A015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9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FA02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Are there any planned entity mergers, acquisitions, or restructurings before go-live (14 Mar 2027)?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D0ED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08C2" w14:textId="77777777" w:rsidR="00E665BE" w:rsidRDefault="00E665BE">
            <w:pPr>
              <w:jc w:val="center"/>
            </w:pPr>
          </w:p>
        </w:tc>
      </w:tr>
    </w:tbl>
    <w:p w14:paraId="012DA32C" w14:textId="77777777" w:rsidR="00E665BE" w:rsidRDefault="00000000">
      <w:r>
        <w:br w:type="page"/>
      </w:r>
    </w:p>
    <w:p w14:paraId="4ED989E1" w14:textId="77777777" w:rsidR="00E665BE" w:rsidRDefault="00000000">
      <w:pPr>
        <w:pStyle w:val="Heading2"/>
        <w:spacing w:before="360"/>
      </w:pPr>
      <w:r>
        <w:lastRenderedPageBreak/>
        <w:t>2. Employee Master Data</w:t>
      </w:r>
    </w:p>
    <w:p w14:paraId="0A8B4DBE" w14:textId="77777777" w:rsidR="00E665BE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what data fields, ID types, and profile structure the system must capture.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E665BE" w14:paraId="7785AC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182A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5C832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DDDD7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43302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E665BE" w14:paraId="038A77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82728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1641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master data fields are mandatory at hire, beyond name, ID, DOB, contract?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8498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Arabic name and English name are mandatory (BR-M1-003). Employment type is mandatory: Internal / Outsourced / Client Direct / Contractor (BR-M1-002).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091E9" w14:textId="77777777" w:rsidR="00E665BE" w:rsidRDefault="00E665BE">
            <w:pPr>
              <w:jc w:val="center"/>
            </w:pPr>
          </w:p>
        </w:tc>
      </w:tr>
      <w:tr w:rsidR="00E665BE" w14:paraId="568140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9493E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B460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Which fields are bilingual (Arabic name, English name, address)?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B371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All user-facing text fields support bilingual AR/EN with full RTL. At least one language is mandatory per field.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FDD2" w14:textId="77777777" w:rsidR="00E665BE" w:rsidRDefault="00E665BE">
            <w:pPr>
              <w:jc w:val="center"/>
            </w:pPr>
          </w:p>
        </w:tc>
      </w:tr>
      <w:tr w:rsidR="00E665BE" w14:paraId="2703B4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9A9DE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775A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ID types are tracked: national ID, passport, military service, work permit, residence permit?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7909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National ID, passport, military certificates tracked as documents with expiry alerts. National ID and passport are PII Level 2.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10BC" w14:textId="77777777" w:rsidR="00E665BE" w:rsidRDefault="00E665BE">
            <w:pPr>
              <w:jc w:val="center"/>
            </w:pPr>
          </w:p>
        </w:tc>
      </w:tr>
      <w:tr w:rsidR="00E665BE" w14:paraId="1F0082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A8F8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324E3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is military service status (essential in Egypt) captured and verified?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D66E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Military certificates are tracked in the document vault with expiry management.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1C1D" w14:textId="77777777" w:rsidR="00E665BE" w:rsidRDefault="00E665BE">
            <w:pPr>
              <w:jc w:val="center"/>
            </w:pPr>
          </w:p>
        </w:tc>
      </w:tr>
      <w:tr w:rsidR="00E665BE" w14:paraId="3BAB42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65BB1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5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8D1D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family and dependent data is stored, and which fields drive payroll/benefits eligibility?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5618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Dependents sub-section exists on the profile. Family data is masked in client tenant projections per PDPL.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5B847" w14:textId="77777777" w:rsidR="00E665BE" w:rsidRDefault="00E665BE">
            <w:pPr>
              <w:jc w:val="center"/>
            </w:pPr>
          </w:p>
        </w:tc>
      </w:tr>
      <w:tr w:rsidR="00E665BE" w14:paraId="4CE9C6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B5AE4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6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AB48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are emergency contacts maintained?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A374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Emergency contacts sub-section on the profile. Editable via employee self-service.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058C1" w14:textId="77777777" w:rsidR="00E665BE" w:rsidRDefault="00E665BE">
            <w:pPr>
              <w:jc w:val="center"/>
            </w:pPr>
          </w:p>
        </w:tc>
      </w:tr>
      <w:tr w:rsidR="00E665BE" w14:paraId="1CA27C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5D37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7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EB89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data is editable by the employee via self-service vs. HR-only?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B777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Self-service: contact details, emergency contacts, dependents, document uploads (with approval). HR-only: compensation, employment type, status changes.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1421F" w14:textId="77777777" w:rsidR="00E665BE" w:rsidRDefault="00E665BE">
            <w:pPr>
              <w:jc w:val="center"/>
            </w:pPr>
          </w:p>
        </w:tc>
      </w:tr>
      <w:tr w:rsidR="00E665BE" w14:paraId="2D8DB5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6A5E9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8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AF0A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many active employees exist today across all entities? What is the projected count at go-live?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F2D6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System designed for up to 50,000 employees and 100 client tenants at go-live.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04A3" w14:textId="77777777" w:rsidR="00E665BE" w:rsidRDefault="00E665BE">
            <w:pPr>
              <w:jc w:val="center"/>
            </w:pPr>
          </w:p>
        </w:tc>
      </w:tr>
      <w:tr w:rsidR="00E665BE" w14:paraId="73B197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EE312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9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F8BE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current employee ID numbering scheme? Should Praxion generate new IDs or adopt the existing format?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4446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Praxion generates a unique Employee ID on profile creation.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01490" w14:textId="77777777" w:rsidR="00E665BE" w:rsidRDefault="00E665BE">
            <w:pPr>
              <w:jc w:val="center"/>
            </w:pPr>
          </w:p>
        </w:tc>
      </w:tr>
      <w:tr w:rsidR="00E665BE" w14:paraId="11C7DF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5A17D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10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352A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Are there employee categories beyond the four types (Internal, Outsourced, Client Direct, Contractor) that need tracking?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76BC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Four types defined: Internal, Outsourced, Client Direct, Contractor. Each has type-specific required fields.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C21E" w14:textId="77777777" w:rsidR="00E665BE" w:rsidRDefault="00E665BE">
            <w:pPr>
              <w:jc w:val="center"/>
            </w:pPr>
          </w:p>
        </w:tc>
      </w:tr>
      <w:tr w:rsidR="00E665BE" w14:paraId="757BF9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6B8FE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CC3A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previous employment history data is captured, and is it verified?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B2BF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Previous employment sub-section exists on the profile.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C35E2" w14:textId="77777777" w:rsidR="00E665BE" w:rsidRDefault="00E665BE">
            <w:pPr>
              <w:jc w:val="center"/>
            </w:pPr>
          </w:p>
        </w:tc>
      </w:tr>
      <w:tr w:rsidR="00E665BE" w14:paraId="53F27F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10630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3E38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are employee photos managed (upload rules, mandatory, badge integration)?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E1EF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Profile photo upload supported with configurable size and type policies (FR-M1-002).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3D67" w14:textId="77777777" w:rsidR="00E665BE" w:rsidRDefault="00E665BE">
            <w:pPr>
              <w:jc w:val="center"/>
            </w:pPr>
          </w:p>
        </w:tc>
      </w:tr>
    </w:tbl>
    <w:p w14:paraId="190D2905" w14:textId="77777777" w:rsidR="00E665BE" w:rsidRDefault="00000000">
      <w:r>
        <w:br w:type="page"/>
      </w:r>
    </w:p>
    <w:p w14:paraId="28EB5F90" w14:textId="77777777" w:rsidR="00E665BE" w:rsidRDefault="00000000">
      <w:pPr>
        <w:pStyle w:val="Heading2"/>
        <w:spacing w:before="360"/>
      </w:pPr>
      <w:r>
        <w:lastRenderedPageBreak/>
        <w:t>3. Employee Lifecycle Events</w:t>
      </w:r>
    </w:p>
    <w:p w14:paraId="68BDDA5F" w14:textId="77777777" w:rsidR="00E665BE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which lifecycle events are tracked, how they are approved, and how dates are handled.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E665BE" w14:paraId="285F66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F5E27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BF0BD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F2BB8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205E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E665BE" w14:paraId="584E33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0F5F8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0FE0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Which lifecycle events must be tracked: hire, rehire, transfer, promotion, demotion, suspension, leave of absence, return, termination?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C3B1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All of the above. Employee lifecycle from hire to termination is owned by M1. Status changes: active, on leave, suspended, terminated.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236E" w14:textId="77777777" w:rsidR="00E665BE" w:rsidRDefault="00E665BE">
            <w:pPr>
              <w:jc w:val="center"/>
            </w:pPr>
          </w:p>
        </w:tc>
      </w:tr>
      <w:tr w:rsidR="00E665BE" w14:paraId="45B319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A2F8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E9D8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approval workflow for each event, and which roles are involved?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F6EF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Leave requests follow configured approval chain (BR-M1-008). Termination triggers offboarding (M3) and revokes access within 24h (BR-M1-012).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50524" w14:textId="77777777" w:rsidR="00E665BE" w:rsidRDefault="00E665BE">
            <w:pPr>
              <w:jc w:val="center"/>
            </w:pPr>
          </w:p>
        </w:tc>
      </w:tr>
      <w:tr w:rsidR="00E665BE" w14:paraId="172031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66B7E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7D64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are effective dates handled: current date, future-dated, retroactive?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3D25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Future-dated and retroactive supported. Retroactive terminations instruct payroll to process corrections.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A0C9" w14:textId="77777777" w:rsidR="00E665BE" w:rsidRDefault="00E665BE">
            <w:pPr>
              <w:jc w:val="center"/>
            </w:pPr>
          </w:p>
        </w:tc>
      </w:tr>
      <w:tr w:rsidR="00E665BE" w14:paraId="0F47D3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69666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A516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documents and notifications are auto-generated by each event?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3B9E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Termination raises domain event on Kafka bus consumed by M3, M6. Leave approval sends confirmation to both parties.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21B8D" w14:textId="77777777" w:rsidR="00E665BE" w:rsidRDefault="00E665BE">
            <w:pPr>
              <w:jc w:val="center"/>
            </w:pPr>
          </w:p>
        </w:tc>
      </w:tr>
      <w:tr w:rsidR="00E665BE" w14:paraId="446AB4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9C930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5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21A9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are mass changes (annual increase, restructuring) executed today?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2777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Bulk import from Excel with validation report and dry-run mode (FR-M1-007).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6B642" w14:textId="77777777" w:rsidR="00E665BE" w:rsidRDefault="00E665BE">
            <w:pPr>
              <w:jc w:val="center"/>
            </w:pPr>
          </w:p>
        </w:tc>
      </w:tr>
      <w:tr w:rsidR="00E665BE" w14:paraId="7AA82A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5745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6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CD07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probation period by job category, and how is confirmation handled?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7303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42264" w14:textId="77777777" w:rsidR="00E665BE" w:rsidRDefault="00E665BE">
            <w:pPr>
              <w:jc w:val="center"/>
            </w:pPr>
          </w:p>
        </w:tc>
      </w:tr>
      <w:tr w:rsidR="00E665BE" w14:paraId="76B538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BDA4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7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0662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suspension types exist (disciplinary, administrative, pending investigation)? What are the pay rules for each?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B438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1A148" w14:textId="77777777" w:rsidR="00E665BE" w:rsidRDefault="00E665BE">
            <w:pPr>
              <w:jc w:val="center"/>
            </w:pPr>
          </w:p>
        </w:tc>
      </w:tr>
      <w:tr w:rsidR="00E665BE" w14:paraId="6B205D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A017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8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5C29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are secondments and temporary assignments tracked and approved?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6783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Outsourced employees support reassignment between clients with history retained (FR-M1-005).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6E587" w14:textId="77777777" w:rsidR="00E665BE" w:rsidRDefault="00E665BE">
            <w:pPr>
              <w:jc w:val="center"/>
            </w:pPr>
          </w:p>
        </w:tc>
      </w:tr>
    </w:tbl>
    <w:p w14:paraId="53A3B88D" w14:textId="77777777" w:rsidR="00E665BE" w:rsidRDefault="00000000">
      <w:pPr>
        <w:pStyle w:val="Heading2"/>
        <w:spacing w:before="360"/>
      </w:pPr>
      <w:r>
        <w:t>4. Document Management</w:t>
      </w:r>
    </w:p>
    <w:p w14:paraId="4AEBE964" w14:textId="77777777" w:rsidR="00E665BE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document types, retention rules, access controls, and migration approach.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E665BE" w14:paraId="3497FC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77F2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757DA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23757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C2B8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E665BE" w14:paraId="53FAA8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F52D6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B8CE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document types are stored in the employee file (contract, ID copies, certificates, medical, military, references, photos)?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813E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Configurable document types: ID, passport, contract, certificate, etc. (FR-M1-001). All documents encrypted at rest with per-tenant DEKs.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1E928" w14:textId="77777777" w:rsidR="00E665BE" w:rsidRDefault="00E665BE">
            <w:pPr>
              <w:jc w:val="center"/>
            </w:pPr>
          </w:p>
        </w:tc>
      </w:tr>
      <w:tr w:rsidR="00E665BE" w14:paraId="3106FF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4AD49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lastRenderedPageBreak/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98CA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are the retention rules per document type?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8454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Active employee records: duration + 7 years. Payroll: 7 years. SI: 7 years. Audit logs: 7 years. Candidates: 24 months.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3699A" w14:textId="77777777" w:rsidR="00E665BE" w:rsidRDefault="00E665BE">
            <w:pPr>
              <w:jc w:val="center"/>
            </w:pPr>
          </w:p>
        </w:tc>
      </w:tr>
      <w:tr w:rsidR="00E665BE" w14:paraId="22754F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B7BAB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3793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Are there mandatory documents that block onboarding completion if missing?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BDD1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2FCB3" w14:textId="77777777" w:rsidR="00E665BE" w:rsidRDefault="00E665BE">
            <w:pPr>
              <w:jc w:val="center"/>
            </w:pPr>
          </w:p>
        </w:tc>
      </w:tr>
      <w:tr w:rsidR="00E665BE" w14:paraId="0031F9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C691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5F5F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Who can see which document categories?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B047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Sensitive documents restricted to roles with explicit permission (FR-M1-006). National ID, passport, bank account restricted to HR Manager+ (BR-M1-011).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87BCB" w14:textId="77777777" w:rsidR="00E665BE" w:rsidRDefault="00E665BE">
            <w:pPr>
              <w:jc w:val="center"/>
            </w:pPr>
          </w:p>
        </w:tc>
      </w:tr>
      <w:tr w:rsidR="00E665BE" w14:paraId="2063C2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D6868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5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2617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Should documents be OCR-searchable? Versioned? Watermarked?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0D10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Search by type, tag, expiry, uploader (FR-M1-005). Watermarking for downloaded copies (FR-M1-007). Document versioning: each save creates new version.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F0084" w14:textId="77777777" w:rsidR="00E665BE" w:rsidRDefault="00E665BE">
            <w:pPr>
              <w:jc w:val="center"/>
            </w:pPr>
          </w:p>
        </w:tc>
      </w:tr>
      <w:tr w:rsidR="00E665BE" w14:paraId="7726D0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38184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6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7428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maximum file size allowed per document upload?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D5C8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Configurable size and type policies. Client-side compression planned to control storage costs.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63CCA" w14:textId="77777777" w:rsidR="00E665BE" w:rsidRDefault="00E665BE">
            <w:pPr>
              <w:jc w:val="center"/>
            </w:pPr>
          </w:p>
        </w:tc>
      </w:tr>
      <w:tr w:rsidR="00E665BE" w14:paraId="4929A3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40908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7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4E4D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Are there documents that require co-signing or multi-party approval before filing?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A403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BB7DE" w14:textId="77777777" w:rsidR="00E665BE" w:rsidRDefault="00E665BE">
            <w:pPr>
              <w:jc w:val="center"/>
            </w:pPr>
          </w:p>
        </w:tc>
      </w:tr>
      <w:tr w:rsidR="00E665BE" w14:paraId="20480A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F31A8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8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E122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should documents from the legacy system (WhatsApp, email, Excel) be migrated?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ACCB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Documents currently scattered across WhatsApp and email. Migration approach TBD.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6C09D" w14:textId="77777777" w:rsidR="00E665BE" w:rsidRDefault="00E665BE">
            <w:pPr>
              <w:jc w:val="center"/>
            </w:pPr>
          </w:p>
        </w:tc>
      </w:tr>
    </w:tbl>
    <w:p w14:paraId="06D4E913" w14:textId="77777777" w:rsidR="00E665BE" w:rsidRDefault="00000000">
      <w:r>
        <w:br w:type="page"/>
      </w:r>
    </w:p>
    <w:p w14:paraId="30FE20E5" w14:textId="77777777" w:rsidR="00E665BE" w:rsidRDefault="00000000">
      <w:pPr>
        <w:pStyle w:val="Heading2"/>
        <w:spacing w:before="360"/>
      </w:pPr>
      <w:r>
        <w:lastRenderedPageBreak/>
        <w:t>5. Leave Management</w:t>
      </w:r>
    </w:p>
    <w:p w14:paraId="2040C45D" w14:textId="77777777" w:rsidR="00E665BE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statutory leave entitlements, company enhancements, and operational rules.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E665BE" w14:paraId="2A5488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EF16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60DE3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F90B6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6863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E665BE" w14:paraId="3BD537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8E49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2EE8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Confirm annual leave entitlement: 21 days (&lt;10 yrs service), 30 days (10+ yrs). Any company enhancements?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5072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21 days for &lt;10 yrs, 30 days for 10+ yrs per Labor Law 12/2003, Article 47 (BR-M1-004). Tenant-specific variations supported.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2145" w14:textId="77777777" w:rsidR="00E665BE" w:rsidRDefault="00E665BE">
            <w:pPr>
              <w:jc w:val="center"/>
            </w:pPr>
          </w:p>
        </w:tc>
      </w:tr>
      <w:tr w:rsidR="00E665BE" w14:paraId="1D5518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9E23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A5D0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Confirm sick leave entitlement: 45 days per calendar year. How is medical evidence handled?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D1B90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45 days per calendar year per Labor Law (BR-M1-005).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75F06" w14:textId="77777777" w:rsidR="00E665BE" w:rsidRDefault="00E665BE">
            <w:pPr>
              <w:jc w:val="center"/>
            </w:pPr>
          </w:p>
        </w:tc>
      </w:tr>
      <w:tr w:rsidR="00E665BE" w14:paraId="520439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31F2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EAE7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Confirm maternity leave: 90 days, up to two instances. Any additional company policy?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7F87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90 days with up to 2 instances per Labor Law (BR-M1-006).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2F32" w14:textId="77777777" w:rsidR="00E665BE" w:rsidRDefault="00E665BE">
            <w:pPr>
              <w:jc w:val="center"/>
            </w:pPr>
          </w:p>
        </w:tc>
      </w:tr>
      <w:tr w:rsidR="00E665BE" w14:paraId="37440B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4C02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8B7E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Confirm Hajj leave: 30 days, once, for 5+ yrs service.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4567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30 days, once, for 5+ yrs service per Labor Law (BR-M1-007).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45815" w14:textId="77777777" w:rsidR="00E665BE" w:rsidRDefault="00E665BE">
            <w:pPr>
              <w:jc w:val="center"/>
            </w:pPr>
          </w:p>
        </w:tc>
      </w:tr>
      <w:tr w:rsidR="00E665BE" w14:paraId="56D5B4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625DD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5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7902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other leave types exist: Emergency, Study, Bereavement, Unpaid, Paternity, Compassionate, Marriage?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26E2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Catalogue includes: Annual, Sick, Maternity, Hajj, Unpaid, Emergency, Study, Bereavement. Others TBD.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67D1" w14:textId="77777777" w:rsidR="00E665BE" w:rsidRDefault="00E665BE">
            <w:pPr>
              <w:jc w:val="center"/>
            </w:pPr>
          </w:p>
        </w:tc>
      </w:tr>
      <w:tr w:rsidR="00E665BE" w14:paraId="7E052E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F5C0C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6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2FCB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are the carry-over rules for unused annual leave? Is there an encashment policy?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6D1D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Carry-over rules are configurable per tenant (BR-M1-015). Accrual basis by default.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E0BB" w14:textId="77777777" w:rsidR="00E665BE" w:rsidRDefault="00E665BE">
            <w:pPr>
              <w:jc w:val="center"/>
            </w:pPr>
          </w:p>
        </w:tc>
      </w:tr>
      <w:tr w:rsidR="00E665BE" w14:paraId="068DD0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CFE17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7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7E43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leave approval chain by leave type and duration?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BC3C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Configured approval chain; skipping levels not permitted (BR-M1-008). Escalation if SLA not met.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63938" w14:textId="77777777" w:rsidR="00E665BE" w:rsidRDefault="00E665BE">
            <w:pPr>
              <w:jc w:val="center"/>
            </w:pPr>
          </w:p>
        </w:tc>
      </w:tr>
      <w:tr w:rsidR="00E665BE" w14:paraId="06281F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FF5E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8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802F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escalation SLA if a manager does not act on a leave request?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460C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Configurable SLA. Escalation to next level with notification.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BEBF7" w14:textId="77777777" w:rsidR="00E665BE" w:rsidRDefault="00E665BE">
            <w:pPr>
              <w:jc w:val="center"/>
            </w:pPr>
          </w:p>
        </w:tc>
      </w:tr>
      <w:tr w:rsidR="00E665BE" w14:paraId="30225E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2F0A1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9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3BB6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Can employees take half-day leave? How is it calculated against the balance?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8C2F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7C375" w14:textId="77777777" w:rsidR="00E665BE" w:rsidRDefault="00E665BE">
            <w:pPr>
              <w:jc w:val="center"/>
            </w:pPr>
          </w:p>
        </w:tc>
      </w:tr>
      <w:tr w:rsidR="00E665BE" w14:paraId="4DE684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7D6E2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10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7711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are public holidays managed? Does each client tenant have a different holiday calendar?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8E48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Public holiday calendars per tenant with Egyptian default calendar seeded at activation (FR-M1-010).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4876" w14:textId="77777777" w:rsidR="00E665BE" w:rsidRDefault="00E665BE">
            <w:pPr>
              <w:jc w:val="center"/>
            </w:pPr>
          </w:p>
        </w:tc>
      </w:tr>
      <w:tr w:rsidR="00E665BE" w14:paraId="093DBF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02DFD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0CB7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policy for leave during probation period?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9F1A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5B06" w14:textId="77777777" w:rsidR="00E665BE" w:rsidRDefault="00E665BE">
            <w:pPr>
              <w:jc w:val="center"/>
            </w:pPr>
          </w:p>
        </w:tc>
      </w:tr>
      <w:tr w:rsidR="00E665BE" w14:paraId="71B7C0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9FE7C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A4C7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is sick leave beyond the statutory 45 days handled (extended sick, unpaid, disability)?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35F2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C3B9D" w14:textId="77777777" w:rsidR="00E665BE" w:rsidRDefault="00E665BE">
            <w:pPr>
              <w:jc w:val="center"/>
            </w:pPr>
          </w:p>
        </w:tc>
      </w:tr>
      <w:tr w:rsidR="00E665BE" w14:paraId="092610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E70B0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EE47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process for emergency/force-majeure leave (e.g., family death, court summons)?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C134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AD690" w14:textId="77777777" w:rsidR="00E665BE" w:rsidRDefault="00E665BE">
            <w:pPr>
              <w:jc w:val="center"/>
            </w:pPr>
          </w:p>
        </w:tc>
      </w:tr>
    </w:tbl>
    <w:p w14:paraId="1459B54F" w14:textId="77777777" w:rsidR="00E665BE" w:rsidRDefault="00000000">
      <w:r>
        <w:br w:type="page"/>
      </w:r>
    </w:p>
    <w:p w14:paraId="508D4B9D" w14:textId="77777777" w:rsidR="00E665BE" w:rsidRDefault="00000000">
      <w:pPr>
        <w:pStyle w:val="Heading2"/>
        <w:spacing w:before="360"/>
      </w:pPr>
      <w:r>
        <w:lastRenderedPageBreak/>
        <w:t>6. Outsourced Employee Projection</w:t>
      </w:r>
    </w:p>
    <w:p w14:paraId="579AB245" w14:textId="77777777" w:rsidR="00E665BE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PII masking rules, assignment tracking, and cross-tenant behaviour.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E665BE" w14:paraId="008C0C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D655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C6FD8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B79B3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8A5C3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E665BE" w14:paraId="26B4BD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0C7F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1F7C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data should the client tenant see for outsourced employees? What must be hidden?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91A0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Salary, bank account, national ID, family data are masked in client projection (BR-M1-009, FR-M1-002).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AAD0" w14:textId="77777777" w:rsidR="00E665BE" w:rsidRDefault="00E665BE">
            <w:pPr>
              <w:jc w:val="center"/>
            </w:pPr>
          </w:p>
        </w:tc>
      </w:tr>
      <w:tr w:rsidR="00E665BE" w14:paraId="1C1D11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9DAD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E69D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Can a client ever be granted access to masked fields (e.g., with employee consent)?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FD1C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Masking unless explicit consent exists (BR-M1-009). Consent management per PDPL.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6007A" w14:textId="77777777" w:rsidR="00E665BE" w:rsidRDefault="00E665BE">
            <w:pPr>
              <w:jc w:val="center"/>
            </w:pPr>
          </w:p>
        </w:tc>
      </w:tr>
      <w:tr w:rsidR="00E665BE" w14:paraId="54003D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76C81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4BAF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is the assignment period tracked (start, planned end, actual end)?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429A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Assignment entity with start_date, end_date, rate. Displayed in both tenants (FR-M1-003).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5F977" w14:textId="77777777" w:rsidR="00E665BE" w:rsidRDefault="00E665BE">
            <w:pPr>
              <w:jc w:val="center"/>
            </w:pPr>
          </w:p>
        </w:tc>
      </w:tr>
      <w:tr w:rsidR="00E665BE" w14:paraId="586E62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6CC2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2444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happens when an outsourced employee is reassigned to a different client?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4414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New assignment record created, history retained. Status propagated in real time (FR-M1-004, FR-M1-005).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AB60" w14:textId="77777777" w:rsidR="00E665BE" w:rsidRDefault="00E665BE">
            <w:pPr>
              <w:jc w:val="center"/>
            </w:pPr>
          </w:p>
        </w:tc>
      </w:tr>
      <w:tr w:rsidR="00E665BE" w14:paraId="776A41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E41C6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5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10F0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Can a client HR manager request corrections to an outsourced employee record?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9005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Only via change-request workflow to Egybell HR (FR-M1-006).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DD892" w14:textId="77777777" w:rsidR="00E665BE" w:rsidRDefault="00E665BE">
            <w:pPr>
              <w:jc w:val="center"/>
            </w:pPr>
          </w:p>
        </w:tc>
      </w:tr>
      <w:tr w:rsidR="00E665BE" w14:paraId="259086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BAB6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6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9DBA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rate/billing information is stored on the assignment, and who can see it?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B899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Rate is stored on the Assignment entity. Visibility rules TBD.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778C3" w14:textId="77777777" w:rsidR="00E665BE" w:rsidRDefault="00E665BE">
            <w:pPr>
              <w:jc w:val="center"/>
            </w:pPr>
          </w:p>
        </w:tc>
      </w:tr>
      <w:tr w:rsidR="00E665BE" w14:paraId="09C20A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0517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7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1015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Can an employee be assigned to multiple clients simultaneously (split assignments)?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CF78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70045" w14:textId="77777777" w:rsidR="00E665BE" w:rsidRDefault="00E665BE">
            <w:pPr>
              <w:jc w:val="center"/>
            </w:pPr>
          </w:p>
        </w:tc>
      </w:tr>
      <w:tr w:rsidR="00E665BE" w14:paraId="1718A4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A08F1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8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F7AB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should the system handle an outsourced employee whose client contract ends but Egybell employment continues?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272C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AAD6" w14:textId="77777777" w:rsidR="00E665BE" w:rsidRDefault="00E665BE">
            <w:pPr>
              <w:jc w:val="center"/>
            </w:pPr>
          </w:p>
        </w:tc>
      </w:tr>
    </w:tbl>
    <w:p w14:paraId="275DCF19" w14:textId="77777777" w:rsidR="00E665BE" w:rsidRDefault="00000000">
      <w:pPr>
        <w:pStyle w:val="Heading2"/>
        <w:spacing w:before="360"/>
      </w:pPr>
      <w:r>
        <w:t>7. Letters &amp; Communications</w:t>
      </w:r>
    </w:p>
    <w:p w14:paraId="54DEB9A3" w14:textId="77777777" w:rsidR="00E665BE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letter types, templates, signing authority, and SLAs.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E665BE" w14:paraId="0096B3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48DF5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F7DA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F25D0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A5834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E665BE" w14:paraId="7D0EB8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DCCF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C1E6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standard letters does HR Ops produce monthly (employment, salary, experience, NOC, bank, embassy, mortgage)?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6B95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Bilingual employment letter template pre-filled with employee details (US-M1-006).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F1F3F" w14:textId="77777777" w:rsidR="00E665BE" w:rsidRDefault="00E665BE">
            <w:pPr>
              <w:jc w:val="center"/>
            </w:pPr>
          </w:p>
        </w:tc>
      </w:tr>
      <w:tr w:rsidR="00E665BE" w14:paraId="402042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C0EA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ADFE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templates need to be bilingual, and which language is the legal version?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D312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All templates bilingual AR/EN. Legal version TBD by Legal team.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F45A9" w14:textId="77777777" w:rsidR="00E665BE" w:rsidRDefault="00E665BE">
            <w:pPr>
              <w:jc w:val="center"/>
            </w:pPr>
          </w:p>
        </w:tc>
      </w:tr>
      <w:tr w:rsidR="00E665BE" w14:paraId="481045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14E3A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DFDC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Who signs each letter type, and is e-signature acceptable?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DE21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HR Manager counter-signs digitally. Verification QR code on output PDF (US-M1-006). E-signature provider procurement is open.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5E58" w14:textId="77777777" w:rsidR="00E665BE" w:rsidRDefault="00E665BE">
            <w:pPr>
              <w:jc w:val="center"/>
            </w:pPr>
          </w:p>
        </w:tc>
      </w:tr>
      <w:tr w:rsidR="00E665BE" w14:paraId="2FCB3D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FE4C1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lastRenderedPageBreak/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A006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request/approval workflow do employees follow to request a letter?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2CCD7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Employee requests via self-service. HR Manager notified to counter-sign.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91299" w14:textId="77777777" w:rsidR="00E665BE" w:rsidRDefault="00E665BE">
            <w:pPr>
              <w:jc w:val="center"/>
            </w:pPr>
          </w:p>
        </w:tc>
      </w:tr>
      <w:tr w:rsidR="00E665BE" w14:paraId="17212C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E4FCB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5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D750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SLA does HR Ops commit to on letter delivery?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1D95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7D132" w14:textId="77777777" w:rsidR="00E665BE" w:rsidRDefault="00E665BE">
            <w:pPr>
              <w:jc w:val="center"/>
            </w:pPr>
          </w:p>
        </w:tc>
      </w:tr>
      <w:tr w:rsidR="00E665BE" w14:paraId="62E41C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1352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6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356A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Are there letter types that require multiple signatories or management approval before issuance?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EA50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DF1DB" w14:textId="77777777" w:rsidR="00E665BE" w:rsidRDefault="00E665BE">
            <w:pPr>
              <w:jc w:val="center"/>
            </w:pPr>
          </w:p>
        </w:tc>
      </w:tr>
      <w:tr w:rsidR="00E665BE" w14:paraId="0AC9DA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22D5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7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43A2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Should letters include a digital verification mechanism (QR code, URL) for third-party validation?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7A2B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Yes, verification QR code included per US-M1-006.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6EB4" w14:textId="77777777" w:rsidR="00E665BE" w:rsidRDefault="00E665BE">
            <w:pPr>
              <w:jc w:val="center"/>
            </w:pPr>
          </w:p>
        </w:tc>
      </w:tr>
    </w:tbl>
    <w:p w14:paraId="7CC630BF" w14:textId="77777777" w:rsidR="00E665BE" w:rsidRDefault="00000000">
      <w:r>
        <w:br w:type="page"/>
      </w:r>
    </w:p>
    <w:p w14:paraId="5A490061" w14:textId="77777777" w:rsidR="00E665BE" w:rsidRDefault="00000000">
      <w:pPr>
        <w:pStyle w:val="Heading2"/>
        <w:spacing w:before="360"/>
      </w:pPr>
      <w:r>
        <w:lastRenderedPageBreak/>
        <w:t>8. Roles, Permissions &amp; Self-Service</w:t>
      </w:r>
    </w:p>
    <w:p w14:paraId="3DA05FC8" w14:textId="77777777" w:rsidR="00E665BE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role definitions, access levels, and self-service scope.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E665BE" w14:paraId="2D9EDE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74DA1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9E862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50211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39CB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E665BE" w14:paraId="44849D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FEE67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C16E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Which roles need access to Core HRIS data: HRBP, HR Admin, Manager, Employee, Auditor, Executive?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E74E6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11 roles defined: Super Admin, HR Manager, Ops Manager, Account Manager, Finance Officer (Egybell); Client Admin, Client HR, Client Dept Manager, Client Employee (Client); Outsourced Employee, Contractor (Dual).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7086" w14:textId="77777777" w:rsidR="00E665BE" w:rsidRDefault="00E665BE">
            <w:pPr>
              <w:jc w:val="center"/>
            </w:pPr>
          </w:p>
        </w:tc>
      </w:tr>
      <w:tr w:rsidR="00E665BE" w14:paraId="5FF3C5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56748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1165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manager's view: direct reports only, or skip-level?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1A2C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8D297" w14:textId="77777777" w:rsidR="00E665BE" w:rsidRDefault="00E665BE">
            <w:pPr>
              <w:jc w:val="center"/>
            </w:pPr>
          </w:p>
        </w:tc>
      </w:tr>
      <w:tr w:rsidR="00E665BE" w14:paraId="037714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C11B1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7817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employee self-service actions should be enabled at go-live?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B418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View/edit profile (contact, emergency, dependents), upload documents, submit/cancel leave, view balances, download employment letter.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B6DD" w14:textId="77777777" w:rsidR="00E665BE" w:rsidRDefault="00E665BE">
            <w:pPr>
              <w:jc w:val="center"/>
            </w:pPr>
          </w:p>
        </w:tc>
      </w:tr>
      <w:tr w:rsidR="00E665BE" w14:paraId="6704AA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39E67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9E9F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Are there fields or document types that should be hidden from managers?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255B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Compensation visible only to compensation-privileged roles (FR-M1-004). Sensitive documents restricted by role.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0DF8" w14:textId="77777777" w:rsidR="00E665BE" w:rsidRDefault="00E665BE">
            <w:pPr>
              <w:jc w:val="center"/>
            </w:pPr>
          </w:p>
        </w:tc>
      </w:tr>
      <w:tr w:rsidR="00E665BE" w14:paraId="28AB65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2DAA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5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A7E1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Should outsourced employees see both their Egybell context and client assignment in a single login?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2366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Yes, single login with dual context. Header shows 'Employer: Egybell, Assignment: &lt;Client&gt;' (US-M1-004).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BF6E4" w14:textId="77777777" w:rsidR="00E665BE" w:rsidRDefault="00E665BE">
            <w:pPr>
              <w:jc w:val="center"/>
            </w:pPr>
          </w:p>
        </w:tc>
      </w:tr>
      <w:tr w:rsidR="00E665BE" w14:paraId="3C7CDB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DC65C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6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FA38B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are role delegations handled when a manager or HR admin is on leave?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1E974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5FECE" w14:textId="77777777" w:rsidR="00E665BE" w:rsidRDefault="00E665BE">
            <w:pPr>
              <w:jc w:val="center"/>
            </w:pPr>
          </w:p>
        </w:tc>
      </w:tr>
      <w:tr w:rsidR="00E665BE" w14:paraId="7A8BAE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216F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7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6935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access should external auditors have, and how is it provisioned/revoked?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CD7A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External auditors are in the distribution list. Access on request only.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9623" w14:textId="77777777" w:rsidR="00E665BE" w:rsidRDefault="00E665BE">
            <w:pPr>
              <w:jc w:val="center"/>
            </w:pPr>
          </w:p>
        </w:tc>
      </w:tr>
    </w:tbl>
    <w:p w14:paraId="5BA7EE77" w14:textId="77777777" w:rsidR="00E665BE" w:rsidRDefault="00000000">
      <w:pPr>
        <w:pStyle w:val="Heading2"/>
        <w:spacing w:before="360"/>
      </w:pPr>
      <w:r>
        <w:t>9. Reporting &amp; Compliance</w:t>
      </w:r>
    </w:p>
    <w:p w14:paraId="54742DC3" w14:textId="77777777" w:rsidR="00E665BE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standard reports, regulatory filings, and dashboard KPIs.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E665BE" w14:paraId="6AADCF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C6636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ED52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5C7A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6733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E665BE" w14:paraId="636AE9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A58EC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20F7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Which standard reports must HR Ops produce monthly (headcount, joiners, leavers, demographic)?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654B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Real-time headcount, turnover, and tenure dashboards. Target: monthly headcount report in &lt;5 min (from 2 days today).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5C59E" w14:textId="77777777" w:rsidR="00E665BE" w:rsidRDefault="00E665BE">
            <w:pPr>
              <w:jc w:val="center"/>
            </w:pPr>
          </w:p>
        </w:tc>
      </w:tr>
      <w:tr w:rsidR="00E665BE" w14:paraId="3CE6AD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D3DC2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FD58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Which reports go to MOMP, NOSI, or other regulators, and in what format?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BF7B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NOSI filings driven by employee status from M1 to M6. Specific formats TBD.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B976" w14:textId="77777777" w:rsidR="00E665BE" w:rsidRDefault="00E665BE">
            <w:pPr>
              <w:jc w:val="center"/>
            </w:pPr>
          </w:p>
        </w:tc>
      </w:tr>
      <w:tr w:rsidR="00E665BE" w14:paraId="28D545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316BF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8AEF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are the top 3 HR Ops reports that take the most time to produce today?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BBBB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0C4A9" w14:textId="77777777" w:rsidR="00E665BE" w:rsidRDefault="00E665BE">
            <w:pPr>
              <w:jc w:val="center"/>
            </w:pPr>
          </w:p>
        </w:tc>
      </w:tr>
      <w:tr w:rsidR="00E665BE" w14:paraId="5AE4C4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73D19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lastRenderedPageBreak/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AA18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KPIs should the HR Ops dashboard show?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3587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% employees with complete profile, leave request cycle time, document expiry incidents/quarter, time to produce headcount report, PDPL DSR fulfilment time.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B81F0" w14:textId="77777777" w:rsidR="00E665BE" w:rsidRDefault="00E665BE">
            <w:pPr>
              <w:jc w:val="center"/>
            </w:pPr>
          </w:p>
        </w:tc>
      </w:tr>
      <w:tr w:rsidR="00E665BE" w14:paraId="02B360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ECFA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5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FA00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format/frequency of regulatory filings to MOMP and the labor office?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C144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743DE" w14:textId="77777777" w:rsidR="00E665BE" w:rsidRDefault="00E665BE">
            <w:pPr>
              <w:jc w:val="center"/>
            </w:pPr>
          </w:p>
        </w:tc>
      </w:tr>
      <w:tr w:rsidR="00E665BE" w14:paraId="75228B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92AF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6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05F7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Are there client-specific reporting obligations that must be fulfilled from M1 data?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9CAA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0E79E" w14:textId="77777777" w:rsidR="00E665BE" w:rsidRDefault="00E665BE">
            <w:pPr>
              <w:jc w:val="center"/>
            </w:pPr>
          </w:p>
        </w:tc>
      </w:tr>
    </w:tbl>
    <w:p w14:paraId="4953D3FE" w14:textId="77777777" w:rsidR="00E665BE" w:rsidRDefault="00000000">
      <w:r>
        <w:br w:type="page"/>
      </w:r>
    </w:p>
    <w:p w14:paraId="2FF880C8" w14:textId="77777777" w:rsidR="00E665BE" w:rsidRDefault="00000000">
      <w:pPr>
        <w:pStyle w:val="Heading2"/>
        <w:spacing w:before="360"/>
      </w:pPr>
      <w:r>
        <w:lastRenderedPageBreak/>
        <w:t>10. Data Migration &amp; Legacy</w:t>
      </w:r>
    </w:p>
    <w:p w14:paraId="6B713366" w14:textId="77777777" w:rsidR="00E665BE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legacy data sources, quality, cutover strategy, and ownership.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E665BE" w14:paraId="72F8DC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B97A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6D0A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0EBE2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E903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E665BE" w14:paraId="1B03F7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FEE1F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EA03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legacy systems hold employee data today? List all Excel files, Word templates, and other sources.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4B41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HR, Ops, and Payroll Excel workbooks. Word document templates. WhatsApp group messages. Email threads.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F878" w14:textId="77777777" w:rsidR="00E665BE" w:rsidRDefault="00E665BE">
            <w:pPr>
              <w:jc w:val="center"/>
            </w:pPr>
          </w:p>
        </w:tc>
      </w:tr>
      <w:tr w:rsidR="00E665BE" w14:paraId="1A2EBA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3C30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B1D0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data quality like? Are there known duplicates, inconsistencies, or missing records?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5122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Records duplicated, often out of date, impossible to reconcile. Source data is 'reasonably consistent' per assumption.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E444A" w14:textId="77777777" w:rsidR="00E665BE" w:rsidRDefault="00E665BE">
            <w:pPr>
              <w:jc w:val="center"/>
            </w:pPr>
          </w:p>
        </w:tc>
      </w:tr>
      <w:tr w:rsidR="00E665BE" w14:paraId="735FF2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0F9B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5F0F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many years of historical data must be migrated?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B3AA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C6C35" w14:textId="77777777" w:rsidR="00E665BE" w:rsidRDefault="00E665BE">
            <w:pPr>
              <w:jc w:val="center"/>
            </w:pPr>
          </w:p>
        </w:tc>
      </w:tr>
      <w:tr w:rsidR="00E665BE" w14:paraId="40ED95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4D84F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283D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cutover strategy: big-bang or parallel run? For how long?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8853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Parallel dual-run with Excel for 1 month planned as mitigation for migration risk (R-M1-01).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19BAA" w14:textId="77777777" w:rsidR="00E665BE" w:rsidRDefault="00E665BE">
            <w:pPr>
              <w:jc w:val="center"/>
            </w:pPr>
          </w:p>
        </w:tc>
      </w:tr>
      <w:tr w:rsidR="00E665BE" w14:paraId="5BDA1C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C8FE2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5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C923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Who owns data cleansing and validation before migration?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1D1B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Required master data (departments, job titles, cost centres) must be curated and approved prior to cutover.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E6309" w14:textId="77777777" w:rsidR="00E665BE" w:rsidRDefault="00E665BE">
            <w:pPr>
              <w:jc w:val="center"/>
            </w:pPr>
          </w:p>
        </w:tc>
      </w:tr>
      <w:tr w:rsidR="00E665BE" w14:paraId="2D306C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DE28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6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856B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Are there any data elements in the legacy system that have no equivalent in Praxion?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0807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3CA2F" w14:textId="77777777" w:rsidR="00E665BE" w:rsidRDefault="00E665BE">
            <w:pPr>
              <w:jc w:val="center"/>
            </w:pPr>
          </w:p>
        </w:tc>
      </w:tr>
    </w:tbl>
    <w:p w14:paraId="35CEAF1D" w14:textId="77777777" w:rsidR="00E665BE" w:rsidRDefault="00000000">
      <w:pPr>
        <w:pStyle w:val="Heading2"/>
        <w:spacing w:before="360"/>
      </w:pPr>
      <w:r>
        <w:t>11. IT, Security &amp; Architecture (M1-relevant)</w:t>
      </w:r>
    </w:p>
    <w:p w14:paraId="5520B32A" w14:textId="77777777" w:rsidR="00E665BE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hosting, identity, security, and procurement decisions that affect M1.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E665BE" w14:paraId="0BD3AC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644F9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0E1D1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3F534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A368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E665BE" w14:paraId="7DB0E2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E916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D9F8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preferred hosting model: SaaS, private cloud, on-premise?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C4ED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C9D08" w14:textId="77777777" w:rsidR="00E665BE" w:rsidRDefault="00E665BE">
            <w:pPr>
              <w:jc w:val="center"/>
            </w:pPr>
          </w:p>
        </w:tc>
      </w:tr>
      <w:tr w:rsidR="00E665BE" w14:paraId="785BAF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8A22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F35F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Which cloud provider and region are approved? Is data residency in Egypt required?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661E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Data must reside in-region per PDPL. Cross-border transfer requires explicit legal review.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0683C" w14:textId="77777777" w:rsidR="00E665BE" w:rsidRDefault="00E665BE">
            <w:pPr>
              <w:jc w:val="center"/>
            </w:pPr>
          </w:p>
        </w:tc>
      </w:tr>
      <w:tr w:rsidR="00E665BE" w14:paraId="36A95D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0614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296C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identity source of truth: AD, Azure AD, Google Workspace?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ED53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A61DE" w14:textId="77777777" w:rsidR="00E665BE" w:rsidRDefault="00E665BE">
            <w:pPr>
              <w:jc w:val="center"/>
            </w:pPr>
          </w:p>
        </w:tc>
      </w:tr>
      <w:tr w:rsidR="00E665BE" w14:paraId="5013D0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397F2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E785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Which SSO protocol is in use (SAML 2.0, OIDC)?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B387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OIDC for federated login (per integration requirements). SSO with Apple, Microsoft, Google.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2368F" w14:textId="77777777" w:rsidR="00E665BE" w:rsidRDefault="00E665BE">
            <w:pPr>
              <w:jc w:val="center"/>
            </w:pPr>
          </w:p>
        </w:tc>
      </w:tr>
      <w:tr w:rsidR="00E665BE" w14:paraId="1D9498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B8C66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5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DF33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Is MFA mandatory for all users or only privileged ones?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7F92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MFA mandatory for privileged roles (NFR-SEC-01). All users TBD.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AC7ED" w14:textId="77777777" w:rsidR="00E665BE" w:rsidRDefault="00E665BE">
            <w:pPr>
              <w:jc w:val="center"/>
            </w:pPr>
          </w:p>
        </w:tc>
      </w:tr>
      <w:tr w:rsidR="00E665BE" w14:paraId="667E95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AD91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lastRenderedPageBreak/>
              <w:t>6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8D95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backup, DR, RTO, and RPO targets must Praxion meet?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7B46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RPO &lt;= 15 min, RTO &lt;= 4 hours. 99.9% monthly uptime. Quarterly DR drills.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06B7" w14:textId="77777777" w:rsidR="00E665BE" w:rsidRDefault="00E665BE">
            <w:pPr>
              <w:jc w:val="center"/>
            </w:pPr>
          </w:p>
        </w:tc>
      </w:tr>
      <w:tr w:rsidR="00E665BE" w14:paraId="7AF415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BE565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7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2429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Which e-Signature provider is preferred (DocuSign, local provider)?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3C3F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Procurement open. Decision pending.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80066" w14:textId="77777777" w:rsidR="00E665BE" w:rsidRDefault="00E665BE">
            <w:pPr>
              <w:jc w:val="center"/>
            </w:pPr>
          </w:p>
        </w:tc>
      </w:tr>
      <w:tr w:rsidR="00E665BE" w14:paraId="5EC2CE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47380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8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A0E2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Which SMS gateway is preferred for OTP and notifications?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BDE76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Procurement open. Decision pending.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2A6F" w14:textId="77777777" w:rsidR="00E665BE" w:rsidRDefault="00E665BE">
            <w:pPr>
              <w:jc w:val="center"/>
            </w:pPr>
          </w:p>
        </w:tc>
      </w:tr>
      <w:tr w:rsidR="00E665BE" w14:paraId="3CCD49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44637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9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B194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preferred bank file format across Egybell's banking partners?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74F82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Per-bank template. Specific formats TBD (BRD open question).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218C6" w14:textId="77777777" w:rsidR="00E665BE" w:rsidRDefault="00E665BE">
            <w:pPr>
              <w:jc w:val="center"/>
            </w:pPr>
          </w:p>
        </w:tc>
      </w:tr>
    </w:tbl>
    <w:p w14:paraId="2A76ACD7" w14:textId="77777777" w:rsidR="00E665BE" w:rsidRDefault="00000000">
      <w:r>
        <w:br w:type="page"/>
      </w:r>
    </w:p>
    <w:p w14:paraId="25D18927" w14:textId="77777777" w:rsidR="00E665BE" w:rsidRDefault="00000000">
      <w:pPr>
        <w:pStyle w:val="Heading2"/>
        <w:spacing w:before="360"/>
      </w:pPr>
      <w:r>
        <w:lastRenderedPageBreak/>
        <w:t>12. Legal &amp; Compliance (M1-relevant)</w:t>
      </w:r>
    </w:p>
    <w:p w14:paraId="728756DC" w14:textId="77777777" w:rsidR="00E665BE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legal framework, PDPL compliance approach, and data retention.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E665BE" w14:paraId="7574CB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30E1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C046D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29787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C5ED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E665BE" w14:paraId="6DF70F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41C8D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098A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Which version of Egyptian Labor Law (12/2003 and amendments) governs Praxion employees? Any pending amendments?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D571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Law 12/2003. System absorbs statutory changes through configuration engine, no code changes.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30F83" w14:textId="77777777" w:rsidR="00E665BE" w:rsidRDefault="00E665BE">
            <w:pPr>
              <w:jc w:val="center"/>
            </w:pPr>
          </w:p>
        </w:tc>
      </w:tr>
      <w:tr w:rsidR="00E665BE" w14:paraId="07E379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2B60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E5C1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does Praxion comply with PDPL (Law 151/2020)? Is there a Data Protection Officer?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FBD3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PDPL compliance built in: consent management, DSR workflows, PII masking, breach notification (72h), crypto-shredding.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97E8" w14:textId="77777777" w:rsidR="00E665BE" w:rsidRDefault="00E665BE">
            <w:pPr>
              <w:jc w:val="center"/>
            </w:pPr>
          </w:p>
        </w:tc>
      </w:tr>
      <w:tr w:rsidR="00E665BE" w14:paraId="432AA3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0B8C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C6E3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Are e-signatures legally accepted under Egyptian law for employment contracts?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C1D1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Decision pending (BRD open question). E-signature provider procurement is open.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301D" w14:textId="77777777" w:rsidR="00E665BE" w:rsidRDefault="00E665BE">
            <w:pPr>
              <w:jc w:val="center"/>
            </w:pPr>
          </w:p>
        </w:tc>
      </w:tr>
      <w:tr w:rsidR="00E665BE" w14:paraId="0DEA70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C4CBC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B4B9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are the data retention periods for active employees, terminated employees, candidates, and contractors?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9CA50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Active + 7 yrs. Payroll 7 yrs. SI 7 yrs. Audit 7 yrs. Candidates 24 months. PDPL erasure can override.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463C" w14:textId="77777777" w:rsidR="00E665BE" w:rsidRDefault="00E665BE">
            <w:pPr>
              <w:jc w:val="center"/>
            </w:pPr>
          </w:p>
        </w:tc>
      </w:tr>
      <w:tr w:rsidR="00E665BE" w14:paraId="5E16FC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045BA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5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DDF8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are the rules for cross-border data transfer? Restrictions on cloud hosting outside Egypt?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2E0F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Cross-border transfer requires explicit legal review. In-region data residency required.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AF3C7" w14:textId="77777777" w:rsidR="00E665BE" w:rsidRDefault="00E665BE">
            <w:pPr>
              <w:jc w:val="center"/>
            </w:pPr>
          </w:p>
        </w:tc>
      </w:tr>
      <w:tr w:rsidR="00E665BE" w14:paraId="5F3CA8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460CE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6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8AA9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Are there sector-specific rules to encode (free zones, investment zones, special economic zones)?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6EB5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CC3B" w14:textId="77777777" w:rsidR="00E665BE" w:rsidRDefault="00E665BE">
            <w:pPr>
              <w:jc w:val="center"/>
            </w:pPr>
          </w:p>
        </w:tc>
      </w:tr>
      <w:tr w:rsidR="00E665BE" w14:paraId="513CA5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9A6D3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7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C9DE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consent records must be captured and retained for PDPL compliance?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FBA0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Consent per subject, purpose, and legal basis (NFR-PDPL-01). Data subject rights supported.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08E3" w14:textId="77777777" w:rsidR="00E665BE" w:rsidRDefault="00E665BE">
            <w:pPr>
              <w:jc w:val="center"/>
            </w:pPr>
          </w:p>
        </w:tc>
      </w:tr>
    </w:tbl>
    <w:p w14:paraId="1E99E92C" w14:textId="77777777" w:rsidR="00E665BE" w:rsidRDefault="00000000">
      <w:pPr>
        <w:pStyle w:val="Heading2"/>
        <w:spacing w:before="360"/>
      </w:pPr>
      <w:r>
        <w:t>13. Attendance &amp; Time (M1 Data Model)</w:t>
      </w:r>
    </w:p>
    <w:p w14:paraId="11930272" w14:textId="77777777" w:rsidR="00E665BE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attendance tracking approach and integration with T&amp;A systems.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E665BE" w14:paraId="510DF3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19180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BD48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54E92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40198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E665BE" w14:paraId="6C5B5E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E88D7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6EA2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attendance/time tracking system is in use today (biometric, card, manual)?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FE1E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Attendance data model captures clock-in / clock-out. Source of truth for T&amp;A TBD.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8065" w14:textId="77777777" w:rsidR="00E665BE" w:rsidRDefault="00E665BE">
            <w:pPr>
              <w:jc w:val="center"/>
            </w:pPr>
          </w:p>
        </w:tc>
      </w:tr>
      <w:tr w:rsidR="00E665BE" w14:paraId="7AF61A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D328E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1B2D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integration is needed between T&amp;A devices and Praxion?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398E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DCDF" w14:textId="77777777" w:rsidR="00E665BE" w:rsidRDefault="00E665BE">
            <w:pPr>
              <w:jc w:val="center"/>
            </w:pPr>
          </w:p>
        </w:tc>
      </w:tr>
      <w:tr w:rsidR="00E665BE" w14:paraId="5F9666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F40D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853E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is remote/WFH attendance tracked?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724B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167C3" w14:textId="77777777" w:rsidR="00E665BE" w:rsidRDefault="00E665BE">
            <w:pPr>
              <w:jc w:val="center"/>
            </w:pPr>
          </w:p>
        </w:tc>
      </w:tr>
      <w:tr w:rsidR="00E665BE" w14:paraId="0602CF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2561B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0C7F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are the overtime rules: weekday, rest day, and public holiday multipliers?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30F1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C4800" w14:textId="77777777" w:rsidR="00E665BE" w:rsidRDefault="00E665BE">
            <w:pPr>
              <w:jc w:val="center"/>
            </w:pPr>
          </w:p>
        </w:tc>
      </w:tr>
      <w:tr w:rsidR="00E665BE" w14:paraId="15F47F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5533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lastRenderedPageBreak/>
              <w:t>5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65E7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is field staff attendance verified (client sites, multi-location)?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098C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D3204" w14:textId="77777777" w:rsidR="00E665BE" w:rsidRDefault="00E665BE">
            <w:pPr>
              <w:jc w:val="center"/>
            </w:pPr>
          </w:p>
        </w:tc>
      </w:tr>
    </w:tbl>
    <w:p w14:paraId="5FD68ADF" w14:textId="77777777" w:rsidR="00E665BE" w:rsidRDefault="00000000">
      <w:r>
        <w:br w:type="page"/>
      </w:r>
    </w:p>
    <w:p w14:paraId="449A72D7" w14:textId="77777777" w:rsidR="00E665BE" w:rsidRDefault="00000000">
      <w:pPr>
        <w:pStyle w:val="Heading2"/>
        <w:spacing w:before="360"/>
      </w:pPr>
      <w:r>
        <w:lastRenderedPageBreak/>
        <w:t>14. Open Questions from BRD v1.0</w:t>
      </w:r>
    </w:p>
    <w:p w14:paraId="7434762C" w14:textId="77777777" w:rsidR="00E665BE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These items were flagged as open in the BRD sign-off. Decisions are needed before design freeze.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E665BE" w14:paraId="69FE9C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66E8C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BAE60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7796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17FBF" w14:textId="77777777" w:rsidR="00E665BE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E665BE" w14:paraId="3B6BF7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4CE5A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4617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final list of pilot client tenants and their target onboarding dates?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8957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Open question from BRD v1.0.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B628" w14:textId="77777777" w:rsidR="00E665BE" w:rsidRDefault="00E665BE">
            <w:pPr>
              <w:jc w:val="center"/>
            </w:pPr>
          </w:p>
        </w:tc>
      </w:tr>
      <w:tr w:rsidR="00E665BE" w14:paraId="326677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AA60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EAEE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agreement on data sovereignty region for hosted infrastructure?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A64C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Open question from BRD v1.0.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726C" w14:textId="77777777" w:rsidR="00E665BE" w:rsidRDefault="00E665BE">
            <w:pPr>
              <w:jc w:val="center"/>
            </w:pPr>
          </w:p>
        </w:tc>
      </w:tr>
      <w:tr w:rsidR="00E665BE" w14:paraId="0CFE62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8C9B0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2920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are the expected SLAs with client tenants and the penalty framework?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C6F57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Open question from BRD v1.0.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37B8" w14:textId="77777777" w:rsidR="00E665BE" w:rsidRDefault="00E665BE">
            <w:pPr>
              <w:jc w:val="center"/>
            </w:pPr>
          </w:p>
        </w:tc>
      </w:tr>
      <w:tr w:rsidR="00E665BE" w14:paraId="0767BC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7E87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AF47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change management plan exists for moving users from WhatsApp/Excel to Praxion self-service?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ED0B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Risk R-M1-05 identified: user resistance. Mobile app adoption and champions per client tenant planned.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885F5" w14:textId="77777777" w:rsidR="00E665BE" w:rsidRDefault="00E665BE">
            <w:pPr>
              <w:jc w:val="center"/>
            </w:pPr>
          </w:p>
        </w:tc>
      </w:tr>
      <w:tr w:rsidR="00E665BE" w14:paraId="0978AE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44E74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5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74B0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Who are the UAT testers per role, and when will they be available?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2E6B" w14:textId="77777777" w:rsidR="00E665BE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UAT requires training delivered, access provisioned per role, sanitized prod-like data.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BEB3" w14:textId="77777777" w:rsidR="00E665BE" w:rsidRDefault="00E665BE">
            <w:pPr>
              <w:jc w:val="center"/>
            </w:pPr>
          </w:p>
        </w:tc>
      </w:tr>
      <w:tr w:rsidR="00E665BE" w14:paraId="1BDDAA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08856" w14:textId="77777777" w:rsidR="00E665BE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6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3DF4" w14:textId="77777777" w:rsidR="00E665BE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budget for e-Signature, SMS gateway, and cloud hosting procurement?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BD70" w14:textId="77777777" w:rsidR="00E665BE" w:rsidRDefault="00E665BE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5F01" w14:textId="77777777" w:rsidR="00E665BE" w:rsidRDefault="00E665BE">
            <w:pPr>
              <w:jc w:val="center"/>
            </w:pPr>
          </w:p>
        </w:tc>
      </w:tr>
    </w:tbl>
    <w:p w14:paraId="21D31072" w14:textId="77777777" w:rsidR="00E665BE" w:rsidRDefault="00000000">
      <w:r>
        <w:br w:type="page"/>
      </w:r>
    </w:p>
    <w:p w14:paraId="392AA1F5" w14:textId="77777777" w:rsidR="00E665BE" w:rsidRDefault="00000000">
      <w:pPr>
        <w:pStyle w:val="Heading2"/>
        <w:spacing w:before="360"/>
      </w:pPr>
      <w:r>
        <w:lastRenderedPageBreak/>
        <w:t>Sign-Off</w:t>
      </w:r>
    </w:p>
    <w:p w14:paraId="339404DA" w14:textId="77777777" w:rsidR="00E665BE" w:rsidRDefault="00000000">
      <w:pPr>
        <w:spacing w:after="200"/>
      </w:pPr>
      <w:r>
        <w:rPr>
          <w:color w:val="333333"/>
          <w:sz w:val="20"/>
          <w:szCs w:val="20"/>
        </w:rPr>
        <w:t>By signing below, the named stakeholders confirm that they have reviewed and responded to all questions in this document. Confirmed answers will be incorporated into the M1 functional design. Items marked N will be investigated and resolved before design freeze.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E665BE" w14:paraId="0024A8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F8A9" w14:textId="77777777" w:rsidR="00E665BE" w:rsidRDefault="00000000">
            <w:r>
              <w:rPr>
                <w:b/>
                <w:bCs/>
                <w:color w:val="0B1437"/>
                <w:sz w:val="20"/>
                <w:szCs w:val="20"/>
              </w:rPr>
              <w:t>Name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300" w:type="dxa"/>
              <w:right w:w="120" w:type="dxa"/>
            </w:tcMar>
          </w:tcPr>
          <w:p w14:paraId="7E724096" w14:textId="77777777" w:rsidR="00E665BE" w:rsidRDefault="00E665BE"/>
        </w:tc>
      </w:tr>
      <w:tr w:rsidR="00E665BE" w14:paraId="2005DE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8FC4" w14:textId="77777777" w:rsidR="00E665BE" w:rsidRDefault="00000000">
            <w:r>
              <w:rPr>
                <w:b/>
                <w:bCs/>
                <w:color w:val="0B1437"/>
                <w:sz w:val="20"/>
                <w:szCs w:val="20"/>
              </w:rPr>
              <w:t>Title / Role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300" w:type="dxa"/>
              <w:right w:w="120" w:type="dxa"/>
            </w:tcMar>
          </w:tcPr>
          <w:p w14:paraId="28780934" w14:textId="77777777" w:rsidR="00E665BE" w:rsidRDefault="00E665BE"/>
        </w:tc>
      </w:tr>
      <w:tr w:rsidR="00E665BE" w14:paraId="7CDC2B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1893" w14:textId="77777777" w:rsidR="00E665BE" w:rsidRDefault="00000000">
            <w:r>
              <w:rPr>
                <w:b/>
                <w:bCs/>
                <w:color w:val="0B1437"/>
                <w:sz w:val="20"/>
                <w:szCs w:val="20"/>
              </w:rPr>
              <w:t>Department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300" w:type="dxa"/>
              <w:right w:w="120" w:type="dxa"/>
            </w:tcMar>
          </w:tcPr>
          <w:p w14:paraId="6FA08A07" w14:textId="77777777" w:rsidR="00E665BE" w:rsidRDefault="00E665BE"/>
        </w:tc>
      </w:tr>
      <w:tr w:rsidR="00E665BE" w14:paraId="2397DE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ACD3" w14:textId="77777777" w:rsidR="00E665BE" w:rsidRDefault="00000000">
            <w:r>
              <w:rPr>
                <w:b/>
                <w:bCs/>
                <w:color w:val="0B1437"/>
                <w:sz w:val="20"/>
                <w:szCs w:val="20"/>
              </w:rPr>
              <w:t>Date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300" w:type="dxa"/>
              <w:right w:w="120" w:type="dxa"/>
            </w:tcMar>
          </w:tcPr>
          <w:p w14:paraId="14A1F099" w14:textId="77777777" w:rsidR="00E665BE" w:rsidRDefault="00E665BE"/>
        </w:tc>
      </w:tr>
      <w:tr w:rsidR="00E665BE" w14:paraId="67FFDC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077E" w14:textId="77777777" w:rsidR="00E665BE" w:rsidRDefault="00000000">
            <w:r>
              <w:rPr>
                <w:b/>
                <w:bCs/>
                <w:color w:val="0B1437"/>
                <w:sz w:val="20"/>
                <w:szCs w:val="20"/>
              </w:rPr>
              <w:t>Signature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300" w:type="dxa"/>
              <w:right w:w="120" w:type="dxa"/>
            </w:tcMar>
          </w:tcPr>
          <w:p w14:paraId="04B32785" w14:textId="77777777" w:rsidR="00E665BE" w:rsidRDefault="00E665BE"/>
        </w:tc>
      </w:tr>
    </w:tbl>
    <w:p w14:paraId="5DB63E84" w14:textId="77777777" w:rsidR="00DA14C8" w:rsidRDefault="00DA14C8"/>
    <w:sectPr w:rsidR="00DA14C8">
      <w:headerReference w:type="default" r:id="rId7"/>
      <w:footerReference w:type="default" r:id="rId8"/>
      <w:pgSz w:w="12240" w:h="15840"/>
      <w:pgMar w:top="144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8944F" w14:textId="77777777" w:rsidR="00DA14C8" w:rsidRDefault="00DA14C8">
      <w:r>
        <w:separator/>
      </w:r>
    </w:p>
  </w:endnote>
  <w:endnote w:type="continuationSeparator" w:id="0">
    <w:p w14:paraId="519A414A" w14:textId="77777777" w:rsidR="00DA14C8" w:rsidRDefault="00DA1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84763" w14:textId="77777777" w:rsidR="00E665BE" w:rsidRDefault="00000000">
    <w:pPr>
      <w:pBdr>
        <w:top w:val="single" w:sz="2" w:space="8" w:color="EEEEEE"/>
      </w:pBdr>
      <w:jc w:val="center"/>
    </w:pPr>
    <w:r>
      <w:rPr>
        <w:color w:val="666666"/>
        <w:sz w:val="16"/>
        <w:szCs w:val="16"/>
      </w:rPr>
      <w:t xml:space="preserve">Confidential  |  Egybell Internal + Approved Reviewers  |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302EF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25A13" w14:textId="77777777" w:rsidR="00DA14C8" w:rsidRDefault="00DA14C8">
      <w:r>
        <w:separator/>
      </w:r>
    </w:p>
  </w:footnote>
  <w:footnote w:type="continuationSeparator" w:id="0">
    <w:p w14:paraId="2B4480C0" w14:textId="77777777" w:rsidR="00DA14C8" w:rsidRDefault="00DA14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5DFAF" w14:textId="5C842772" w:rsidR="00E665BE" w:rsidRDefault="000302EF">
    <w:pPr>
      <w:pBdr>
        <w:bottom w:val="single" w:sz="6" w:space="8" w:color="2F6BFF"/>
      </w:pBdr>
      <w:spacing w:after="100"/>
    </w:pPr>
    <w:r>
      <w:rPr>
        <w:b/>
        <w:bCs/>
        <w:noProof/>
        <w:color w:val="0B1437"/>
        <w:sz w:val="18"/>
        <w:szCs w:val="18"/>
      </w:rPr>
      <w:drawing>
        <wp:anchor distT="0" distB="0" distL="114300" distR="114300" simplePos="0" relativeHeight="251658240" behindDoc="1" locked="0" layoutInCell="1" allowOverlap="1" wp14:anchorId="7E971E90" wp14:editId="6DBFB4A1">
          <wp:simplePos x="0" y="0"/>
          <wp:positionH relativeFrom="column">
            <wp:posOffset>-2540</wp:posOffset>
          </wp:positionH>
          <wp:positionV relativeFrom="paragraph">
            <wp:posOffset>3175</wp:posOffset>
          </wp:positionV>
          <wp:extent cx="1499870" cy="352425"/>
          <wp:effectExtent l="0" t="0" r="0" b="0"/>
          <wp:wrapTight wrapText="bothSides">
            <wp:wrapPolygon edited="0">
              <wp:start x="2012" y="2335"/>
              <wp:lineTo x="732" y="6227"/>
              <wp:lineTo x="732" y="14011"/>
              <wp:lineTo x="1829" y="18681"/>
              <wp:lineTo x="2926" y="18681"/>
              <wp:lineTo x="17192" y="16346"/>
              <wp:lineTo x="17192" y="4670"/>
              <wp:lineTo x="2926" y="2335"/>
              <wp:lineTo x="2012" y="2335"/>
            </wp:wrapPolygon>
          </wp:wrapTight>
          <wp:docPr id="9262827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6282797" name="Graphic 92628279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870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color w:val="666666"/>
        <w:sz w:val="18"/>
        <w:szCs w:val="18"/>
      </w:rPr>
      <w:t>M1 Core HRIS  |  Discovery Questionnaire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A5181"/>
    <w:multiLevelType w:val="hybridMultilevel"/>
    <w:tmpl w:val="115A2C8C"/>
    <w:lvl w:ilvl="0" w:tplc="74BE3864">
      <w:start w:val="1"/>
      <w:numFmt w:val="bullet"/>
      <w:lvlText w:val="●"/>
      <w:lvlJc w:val="left"/>
      <w:pPr>
        <w:ind w:left="720" w:hanging="360"/>
      </w:pPr>
    </w:lvl>
    <w:lvl w:ilvl="1" w:tplc="D846B292">
      <w:start w:val="1"/>
      <w:numFmt w:val="bullet"/>
      <w:lvlText w:val="○"/>
      <w:lvlJc w:val="left"/>
      <w:pPr>
        <w:ind w:left="1440" w:hanging="360"/>
      </w:pPr>
    </w:lvl>
    <w:lvl w:ilvl="2" w:tplc="3E640294">
      <w:start w:val="1"/>
      <w:numFmt w:val="bullet"/>
      <w:lvlText w:val="■"/>
      <w:lvlJc w:val="left"/>
      <w:pPr>
        <w:ind w:left="2160" w:hanging="360"/>
      </w:pPr>
    </w:lvl>
    <w:lvl w:ilvl="3" w:tplc="33F48C9A">
      <w:start w:val="1"/>
      <w:numFmt w:val="bullet"/>
      <w:lvlText w:val="●"/>
      <w:lvlJc w:val="left"/>
      <w:pPr>
        <w:ind w:left="2880" w:hanging="360"/>
      </w:pPr>
    </w:lvl>
    <w:lvl w:ilvl="4" w:tplc="775CA1B8">
      <w:start w:val="1"/>
      <w:numFmt w:val="bullet"/>
      <w:lvlText w:val="○"/>
      <w:lvlJc w:val="left"/>
      <w:pPr>
        <w:ind w:left="3600" w:hanging="360"/>
      </w:pPr>
    </w:lvl>
    <w:lvl w:ilvl="5" w:tplc="B4C6BEAA">
      <w:start w:val="1"/>
      <w:numFmt w:val="bullet"/>
      <w:lvlText w:val="■"/>
      <w:lvlJc w:val="left"/>
      <w:pPr>
        <w:ind w:left="4320" w:hanging="360"/>
      </w:pPr>
    </w:lvl>
    <w:lvl w:ilvl="6" w:tplc="105A9E4C">
      <w:start w:val="1"/>
      <w:numFmt w:val="bullet"/>
      <w:lvlText w:val="●"/>
      <w:lvlJc w:val="left"/>
      <w:pPr>
        <w:ind w:left="5040" w:hanging="360"/>
      </w:pPr>
    </w:lvl>
    <w:lvl w:ilvl="7" w:tplc="3C5A9B30">
      <w:start w:val="1"/>
      <w:numFmt w:val="bullet"/>
      <w:lvlText w:val="●"/>
      <w:lvlJc w:val="left"/>
      <w:pPr>
        <w:ind w:left="5760" w:hanging="360"/>
      </w:pPr>
    </w:lvl>
    <w:lvl w:ilvl="8" w:tplc="2D547610">
      <w:start w:val="1"/>
      <w:numFmt w:val="bullet"/>
      <w:lvlText w:val="●"/>
      <w:lvlJc w:val="left"/>
      <w:pPr>
        <w:ind w:left="6480" w:hanging="360"/>
      </w:pPr>
    </w:lvl>
  </w:abstractNum>
  <w:num w:numId="1" w16cid:durableId="14141608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5BE"/>
    <w:rsid w:val="000302EF"/>
    <w:rsid w:val="00094FDD"/>
    <w:rsid w:val="00DA14C8"/>
    <w:rsid w:val="00E6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6B07C"/>
  <w15:docId w15:val="{B323547F-1C45-B54E-8E0C-014B98CD3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A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B1437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200"/>
      <w:outlineLvl w:val="1"/>
    </w:pPr>
    <w:rPr>
      <w:b/>
      <w:bCs/>
      <w:color w:val="0B1437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02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02EF"/>
  </w:style>
  <w:style w:type="paragraph" w:styleId="Footer">
    <w:name w:val="footer"/>
    <w:basedOn w:val="Normal"/>
    <w:link w:val="FooterChar"/>
    <w:uiPriority w:val="99"/>
    <w:unhideWhenUsed/>
    <w:rsid w:val="000302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0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3015</Words>
  <Characters>17191</Characters>
  <Application>Microsoft Office Word</Application>
  <DocSecurity>0</DocSecurity>
  <Lines>859</Lines>
  <Paragraphs>481</Paragraphs>
  <ScaleCrop>false</ScaleCrop>
  <Company/>
  <LinksUpToDate>false</LinksUpToDate>
  <CharactersWithSpaces>19725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Sabry</cp:lastModifiedBy>
  <cp:revision>2</cp:revision>
  <dcterms:created xsi:type="dcterms:W3CDTF">2026-04-16T06:22:00Z</dcterms:created>
  <dcterms:modified xsi:type="dcterms:W3CDTF">2026-04-16T06:32:00Z</dcterms:modified>
</cp:coreProperties>
</file>