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Calibri" w:hAnsi="Calibri" w:cs="Arial"/>
          <w:b/>
          <w:color w:val="2E86C1"/>
          <w:sz w:val="22"/>
        </w:rPr>
        <w:t>PRAXION HROS</w:t>
      </w:r>
    </w:p>
    <w:p>
      <w:pPr>
        <w:spacing w:after="80"/>
      </w:pPr>
      <w:r>
        <w:rPr>
          <w:rFonts w:ascii="Calibri" w:hAnsi="Calibri" w:cs="Arial"/>
          <w:b/>
          <w:color w:val="173D5E"/>
          <w:sz w:val="44"/>
        </w:rPr>
        <w:t>M1 Core HRIS — Personnel Administration</w:t>
      </w:r>
    </w:p>
    <w:p>
      <w:pPr>
        <w:spacing w:after="360"/>
      </w:pPr>
      <w:r>
        <w:rPr>
          <w:rFonts w:ascii="Calibri" w:hAnsi="Calibri" w:cs="Arial"/>
          <w:b/>
          <w:color w:val="1F2A37"/>
          <w:sz w:val="28"/>
        </w:rPr>
        <w:t>System Sheet Requirements Extract  v1.0</w:t>
      </w:r>
    </w:p>
    <w:p>
      <w:pPr>
        <w:pBdr>
          <w:bottom w:val="single" w:sz="8" w:space="1" w:color="2E86C1"/>
        </w:pBdr>
      </w:pPr>
    </w:p>
    <w:p>
      <w:pPr>
        <w:spacing w:before="160" w:after="20"/>
      </w:pPr>
      <w:r>
        <w:rPr>
          <w:rFonts w:ascii="Calibri" w:hAnsi="Calibri" w:cs="Arial"/>
          <w:b/>
          <w:color w:val="6B7280"/>
          <w:sz w:val="20"/>
        </w:rPr>
        <w:t xml:space="preserve">Document ID:  </w:t>
      </w:r>
      <w:r>
        <w:rPr>
          <w:rFonts w:ascii="Calibri" w:hAnsi="Calibri" w:cs="Arial"/>
          <w:b w:val="0"/>
          <w:color w:val="1F2A37"/>
          <w:sz w:val="20"/>
        </w:rPr>
        <w:t>PRX-M1-REQ-PERS-001</w:t>
      </w:r>
    </w:p>
    <w:p>
      <w:pPr>
        <w:spacing w:after="20"/>
      </w:pPr>
      <w:r>
        <w:rPr>
          <w:rFonts w:ascii="Calibri" w:hAnsi="Calibri" w:cs="Arial"/>
          <w:b/>
          <w:color w:val="6B7280"/>
          <w:sz w:val="20"/>
        </w:rPr>
        <w:t xml:space="preserve">Source:  </w:t>
      </w:r>
      <w:r>
        <w:rPr>
          <w:rFonts w:ascii="Calibri" w:hAnsi="Calibri" w:cs="Arial"/>
          <w:b w:val="0"/>
          <w:color w:val="1F2A37"/>
          <w:sz w:val="20"/>
        </w:rPr>
        <w:t>شيت السيستم-2.xlsx (Personnel / People Affairs team, Egybell)</w:t>
      </w:r>
    </w:p>
    <w:p>
      <w:pPr>
        <w:spacing w:after="20"/>
      </w:pPr>
      <w:r>
        <w:rPr>
          <w:rFonts w:ascii="Calibri" w:hAnsi="Calibri" w:cs="Arial"/>
          <w:b/>
          <w:color w:val="6B7280"/>
          <w:sz w:val="20"/>
        </w:rPr>
        <w:t xml:space="preserve">Date:  </w:t>
      </w:r>
      <w:r>
        <w:rPr>
          <w:rFonts w:ascii="Calibri" w:hAnsi="Calibri" w:cs="Arial"/>
          <w:b w:val="0"/>
          <w:color w:val="1F2A37"/>
          <w:sz w:val="20"/>
        </w:rPr>
        <w:t>17 April 2026</w:t>
      </w:r>
    </w:p>
    <w:p>
      <w:pPr>
        <w:spacing w:after="20"/>
      </w:pPr>
      <w:r>
        <w:rPr>
          <w:rFonts w:ascii="Calibri" w:hAnsi="Calibri" w:cs="Arial"/>
          <w:b/>
          <w:color w:val="6B7280"/>
          <w:sz w:val="20"/>
        </w:rPr>
        <w:t xml:space="preserve">Owner:  </w:t>
      </w:r>
      <w:r>
        <w:rPr>
          <w:rFonts w:ascii="Calibri" w:hAnsi="Calibri" w:cs="Arial"/>
          <w:b w:val="0"/>
          <w:color w:val="1F2A37"/>
          <w:sz w:val="20"/>
        </w:rPr>
        <w:t>Mohamed Sabry, Product Owner — PraxionHR</w:t>
      </w:r>
    </w:p>
    <w:p>
      <w:pPr>
        <w:spacing w:after="20"/>
      </w:pPr>
      <w:r>
        <w:rPr>
          <w:rFonts w:ascii="Calibri" w:hAnsi="Calibri" w:cs="Arial"/>
          <w:b/>
          <w:color w:val="6B7280"/>
          <w:sz w:val="20"/>
        </w:rPr>
        <w:t xml:space="preserve">Status:  </w:t>
      </w:r>
      <w:r>
        <w:rPr>
          <w:rFonts w:ascii="Calibri" w:hAnsi="Calibri" w:cs="Arial"/>
          <w:b w:val="0"/>
          <w:color w:val="1F2A37"/>
          <w:sz w:val="20"/>
        </w:rPr>
        <w:t>Draft — requires review by Personnel team</w:t>
      </w:r>
    </w:p>
    <w:p>
      <w:pPr>
        <w:spacing w:after="20"/>
      </w:pPr>
      <w:r>
        <w:rPr>
          <w:rFonts w:ascii="Calibri" w:hAnsi="Calibri" w:cs="Arial"/>
          <w:b/>
          <w:color w:val="6B7280"/>
          <w:sz w:val="20"/>
        </w:rPr>
        <w:t xml:space="preserve">Supersedes:  </w:t>
      </w:r>
      <w:r>
        <w:rPr>
          <w:rFonts w:ascii="Calibri" w:hAnsi="Calibri" w:cs="Arial"/>
          <w:b w:val="0"/>
          <w:color w:val="1F2A37"/>
          <w:sz w:val="20"/>
        </w:rPr>
        <w:t>شيت السيستم.xlsx (v1, archived alongside v2)</w:t>
      </w:r>
    </w:p>
    <w:p>
      <w:pPr>
        <w:spacing w:after="20"/>
      </w:pPr>
      <w:r>
        <w:rPr>
          <w:rFonts w:ascii="Calibri" w:hAnsi="Calibri" w:cs="Arial"/>
          <w:b/>
          <w:color w:val="6B7280"/>
          <w:sz w:val="20"/>
        </w:rPr>
        <w:t xml:space="preserve">Related:  </w:t>
      </w:r>
      <w:r>
        <w:rPr>
          <w:rFonts w:ascii="Calibri" w:hAnsi="Calibri" w:cs="Arial"/>
          <w:b w:val="0"/>
          <w:color w:val="1F2A37"/>
          <w:sz w:val="20"/>
        </w:rPr>
        <w:t>Praxion-BRD-M1-Core-HRIS-v2.docx · Praxion-Questionnaire-Personnel-People-Affairs.docx</w:t>
      </w:r>
    </w:p>
    <w:p>
      <w:r>
        <w:br w:type="page"/>
      </w:r>
    </w:p>
    <w:p>
      <w:pPr>
        <w:spacing w:before="280" w:after="120"/>
      </w:pPr>
      <w:r>
        <w:rPr>
          <w:rFonts w:ascii="Calibri" w:hAnsi="Calibri" w:cs="Arial"/>
          <w:b/>
          <w:color w:val="173D5E"/>
          <w:sz w:val="36"/>
        </w:rPr>
        <w:t>1.  Purpose</w:t>
      </w:r>
    </w:p>
    <w:p>
      <w:pPr>
        <w:spacing w:after="120"/>
      </w:pPr>
      <w:r>
        <w:rPr>
          <w:rFonts w:ascii="Calibri" w:hAnsi="Calibri" w:cs="Arial"/>
          <w:b w:val="0"/>
          <w:color w:val="1F2A37"/>
          <w:sz w:val="22"/>
        </w:rPr>
        <w:t>This document translates the Personnel team's internal system-design sheet (شيت السيستم-2.xlsx) into a structured, bilingual requirements baseline for Praxion HROS Module M1 — Core HRIS. It is a requirements artifact, not live data: the source file is an Excel-based specification expressing how the Personnel team tracks employee master data, social-insurance filings, documents, requests, and compliance items today.</w:t>
      </w:r>
    </w:p>
    <w:p>
      <w:pPr>
        <w:spacing w:after="120"/>
      </w:pPr>
      <w:r>
        <w:rPr>
          <w:rFonts w:ascii="Calibri" w:hAnsi="Calibri" w:cs="Arial"/>
          <w:b w:val="0"/>
          <w:color w:val="1F2A37"/>
          <w:sz w:val="22"/>
        </w:rPr>
        <w:t>The purpose of reflecting it into the project is to: (a) ensure the M1 employee data model captures every Egyptian statutory field Personnel works with, (b) register the mandatory compliance workflows (Form S1 hire / S6 exit, foreigner permits, military service, 5% disability quota, disciplinary cases) as in-scope for M1, and (c) give Design and Engineering a clean English reference alongside the original Arabic field names.</w:t>
      </w:r>
    </w:p>
    <w:p>
      <w:pPr>
        <w:spacing w:before="280" w:after="120"/>
      </w:pPr>
      <w:r>
        <w:rPr>
          <w:rFonts w:ascii="Calibri" w:hAnsi="Calibri" w:cs="Arial"/>
          <w:b/>
          <w:color w:val="173D5E"/>
          <w:sz w:val="36"/>
        </w:rPr>
        <w:t>2.  Scope &amp; Mapping to M1</w:t>
      </w:r>
    </w:p>
    <w:p>
      <w:pPr>
        <w:spacing w:after="120"/>
      </w:pPr>
      <w:r>
        <w:rPr>
          <w:rFonts w:ascii="Calibri" w:hAnsi="Calibri" w:cs="Arial"/>
          <w:b w:val="0"/>
          <w:color w:val="1F2A37"/>
          <w:sz w:val="22"/>
        </w:rPr>
        <w:t>The source workbook contains 10 sheets. Each maps to an M1 Core HRIS capability as follows: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907"/>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w:t>
            </w:r>
          </w:p>
        </w:tc>
        <w:tc>
          <w:tcPr>
            <w:tcW w:type="dxa" w:w="3118"/>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(English)</w:t>
            </w:r>
          </w:p>
        </w:tc>
        <w:tc>
          <w:tcPr>
            <w:tcW w:type="dxa" w:w="2494"/>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(Arabic)</w:t>
            </w:r>
          </w:p>
        </w:tc>
        <w:tc>
          <w:tcPr>
            <w:tcW w:type="dxa" w:w="2551"/>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Notes / Format</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First Screen (landing)</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اول شاشة</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Placeholder — no requirements</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2</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Create New Employee (form)</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انشاء موظف جديد</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Employee master data / onboarding form</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3</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Insurance S1 (hire)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س1 تامينات</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Egyptian Social Insurance — Form 1 filing</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4</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Insurance S6 (exit)</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س6 تامينات</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Egyptian Social Insurance — Form 6 filing</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5</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Office Requests</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طلبات بالمكتب</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Employee self-service / case management</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6</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Employee Documents</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اوراق الموظف</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Document-tracking / file completeness</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7</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5% (Disability Quota)</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٥٪</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Special-category / disability compliance</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8</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Investigations</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التحقيقات</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Disciplinary / employee-relations tracking</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9</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Foreigners</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الاجانب</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Work-permit &amp; residency compliance</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10</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Military Service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جيش</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Military-service certificate tracking</w:t>
            </w:r>
          </w:p>
        </w:tc>
      </w:tr>
    </w:tbl>
    <w:p>
      <w:pPr>
        <w:spacing w:after="40"/>
      </w:pPr>
    </w:p>
    <w:p>
      <w:pPr>
        <w:spacing w:before="280" w:after="120"/>
      </w:pPr>
      <w:r>
        <w:rPr>
          <w:rFonts w:ascii="Calibri" w:hAnsi="Calibri" w:cs="Arial"/>
          <w:b/>
          <w:color w:val="173D5E"/>
          <w:sz w:val="36"/>
        </w:rPr>
        <w:t>3.  Employee Master Data (Sheet: Create New Employee)</w:t>
      </w:r>
    </w:p>
    <w:p>
      <w:pPr>
        <w:spacing w:after="120"/>
      </w:pPr>
      <w:r>
        <w:rPr>
          <w:rFonts w:ascii="Calibri" w:hAnsi="Calibri" w:cs="Arial"/>
          <w:b w:val="0"/>
          <w:color w:val="1F2A37"/>
          <w:sz w:val="22"/>
        </w:rPr>
        <w:t>Sourced from the ‘انشاء موظف جديد’ sheet. These fields form the minimum employee record created at hire. Flagged ★ = statutory / Egypt-specific.</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907"/>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w:t>
            </w:r>
          </w:p>
        </w:tc>
        <w:tc>
          <w:tcPr>
            <w:tcW w:type="dxa" w:w="3118"/>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(English)</w:t>
            </w:r>
          </w:p>
        </w:tc>
        <w:tc>
          <w:tcPr>
            <w:tcW w:type="dxa" w:w="2494"/>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(Arabic)</w:t>
            </w:r>
          </w:p>
        </w:tc>
        <w:tc>
          <w:tcPr>
            <w:tcW w:type="dxa" w:w="2551"/>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Notes / Format</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Employee Code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كود</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Internal ID; unique</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2</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Social Insurance Number ★</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رقم تاميني</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Egyptian Social Insurance #</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3</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Full Employee Name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اسم الموظف</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Four-part name (Arabic)</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4</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Hire Date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تاريخ التعيين</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mm/dd/yyyy</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5</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Insurance Start Date ★</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تاريخ التامين</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mm/dd/yyyy</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6</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Date of Birth</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تاريخ الميلاد</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mm/dd/yyyy</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7</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Gender</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النوع</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M / F</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8</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Mobile Number</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رقم موبايل</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E.164 recommended</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9</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National ID or Passport ★</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رقم قومي او جواز</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14-digit NID for Egyptians; passport for foreigners</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10</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Address (line)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العنوان</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Free-text</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Governorate ★</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المحافظة</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Egyptian governorate — picklist</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12</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Employee Photo</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صورة شخصية للموظف</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Upload; used on ID card</w:t>
            </w:r>
          </w:p>
        </w:tc>
      </w:tr>
    </w:tbl>
    <w:p>
      <w:pPr>
        <w:spacing w:after="40"/>
      </w:pPr>
    </w:p>
    <w:p>
      <w:pPr>
        <w:spacing w:after="120"/>
      </w:pPr>
      <w:r>
        <w:rPr>
          <w:rFonts w:ascii="Calibri" w:hAnsi="Calibri" w:cs="Arial"/>
          <w:b w:val="0"/>
          <w:color w:val="1F2A37"/>
          <w:sz w:val="22"/>
        </w:rPr>
        <w:t>Observation:  the Personnel sheet currently captures only the above 12 attributes. For M1, the BRD will need additional master fields (Department, Job Title, Manager, Contract Type, Work Location, Email, Nationality, Marital Status, Qualification) — these are present in adjacent sheets (Documents, Foreigners, 5%) and should be consolidated into a single Employee record.</w:t>
      </w:r>
    </w:p>
    <w:p>
      <w:pPr>
        <w:spacing w:before="280" w:after="120"/>
      </w:pPr>
      <w:r>
        <w:rPr>
          <w:rFonts w:ascii="Calibri" w:hAnsi="Calibri" w:cs="Arial"/>
          <w:b/>
          <w:color w:val="173D5E"/>
          <w:sz w:val="36"/>
        </w:rPr>
        <w:t>4.  Egyptian Social Insurance — Forms S1 and S6</w:t>
      </w:r>
    </w:p>
    <w:p>
      <w:pPr>
        <w:spacing w:after="120"/>
      </w:pPr>
      <w:r>
        <w:rPr>
          <w:rFonts w:ascii="Calibri" w:hAnsi="Calibri" w:cs="Arial"/>
          <w:b w:val="0"/>
          <w:color w:val="1F2A37"/>
          <w:sz w:val="22"/>
        </w:rPr>
        <w:t>Forms S1 (hire) and S6 (exit) are mandatory filings with the Egyptian National Authority for Social Insurance. The Personnel sheet treats these as two separate tracking registers with a shared core.</w:t>
      </w:r>
    </w:p>
    <w:p>
      <w:pPr>
        <w:spacing w:before="200" w:after="120"/>
      </w:pPr>
      <w:r>
        <w:rPr>
          <w:rFonts w:ascii="Calibri" w:hAnsi="Calibri" w:cs="Arial"/>
          <w:b/>
          <w:color w:val="173D5E"/>
          <w:sz w:val="28"/>
        </w:rPr>
        <w:t>4.1  Form S1 — Hire Filing  (sheet: س1 تامينات)</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907"/>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w:t>
            </w:r>
          </w:p>
        </w:tc>
        <w:tc>
          <w:tcPr>
            <w:tcW w:type="dxa" w:w="3118"/>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(English)</w:t>
            </w:r>
          </w:p>
        </w:tc>
        <w:tc>
          <w:tcPr>
            <w:tcW w:type="dxa" w:w="2494"/>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(Arabic)</w:t>
            </w:r>
          </w:p>
        </w:tc>
        <w:tc>
          <w:tcPr>
            <w:tcW w:type="dxa" w:w="2551"/>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Notes / Format</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Row #</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م</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Sequence</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2</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Social Insurance Number</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رقم تاميني</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3</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Company</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الشركة</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Multi-entity support required</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4</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Employee Code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كود</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5</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Insured Full Name (4 parts)</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اسم المؤمن عليه رباعي</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Arabic, exactly 4 parts</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6</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Date of Birth</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ت.الميلاد</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7</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Age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السن</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Derived</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8</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National ID</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الرقم القومي</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14-digit</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9</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Profession / Job Title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المهنة</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As filed</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10</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S1 Filing Date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تاريخ س1</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Basic Wage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اساسي</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EGP; contribution base</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12</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Supplementary / Variable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اشتراك</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EGP</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13</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Total / Comprehensive Wage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شامل</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EGP</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14</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Token Registration #</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رقم تسجيل توكن</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e-filing token</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15</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Insurance Registration #</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رقم تسجيل تامينات</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16</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Receipt Date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ت.استلام</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17</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Mobile Number</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رقم موبايل</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18</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Nationality</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جنسية</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19</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Passport Number</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رقم جواز</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If foreigner</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20</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Gender</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النوع</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21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Registration Date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تاريخ التسجيل</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22</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Wage Adjustment in Year</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تعديل اجور خلال العام</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In-year changes</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23</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Notes</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ملاحظات</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24</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Purchased Service Period</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مدة مشتراة</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Retroactive periods</w:t>
            </w:r>
          </w:p>
        </w:tc>
      </w:tr>
    </w:tbl>
    <w:p>
      <w:pPr>
        <w:spacing w:after="40"/>
      </w:pPr>
    </w:p>
    <w:p>
      <w:pPr>
        <w:spacing w:before="200" w:after="120"/>
      </w:pPr>
      <w:r>
        <w:rPr>
          <w:rFonts w:ascii="Calibri" w:hAnsi="Calibri" w:cs="Arial"/>
          <w:b/>
          <w:color w:val="173D5E"/>
          <w:sz w:val="28"/>
        </w:rPr>
        <w:t>4.2  Form S6 — Exit Filing  (sheet: س6 تامينات)</w:t>
      </w:r>
    </w:p>
    <w:p>
      <w:pPr>
        <w:spacing w:after="120"/>
      </w:pPr>
      <w:r>
        <w:rPr>
          <w:rFonts w:ascii="Calibri" w:hAnsi="Calibri" w:cs="Arial"/>
          <w:b w:val="0"/>
          <w:color w:val="1F2A37"/>
          <w:sz w:val="22"/>
        </w:rPr>
        <w:t>S6 extends S1 with exit-specific fields. Implementation should treat S6 as a continuation of the S1 record, not a duplicate entity.</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907"/>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w:t>
            </w:r>
          </w:p>
        </w:tc>
        <w:tc>
          <w:tcPr>
            <w:tcW w:type="dxa" w:w="3118"/>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(English)</w:t>
            </w:r>
          </w:p>
        </w:tc>
        <w:tc>
          <w:tcPr>
            <w:tcW w:type="dxa" w:w="2494"/>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(Arabic)</w:t>
            </w:r>
          </w:p>
        </w:tc>
        <w:tc>
          <w:tcPr>
            <w:tcW w:type="dxa" w:w="2551"/>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Notes / Format</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All S1 fields (rows 1–24 above)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 كما في س1 —</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Shared base</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2</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S6 Filing Date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تاريخ س6</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3</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Exit Reason</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السبب</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Picklist (resignation / termination / retirement / etc.)</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4</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S6 Insurance Number</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رقم تامينات</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As filed</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5</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S6 Token Number</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رقم توكن</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e-filing token</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6</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S6 Receipt Date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ت.استلام</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7</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S6 Registration Date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تاريخ التسجيل س6</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8</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S6 Notes</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ملاحظات</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9</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Health Card Status at Exit</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موقف البطاقة الصحية</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Picklist</w:t>
            </w:r>
          </w:p>
        </w:tc>
      </w:tr>
    </w:tbl>
    <w:p>
      <w:pPr>
        <w:spacing w:after="40"/>
      </w:pPr>
    </w:p>
    <w:p>
      <w:pPr>
        <w:spacing w:before="280" w:after="120"/>
      </w:pPr>
      <w:r>
        <w:rPr>
          <w:rFonts w:ascii="Calibri" w:hAnsi="Calibri" w:cs="Arial"/>
          <w:b/>
          <w:color w:val="173D5E"/>
          <w:sz w:val="36"/>
        </w:rPr>
        <w:t>5.  Office Requests  (sheet: طلبات بالمكتب)</w:t>
      </w:r>
    </w:p>
    <w:p>
      <w:pPr>
        <w:spacing w:after="120"/>
      </w:pPr>
      <w:r>
        <w:rPr>
          <w:rFonts w:ascii="Calibri" w:hAnsi="Calibri" w:cs="Arial"/>
          <w:b w:val="0"/>
          <w:color w:val="1F2A37"/>
          <w:sz w:val="22"/>
        </w:rPr>
        <w:t>Employee-initiated requests routed through the Personnel office. The sheet lists three seeded request types; the M1 request module should support an extensible catalogue.</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907"/>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w:t>
            </w:r>
          </w:p>
        </w:tc>
        <w:tc>
          <w:tcPr>
            <w:tcW w:type="dxa" w:w="3118"/>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(English)</w:t>
            </w:r>
          </w:p>
        </w:tc>
        <w:tc>
          <w:tcPr>
            <w:tcW w:type="dxa" w:w="2494"/>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(Arabic)</w:t>
            </w:r>
          </w:p>
        </w:tc>
        <w:tc>
          <w:tcPr>
            <w:tcW w:type="dxa" w:w="2551"/>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Notes / Format</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Row #</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م</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2</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Social Insurance #</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رقم تاميني</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3</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Employee Code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كود</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4</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Employee Name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الاسم</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5</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National ID</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الرقم القومي</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6</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Current Job Title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الوظيفة حاليا</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7</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Request Type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نوع الطلب</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e.g., Card form / Status change / Name change</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8</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Receipt Date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تاريخ استلام الطلب</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9</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Request Number</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رقم الطلب</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10</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Submission Date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تاريخ تقديمها</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Request Status</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حالة الطلب</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Picklist (Open / In progress / Done / Cancelled)</w:t>
            </w:r>
          </w:p>
        </w:tc>
      </w:tr>
    </w:tbl>
    <w:p>
      <w:pPr>
        <w:spacing w:after="40"/>
      </w:pPr>
    </w:p>
    <w:p>
      <w:pPr>
        <w:spacing w:after="120"/>
      </w:pPr>
      <w:r>
        <w:rPr>
          <w:rFonts w:ascii="Calibri" w:hAnsi="Calibri" w:cs="Arial"/>
          <w:b w:val="0"/>
          <w:color w:val="1F2A37"/>
          <w:sz w:val="22"/>
        </w:rPr>
        <w:t>Seeded request types observed in source: استمارة بطاقة (Card application form), وضع (Status change), تغيير مسمى (Name / title change). Personnel to confirm the full catalogue.</w:t>
      </w:r>
    </w:p>
    <w:p>
      <w:pPr>
        <w:spacing w:before="280" w:after="120"/>
      </w:pPr>
      <w:r>
        <w:rPr>
          <w:rFonts w:ascii="Calibri" w:hAnsi="Calibri" w:cs="Arial"/>
          <w:b/>
          <w:color w:val="173D5E"/>
          <w:sz w:val="36"/>
        </w:rPr>
        <w:t>6.  Employee Documents  (sheet: اوراق الموظف)</w:t>
      </w:r>
    </w:p>
    <w:p>
      <w:pPr>
        <w:spacing w:after="120"/>
      </w:pPr>
      <w:r>
        <w:rPr>
          <w:rFonts w:ascii="Calibri" w:hAnsi="Calibri" w:cs="Arial"/>
          <w:b w:val="0"/>
          <w:color w:val="1F2A37"/>
          <w:sz w:val="22"/>
        </w:rPr>
        <w:t>101-column checklist tracking the completeness of each employee's physical and digital file. Columns repeat a pattern of {Document-Name, Issue-Date, Expiry-Date, Days-Remaining, Status} for every document type.</w:t>
      </w:r>
    </w:p>
    <w:p>
      <w:pPr>
        <w:spacing w:after="120"/>
      </w:pPr>
      <w:r>
        <w:rPr>
          <w:rFonts w:ascii="Calibri" w:hAnsi="Calibri" w:cs="Arial"/>
          <w:b w:val="0"/>
          <w:color w:val="1F2A37"/>
          <w:sz w:val="22"/>
        </w:rPr>
        <w:t>Tracked document types include:  contract, Form S1 filing, medical check (111 / الكشف), national ID, birth certificate, health-insurance card, Social Security card, military service certificate, academic qualification, marriage / family documents, driving licence, and professional licences.</w:t>
      </w:r>
    </w:p>
    <w:p>
      <w:pPr>
        <w:spacing w:after="120"/>
      </w:pPr>
      <w:r>
        <w:rPr>
          <w:rFonts w:ascii="Calibri" w:hAnsi="Calibri" w:cs="Arial"/>
          <w:b w:val="0"/>
          <w:color w:val="1F2A37"/>
          <w:sz w:val="22"/>
        </w:rPr>
        <w:t>Recommendation for M1:  implement as a generic Document entity with Type, Number, IssueDate, ExpiryDate, DaysRemaining (derived), Status, and Attachment. Do NOT hard-code 101 columns; model the document types as a reference table.</w:t>
      </w:r>
    </w:p>
    <w:p>
      <w:pPr>
        <w:spacing w:before="280" w:after="120"/>
      </w:pPr>
      <w:r>
        <w:rPr>
          <w:rFonts w:ascii="Calibri" w:hAnsi="Calibri" w:cs="Arial"/>
          <w:b/>
          <w:color w:val="173D5E"/>
          <w:sz w:val="36"/>
        </w:rPr>
        <w:t>7.  5% Quota Tracking  (sheet: ٥٪)</w:t>
      </w:r>
    </w:p>
    <w:p>
      <w:pPr>
        <w:spacing w:after="120"/>
      </w:pPr>
      <w:r>
        <w:rPr>
          <w:rFonts w:ascii="Calibri" w:hAnsi="Calibri" w:cs="Arial"/>
          <w:b w:val="0"/>
          <w:color w:val="1F2A37"/>
          <w:sz w:val="22"/>
        </w:rPr>
        <w:t>Egyptian Law 10/2018 requires employers to fill 5% of their workforce with persons with disabilities. This sheet tracks affected employees with 71 columns covering: employee identity, contract status, medical/card details, mother's name (statutory for some filings), address, governorate, and the specific disability type (نوع الاعاقة).</w:t>
      </w:r>
    </w:p>
    <w:p>
      <w:pPr>
        <w:spacing w:after="120"/>
      </w:pPr>
      <w:r>
        <w:rPr>
          <w:rFonts w:ascii="Calibri" w:hAnsi="Calibri" w:cs="Arial"/>
          <w:b w:val="0"/>
          <w:color w:val="1F2A37"/>
          <w:sz w:val="22"/>
        </w:rPr>
        <w:t>Recommendation:  store disability information as a sensitive attribute on the Employee entity (not a separate sheet). Apply access controls — this is a protected category under Egyptian law. Data retention and consent handling to be defined with Legal.</w:t>
      </w:r>
    </w:p>
    <w:p>
      <w:pPr>
        <w:spacing w:before="280" w:after="120"/>
      </w:pPr>
      <w:r>
        <w:rPr>
          <w:rFonts w:ascii="Calibri" w:hAnsi="Calibri" w:cs="Arial"/>
          <w:b/>
          <w:color w:val="173D5E"/>
          <w:sz w:val="36"/>
        </w:rPr>
        <w:t>8.  Investigations / Disciplinary  (sheet: التحقيقات)</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907"/>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w:t>
            </w:r>
          </w:p>
        </w:tc>
        <w:tc>
          <w:tcPr>
            <w:tcW w:type="dxa" w:w="3118"/>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(English)</w:t>
            </w:r>
          </w:p>
        </w:tc>
        <w:tc>
          <w:tcPr>
            <w:tcW w:type="dxa" w:w="2494"/>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(Arabic)</w:t>
            </w:r>
          </w:p>
        </w:tc>
        <w:tc>
          <w:tcPr>
            <w:tcW w:type="dxa" w:w="2551"/>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Notes / Format</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Row #</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م.</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2</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Social Insurance #</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رقم تاميني</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3</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Employee Code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كود</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4</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Employee Name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اسم الموظف</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5</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Profession</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المهنة</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6</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Insurance Start Date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تاريخ التامين</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7</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Investigation Date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تاريخ التحقيق</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8</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Violation</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المخالفة</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Free-text + categorisation</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9</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Penalty Date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تاريخ الجزاء</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dd/mm/yyyy</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10</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Penalty Amount</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مقدار الجزاء</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EGP or days deducted</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Attachments</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رفع مرفقات</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Any format</w:t>
            </w:r>
          </w:p>
        </w:tc>
      </w:tr>
    </w:tbl>
    <w:p>
      <w:pPr>
        <w:spacing w:after="40"/>
      </w:pPr>
    </w:p>
    <w:p>
      <w:pPr>
        <w:spacing w:before="280" w:after="120"/>
      </w:pPr>
      <w:r>
        <w:rPr>
          <w:rFonts w:ascii="Calibri" w:hAnsi="Calibri" w:cs="Arial"/>
          <w:b/>
          <w:color w:val="173D5E"/>
          <w:sz w:val="36"/>
        </w:rPr>
        <w:t>9.  Foreign Employees  (sheet: الاجانب)</w:t>
      </w:r>
    </w:p>
    <w:p>
      <w:pPr>
        <w:spacing w:after="120"/>
      </w:pPr>
      <w:r>
        <w:rPr>
          <w:rFonts w:ascii="Calibri" w:hAnsi="Calibri" w:cs="Arial"/>
          <w:b w:val="0"/>
          <w:color w:val="1F2A37"/>
          <w:sz w:val="22"/>
        </w:rPr>
        <w:t>60-column register tracking work-permit, residency, and passport validity for non-Egyptian employees. Key fields include:</w:t>
      </w:r>
    </w:p>
    <w:p>
      <w:pPr>
        <w:pStyle w:val="ListBullet"/>
        <w:spacing w:after="40"/>
      </w:pPr>
      <w:r>
        <w:rPr>
          <w:rFonts w:ascii="Calibri" w:hAnsi="Calibri" w:cs="Arial"/>
          <w:b w:val="0"/>
          <w:color w:val="1F2A37"/>
          <w:sz w:val="22"/>
        </w:rPr>
        <w:t>Work-licence number and image / receipt — رقم ترخيص العمل</w:t>
      </w:r>
    </w:p>
    <w:p>
      <w:pPr>
        <w:pStyle w:val="ListBullet"/>
        <w:spacing w:after="40"/>
      </w:pPr>
      <w:r>
        <w:rPr>
          <w:rFonts w:ascii="Calibri" w:hAnsi="Calibri" w:cs="Arial"/>
          <w:b w:val="0"/>
          <w:color w:val="1F2A37"/>
          <w:sz w:val="22"/>
        </w:rPr>
        <w:t>Work-licence application / issue / expiry dates with days-remaining and status</w:t>
      </w:r>
    </w:p>
    <w:p>
      <w:pPr>
        <w:pStyle w:val="ListBullet"/>
        <w:spacing w:after="40"/>
      </w:pPr>
      <w:r>
        <w:rPr>
          <w:rFonts w:ascii="Calibri" w:hAnsi="Calibri" w:cs="Arial"/>
          <w:b w:val="0"/>
          <w:color w:val="1F2A37"/>
          <w:sz w:val="22"/>
        </w:rPr>
        <w:t>Residence issue &amp; expiry dates (الاقامة)</w:t>
      </w:r>
    </w:p>
    <w:p>
      <w:pPr>
        <w:pStyle w:val="ListBullet"/>
        <w:spacing w:after="40"/>
      </w:pPr>
      <w:r>
        <w:rPr>
          <w:rFonts w:ascii="Calibri" w:hAnsi="Calibri" w:cs="Arial"/>
          <w:b w:val="0"/>
          <w:color w:val="1F2A37"/>
          <w:sz w:val="22"/>
        </w:rPr>
        <w:t>Passport number, issue date, expiry — with days-remaining and status</w:t>
      </w:r>
    </w:p>
    <w:p>
      <w:pPr>
        <w:pStyle w:val="ListBullet"/>
        <w:spacing w:after="40"/>
      </w:pPr>
      <w:r>
        <w:rPr>
          <w:rFonts w:ascii="Calibri" w:hAnsi="Calibri" w:cs="Arial"/>
          <w:b w:val="0"/>
          <w:color w:val="1F2A37"/>
          <w:sz w:val="22"/>
        </w:rPr>
        <w:t>Nationality, NID (if issued), gender, DOB, qualification</w:t>
      </w:r>
    </w:p>
    <w:p>
      <w:pPr>
        <w:spacing w:after="120"/>
      </w:pPr>
      <w:r>
        <w:rPr>
          <w:rFonts w:ascii="Calibri" w:hAnsi="Calibri" w:cs="Arial"/>
          <w:b w:val="0"/>
          <w:color w:val="1F2A37"/>
          <w:sz w:val="22"/>
        </w:rPr>
        <w:t>Every date-bearing document carries a parallel {days-remaining, status} pair — these should be computed by the system (not stored) and drive alerts at configurable thresholds (30 / 60 / 90 days).</w:t>
      </w:r>
    </w:p>
    <w:p>
      <w:pPr>
        <w:spacing w:before="280" w:after="120"/>
      </w:pPr>
      <w:r>
        <w:rPr>
          <w:rFonts w:ascii="Calibri" w:hAnsi="Calibri" w:cs="Arial"/>
          <w:b/>
          <w:color w:val="173D5E"/>
          <w:sz w:val="36"/>
        </w:rPr>
        <w:t>10.  Military Service  (sheet: جيش)</w:t>
      </w:r>
    </w:p>
    <w:p>
      <w:pPr>
        <w:spacing w:after="120"/>
      </w:pPr>
      <w:r>
        <w:rPr>
          <w:rFonts w:ascii="Calibri" w:hAnsi="Calibri" w:cs="Arial"/>
          <w:b w:val="0"/>
          <w:color w:val="1F2A37"/>
          <w:sz w:val="22"/>
        </w:rPr>
        <w:t>Tracks military-service certificate status for male Egyptian employees (mandatory evidence for hire). The source sheet is 527 columns wide — this is a copy-paste artefact, not a design intent. The actual logical model is small:</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907"/>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w:t>
            </w:r>
          </w:p>
        </w:tc>
        <w:tc>
          <w:tcPr>
            <w:tcW w:type="dxa" w:w="3118"/>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(English)</w:t>
            </w:r>
          </w:p>
        </w:tc>
        <w:tc>
          <w:tcPr>
            <w:tcW w:type="dxa" w:w="2494"/>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Field (Arabic)</w:t>
            </w:r>
          </w:p>
        </w:tc>
        <w:tc>
          <w:tcPr>
            <w:tcW w:type="dxa" w:w="2551"/>
            <w:shd w:val="clear" w:color="auto" w:fill="173D5E"/>
            <w:tcBorders>
              <w:top w:val="single" w:sz="4" w:color="173D5E"/>
              <w:left w:val="single" w:sz="4" w:color="173D5E"/>
              <w:bottom w:val="single" w:sz="4" w:color="173D5E"/>
              <w:right w:val="single" w:sz="4" w:color="173D5E"/>
            </w:tcBorders>
            <w:vAlign w:val="center"/>
          </w:tcPr>
          <w:p>
            <w:pPr>
              <w:spacing w:before="40" w:after="40"/>
            </w:pPr>
            <w:r>
              <w:rPr>
                <w:rFonts w:ascii="Calibri" w:hAnsi="Calibri" w:cs="Arial"/>
                <w:b/>
                <w:color w:val="FFFFFF"/>
                <w:sz w:val="21"/>
              </w:rPr>
              <w:t>Notes / Format</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Social Insurance #</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الرقم التاميني</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2</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Company</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الشركة</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3</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Employee Code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كود</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4</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Employee Name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الاسم</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5</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Job Title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الوظيفة</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6</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Hire Date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تاريخ التعيين</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7</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National ID Card #</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رقم بطاقه.ش</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8</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Qualification (indicator)</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مؤهل</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تم = Done</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9</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Academic Qualification</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المؤهل الدراسي</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e.g., BA / BSc</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10</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Military Certificate</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ش.جيش</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تم = Done</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11</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Certificate Type</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نوع الشهادة</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Completed / Exempt / Postponed / etc.</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12</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Current Certificate Status</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موقف الشهادة الحالي</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Valid / Expired / Pending renewal</w:t>
            </w:r>
          </w:p>
        </w:tc>
      </w:tr>
      <w:tr>
        <w:tc>
          <w:tcPr>
            <w:tcW w:type="dxa" w:w="907"/>
            <w:tcBorders>
              <w:top w:val="single" w:sz="4" w:color="BFD7E8"/>
              <w:left w:val="single" w:sz="4" w:color="BFD7E8"/>
              <w:bottom w:val="single" w:sz="4" w:color="BFD7E8"/>
              <w:right w:val="single" w:sz="4" w:color="BFD7E8"/>
            </w:tcBorders>
            <w:vAlign w:val="center"/>
            <w:shd w:val="clear" w:color="auto" w:fill="F6FAFD"/>
          </w:tcPr>
          <w:p>
            <w:pPr>
              <w:spacing w:before="20" w:after="20"/>
              <w:jc w:val="center"/>
            </w:pPr>
            <w:r>
              <w:rPr>
                <w:rFonts w:ascii="Calibri" w:hAnsi="Calibri" w:cs="Arial"/>
                <w:b w:val="0"/>
                <w:color w:val="1F2A37"/>
                <w:sz w:val="20"/>
              </w:rPr>
              <w:t>13</w:t>
            </w:r>
          </w:p>
        </w:tc>
        <w:tc>
          <w:tcPr>
            <w:tcW w:type="dxa" w:w="3118"/>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Days Remaining</w:t>
            </w:r>
          </w:p>
        </w:tc>
        <w:tc>
          <w:tcPr>
            <w:tcW w:type="dxa" w:w="2494"/>
            <w:tcBorders>
              <w:top w:val="single" w:sz="4" w:color="BFD7E8"/>
              <w:left w:val="single" w:sz="4" w:color="BFD7E8"/>
              <w:bottom w:val="single" w:sz="4" w:color="BFD7E8"/>
              <w:right w:val="single" w:sz="4" w:color="BFD7E8"/>
            </w:tcBorders>
            <w:vAlign w:val="center"/>
            <w:shd w:val="clear" w:color="auto" w:fill="F6FAFD"/>
          </w:tcPr>
          <w:p>
            <w:pPr>
              <w:spacing w:before="20" w:after="20"/>
              <w:jc w:val="right"/>
            </w:pPr>
            <w:r>
              <w:rPr>
                <w:rFonts w:ascii="Calibri" w:hAnsi="Calibri" w:cs="Arial"/>
                <w:b w:val="0"/>
                <w:color w:val="1F2A37"/>
                <w:sz w:val="20"/>
              </w:rPr>
              <w:t>متبقي</w:t>
            </w:r>
          </w:p>
        </w:tc>
        <w:tc>
          <w:tcPr>
            <w:tcW w:type="dxa" w:w="2551"/>
            <w:tcBorders>
              <w:top w:val="single" w:sz="4" w:color="BFD7E8"/>
              <w:left w:val="single" w:sz="4" w:color="BFD7E8"/>
              <w:bottom w:val="single" w:sz="4" w:color="BFD7E8"/>
              <w:right w:val="single" w:sz="4" w:color="BFD7E8"/>
            </w:tcBorders>
            <w:vAlign w:val="center"/>
            <w:shd w:val="clear" w:color="auto" w:fill="F6FAFD"/>
          </w:tcPr>
          <w:p>
            <w:pPr>
              <w:spacing w:before="20" w:after="20"/>
              <w:jc w:val="left"/>
            </w:pPr>
            <w:r>
              <w:rPr>
                <w:rFonts w:ascii="Calibri" w:hAnsi="Calibri" w:cs="Arial"/>
                <w:b w:val="0"/>
                <w:color w:val="1F2A37"/>
                <w:sz w:val="20"/>
              </w:rPr>
              <w:t>Derived</w:t>
            </w:r>
          </w:p>
        </w:tc>
      </w:tr>
      <w:tr>
        <w:tc>
          <w:tcPr>
            <w:tcW w:type="dxa" w:w="907"/>
            <w:tcBorders>
              <w:top w:val="single" w:sz="4" w:color="BFD7E8"/>
              <w:left w:val="single" w:sz="4" w:color="BFD7E8"/>
              <w:bottom w:val="single" w:sz="4" w:color="BFD7E8"/>
              <w:right w:val="single" w:sz="4" w:color="BFD7E8"/>
            </w:tcBorders>
            <w:vAlign w:val="center"/>
          </w:tcPr>
          <w:p>
            <w:pPr>
              <w:spacing w:before="20" w:after="20"/>
              <w:jc w:val="center"/>
            </w:pPr>
            <w:r>
              <w:rPr>
                <w:rFonts w:ascii="Calibri" w:hAnsi="Calibri" w:cs="Arial"/>
                <w:b w:val="0"/>
                <w:color w:val="1F2A37"/>
                <w:sz w:val="20"/>
              </w:rPr>
              <w:t>14</w:t>
            </w:r>
          </w:p>
        </w:tc>
        <w:tc>
          <w:tcPr>
            <w:tcW w:type="dxa" w:w="3118"/>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Action Required</w:t>
            </w:r>
          </w:p>
        </w:tc>
        <w:tc>
          <w:tcPr>
            <w:tcW w:type="dxa" w:w="2494"/>
            <w:tcBorders>
              <w:top w:val="single" w:sz="4" w:color="BFD7E8"/>
              <w:left w:val="single" w:sz="4" w:color="BFD7E8"/>
              <w:bottom w:val="single" w:sz="4" w:color="BFD7E8"/>
              <w:right w:val="single" w:sz="4" w:color="BFD7E8"/>
            </w:tcBorders>
            <w:vAlign w:val="center"/>
          </w:tcPr>
          <w:p>
            <w:pPr>
              <w:spacing w:before="20" w:after="20"/>
              <w:jc w:val="right"/>
            </w:pPr>
            <w:r>
              <w:rPr>
                <w:rFonts w:ascii="Calibri" w:hAnsi="Calibri" w:cs="Arial"/>
                <w:b w:val="0"/>
                <w:color w:val="1F2A37"/>
                <w:sz w:val="20"/>
              </w:rPr>
              <w:t>المطلوب</w:t>
            </w:r>
          </w:p>
        </w:tc>
        <w:tc>
          <w:tcPr>
            <w:tcW w:type="dxa" w:w="2551"/>
            <w:tcBorders>
              <w:top w:val="single" w:sz="4" w:color="BFD7E8"/>
              <w:left w:val="single" w:sz="4" w:color="BFD7E8"/>
              <w:bottom w:val="single" w:sz="4" w:color="BFD7E8"/>
              <w:right w:val="single" w:sz="4" w:color="BFD7E8"/>
            </w:tcBorders>
            <w:vAlign w:val="center"/>
          </w:tcPr>
          <w:p>
            <w:pPr>
              <w:spacing w:before="20" w:after="20"/>
              <w:jc w:val="left"/>
            </w:pPr>
            <w:r>
              <w:rPr>
                <w:rFonts w:ascii="Calibri" w:hAnsi="Calibri" w:cs="Arial"/>
                <w:b w:val="0"/>
                <w:color w:val="1F2A37"/>
                <w:sz w:val="20"/>
              </w:rPr>
              <w:t>e.g., Renew, Follow-up</w:t>
            </w:r>
          </w:p>
        </w:tc>
      </w:tr>
    </w:tbl>
    <w:p>
      <w:pPr>
        <w:spacing w:after="40"/>
      </w:pPr>
    </w:p>
    <w:p>
      <w:pPr>
        <w:spacing w:before="280" w:after="120"/>
      </w:pPr>
      <w:r>
        <w:rPr>
          <w:rFonts w:ascii="Calibri" w:hAnsi="Calibri" w:cs="Arial"/>
          <w:b/>
          <w:color w:val="173D5E"/>
          <w:sz w:val="36"/>
        </w:rPr>
        <w:t>11.  Data-Quality Observations on the Source</w:t>
      </w:r>
    </w:p>
    <w:p>
      <w:pPr>
        <w:pStyle w:val="ListBullet"/>
        <w:spacing w:after="40"/>
      </w:pPr>
      <w:r>
        <w:rPr>
          <w:rFonts w:ascii="Calibri" w:hAnsi="Calibri" w:cs="Arial"/>
          <w:b w:val="0"/>
          <w:color w:val="1F2A37"/>
          <w:sz w:val="22"/>
        </w:rPr>
        <w:t>Headers split across rows 1–3 (row 1 = section; row 2 = field; row 3 = format hint). BRD must flatten these into a single field definition per column.</w:t>
      </w:r>
    </w:p>
    <w:p>
      <w:pPr>
        <w:pStyle w:val="ListBullet"/>
        <w:spacing w:after="40"/>
      </w:pPr>
      <w:r>
        <w:rPr>
          <w:rFonts w:ascii="Calibri" w:hAnsi="Calibri" w:cs="Arial"/>
          <w:b w:val="0"/>
          <w:color w:val="1F2A37"/>
          <w:sz w:val="22"/>
        </w:rPr>
        <w:t>The Military sheet has 527 columns, most empty. Treat as a 14-column logical model.</w:t>
      </w:r>
    </w:p>
    <w:p>
      <w:pPr>
        <w:pStyle w:val="ListBullet"/>
        <w:spacing w:after="40"/>
      </w:pPr>
      <w:r>
        <w:rPr>
          <w:rFonts w:ascii="Calibri" w:hAnsi="Calibri" w:cs="Arial"/>
          <w:b w:val="0"/>
          <w:color w:val="1F2A37"/>
          <w:sz w:val="22"/>
        </w:rPr>
        <w:t>The Documents sheet has 101 columns following a repeated 5-column pattern. Treat as a normalised Document entity keyed by Type.</w:t>
      </w:r>
    </w:p>
    <w:p>
      <w:pPr>
        <w:pStyle w:val="ListBullet"/>
        <w:spacing w:after="40"/>
      </w:pPr>
      <w:r>
        <w:rPr>
          <w:rFonts w:ascii="Calibri" w:hAnsi="Calibri" w:cs="Arial"/>
          <w:b w:val="0"/>
          <w:color w:val="1F2A37"/>
          <w:sz w:val="22"/>
        </w:rPr>
        <w:t>Sample data in the Military sheet contains placeholder DOBs (1930 / 1931) and stub NIDs — clearly test entries, not production data.</w:t>
      </w:r>
    </w:p>
    <w:p>
      <w:pPr>
        <w:pStyle w:val="ListBullet"/>
        <w:spacing w:after="40"/>
      </w:pPr>
      <w:r>
        <w:rPr>
          <w:rFonts w:ascii="Calibri" w:hAnsi="Calibri" w:cs="Arial"/>
          <w:b w:val="0"/>
          <w:color w:val="1F2A37"/>
          <w:sz w:val="22"/>
        </w:rPr>
        <w:t>No formal picklists — request types, governorate, reasons, statuses are free-text. M1 must supply controlled vocabularies.</w:t>
      </w:r>
    </w:p>
    <w:p>
      <w:pPr>
        <w:pStyle w:val="ListBullet"/>
        <w:spacing w:after="40"/>
      </w:pPr>
      <w:r>
        <w:rPr>
          <w:rFonts w:ascii="Calibri" w:hAnsi="Calibri" w:cs="Arial"/>
          <w:b w:val="0"/>
          <w:color w:val="1F2A37"/>
          <w:sz w:val="22"/>
        </w:rPr>
        <w:t>No tenant / multi-company separation in most sheets despite a Company column — tenant isolation is M1's responsibility, not the form's.</w:t>
      </w:r>
    </w:p>
    <w:p>
      <w:pPr>
        <w:spacing w:before="280" w:after="120"/>
      </w:pPr>
      <w:r>
        <w:rPr>
          <w:rFonts w:ascii="Calibri" w:hAnsi="Calibri" w:cs="Arial"/>
          <w:b/>
          <w:color w:val="173D5E"/>
          <w:sz w:val="36"/>
        </w:rPr>
        <w:t>12.  Implications for M1 Core HRIS BRD</w:t>
      </w:r>
    </w:p>
    <w:p>
      <w:pPr>
        <w:spacing w:after="120"/>
      </w:pPr>
      <w:r>
        <w:rPr>
          <w:rFonts w:ascii="Calibri" w:hAnsi="Calibri" w:cs="Arial"/>
          <w:b w:val="0"/>
          <w:color w:val="1F2A37"/>
          <w:sz w:val="22"/>
        </w:rPr>
        <w:t>The following additions / clarifications should be reflected in the next version of Praxion-BRD-M1-Core-HRIS (currently v2):</w:t>
      </w:r>
    </w:p>
    <w:p>
      <w:pPr>
        <w:pStyle w:val="ListBullet"/>
        <w:spacing w:after="40"/>
      </w:pPr>
      <w:r>
        <w:rPr>
          <w:rFonts w:ascii="Calibri" w:hAnsi="Calibri" w:cs="Arial"/>
          <w:b w:val="0"/>
          <w:color w:val="1F2A37"/>
          <w:sz w:val="22"/>
        </w:rPr>
        <w:t>Employee record must include statutory Egyptian fields: Social Insurance #, National ID, Governorate, Nationality, Mother's Name, Military-Service Status, Disability flag (with sensitive-data classification).</w:t>
      </w:r>
    </w:p>
    <w:p>
      <w:pPr>
        <w:pStyle w:val="ListBullet"/>
        <w:spacing w:after="40"/>
      </w:pPr>
      <w:r>
        <w:rPr>
          <w:rFonts w:ascii="Calibri" w:hAnsi="Calibri" w:cs="Arial"/>
          <w:b w:val="0"/>
          <w:color w:val="1F2A37"/>
          <w:sz w:val="22"/>
        </w:rPr>
        <w:t>Egyptian Social Insurance workflow: native Forms S1 and S6 as first-class capabilities, including e-filing token and receipt-date tracking, with S6 as an exit extension of the S1 record.</w:t>
      </w:r>
    </w:p>
    <w:p>
      <w:pPr>
        <w:pStyle w:val="ListBullet"/>
        <w:spacing w:after="40"/>
      </w:pPr>
      <w:r>
        <w:rPr>
          <w:rFonts w:ascii="Calibri" w:hAnsi="Calibri" w:cs="Arial"/>
          <w:b w:val="0"/>
          <w:color w:val="1F2A37"/>
          <w:sz w:val="22"/>
        </w:rPr>
        <w:t>Document Management: generic Document entity with Type-driven reference table; automatic days-remaining and status computation; configurable expiry alerts.</w:t>
      </w:r>
    </w:p>
    <w:p>
      <w:pPr>
        <w:pStyle w:val="ListBullet"/>
        <w:spacing w:after="40"/>
      </w:pPr>
      <w:r>
        <w:rPr>
          <w:rFonts w:ascii="Calibri" w:hAnsi="Calibri" w:cs="Arial"/>
          <w:b w:val="0"/>
          <w:color w:val="1F2A37"/>
          <w:sz w:val="22"/>
        </w:rPr>
        <w:t>Compliance registers as distinct features of M1: Foreigners (permits/residency), Military Service, 5% Disability Quota, Investigations / Disciplinary.</w:t>
      </w:r>
    </w:p>
    <w:p>
      <w:pPr>
        <w:pStyle w:val="ListBullet"/>
        <w:spacing w:after="40"/>
      </w:pPr>
      <w:r>
        <w:rPr>
          <w:rFonts w:ascii="Calibri" w:hAnsi="Calibri" w:cs="Arial"/>
          <w:b w:val="0"/>
          <w:color w:val="1F2A37"/>
          <w:sz w:val="22"/>
        </w:rPr>
        <w:t>Employee Self-Service Requests as an extensible catalogue (Card form, Status change, Name change, etc.), with status workflow and routing to Personnel.</w:t>
      </w:r>
    </w:p>
    <w:p>
      <w:pPr>
        <w:pStyle w:val="ListBullet"/>
        <w:spacing w:after="40"/>
      </w:pPr>
      <w:r>
        <w:rPr>
          <w:rFonts w:ascii="Calibri" w:hAnsi="Calibri" w:cs="Arial"/>
          <w:b w:val="0"/>
          <w:color w:val="1F2A37"/>
          <w:sz w:val="22"/>
        </w:rPr>
        <w:t>Reference data sets to be governed: Governorate, Nationality, Qualification, Exit Reason, Request Type, Violation Type, Disability Type.</w:t>
      </w:r>
    </w:p>
    <w:p>
      <w:pPr>
        <w:pStyle w:val="ListBullet"/>
        <w:spacing w:after="40"/>
      </w:pPr>
      <w:r>
        <w:rPr>
          <w:rFonts w:ascii="Calibri" w:hAnsi="Calibri" w:cs="Arial"/>
          <w:b w:val="0"/>
          <w:color w:val="1F2A37"/>
          <w:sz w:val="22"/>
        </w:rPr>
        <w:t>Sensitive-data classification and access control for: Disability Type, Mother's Name, Investigation records, Health Card Status.</w:t>
      </w:r>
    </w:p>
    <w:p>
      <w:pPr>
        <w:spacing w:before="280" w:after="120"/>
      </w:pPr>
      <w:r>
        <w:rPr>
          <w:rFonts w:ascii="Calibri" w:hAnsi="Calibri" w:cs="Arial"/>
          <w:b/>
          <w:color w:val="173D5E"/>
          <w:sz w:val="36"/>
        </w:rPr>
        <w:t>13.  Open Questions for the Personnel Team</w:t>
      </w:r>
    </w:p>
    <w:p>
      <w:pPr>
        <w:pStyle w:val="ListBullet"/>
        <w:spacing w:after="40"/>
      </w:pPr>
      <w:r>
        <w:rPr>
          <w:rFonts w:ascii="Calibri" w:hAnsi="Calibri" w:cs="Arial"/>
          <w:b w:val="0"/>
          <w:color w:val="1F2A37"/>
          <w:sz w:val="22"/>
        </w:rPr>
        <w:t>Which fields are mandatory at hire vs. can be added later?</w:t>
      </w:r>
    </w:p>
    <w:p>
      <w:pPr>
        <w:pStyle w:val="ListBullet"/>
        <w:spacing w:after="40"/>
      </w:pPr>
      <w:r>
        <w:rPr>
          <w:rFonts w:ascii="Calibri" w:hAnsi="Calibri" w:cs="Arial"/>
          <w:b w:val="0"/>
          <w:color w:val="1F2A37"/>
          <w:sz w:val="22"/>
        </w:rPr>
        <w:t>What is the full catalogue of Office Request types and their SLAs?</w:t>
      </w:r>
    </w:p>
    <w:p>
      <w:pPr>
        <w:pStyle w:val="ListBullet"/>
        <w:spacing w:after="40"/>
      </w:pPr>
      <w:r>
        <w:rPr>
          <w:rFonts w:ascii="Calibri" w:hAnsi="Calibri" w:cs="Arial"/>
          <w:b w:val="0"/>
          <w:color w:val="1F2A37"/>
          <w:sz w:val="22"/>
        </w:rPr>
        <w:t>What are the authoritative picklists for Exit Reason, Violation Type, Disability Type, Certificate Type?</w:t>
      </w:r>
    </w:p>
    <w:p>
      <w:pPr>
        <w:pStyle w:val="ListBullet"/>
        <w:spacing w:after="40"/>
      </w:pPr>
      <w:r>
        <w:rPr>
          <w:rFonts w:ascii="Calibri" w:hAnsi="Calibri" w:cs="Arial"/>
          <w:b w:val="0"/>
          <w:color w:val="1F2A37"/>
          <w:sz w:val="22"/>
        </w:rPr>
        <w:t>What retention rules apply to Investigation records and Disability data?</w:t>
      </w:r>
    </w:p>
    <w:p>
      <w:pPr>
        <w:pStyle w:val="ListBullet"/>
        <w:spacing w:after="40"/>
      </w:pPr>
      <w:r>
        <w:rPr>
          <w:rFonts w:ascii="Calibri" w:hAnsi="Calibri" w:cs="Arial"/>
          <w:b w:val="0"/>
          <w:color w:val="1F2A37"/>
          <w:sz w:val="22"/>
        </w:rPr>
        <w:t>Who should receive expiry alerts (employee, line manager, Personnel) and at what thresholds?</w:t>
      </w:r>
    </w:p>
    <w:p>
      <w:pPr>
        <w:pStyle w:val="ListBullet"/>
        <w:spacing w:after="40"/>
      </w:pPr>
      <w:r>
        <w:rPr>
          <w:rFonts w:ascii="Calibri" w:hAnsi="Calibri" w:cs="Arial"/>
          <w:b w:val="0"/>
          <w:color w:val="1F2A37"/>
          <w:sz w:val="22"/>
        </w:rPr>
        <w:t>Is the 5% quota tracked per-legal-entity or group-wide?</w:t>
      </w:r>
    </w:p>
    <w:p>
      <w:pPr>
        <w:pStyle w:val="ListBullet"/>
        <w:spacing w:after="40"/>
      </w:pPr>
      <w:r>
        <w:rPr>
          <w:rFonts w:ascii="Calibri" w:hAnsi="Calibri" w:cs="Arial"/>
          <w:b w:val="0"/>
          <w:color w:val="1F2A37"/>
          <w:sz w:val="22"/>
        </w:rPr>
        <w:t>How are contract renewals / extensions currently handled — is this tracked elsewhere?</w:t>
      </w:r>
    </w:p>
    <w:p>
      <w:pPr>
        <w:spacing w:before="280" w:after="120"/>
      </w:pPr>
      <w:r>
        <w:rPr>
          <w:rFonts w:ascii="Calibri" w:hAnsi="Calibri" w:cs="Arial"/>
          <w:b/>
          <w:color w:val="173D5E"/>
          <w:sz w:val="36"/>
        </w:rPr>
        <w:t>14.  Version History</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247"/>
            <w:shd w:val="clear" w:color="auto" w:fill="173D5E"/>
            <w:tcBorders>
              <w:top w:val="single" w:sz="4" w:color="173D5E"/>
              <w:left w:val="single" w:sz="4" w:color="173D5E"/>
              <w:bottom w:val="single" w:sz="4" w:color="173D5E"/>
              <w:right w:val="single" w:sz="4" w:color="173D5E"/>
            </w:tcBorders>
          </w:tcPr>
          <w:p>
            <w:pPr>
              <w:jc w:val="left"/>
            </w:pPr>
            <w:r>
              <w:rPr>
                <w:rFonts w:ascii="Calibri" w:hAnsi="Calibri" w:cs="Arial"/>
                <w:b/>
                <w:color w:val="FFFFFF"/>
                <w:sz w:val="21"/>
              </w:rPr>
              <w:t>Version</w:t>
            </w:r>
          </w:p>
        </w:tc>
        <w:tc>
          <w:tcPr>
            <w:tcW w:type="dxa" w:w="1587"/>
            <w:shd w:val="clear" w:color="auto" w:fill="173D5E"/>
            <w:tcBorders>
              <w:top w:val="single" w:sz="4" w:color="173D5E"/>
              <w:left w:val="single" w:sz="4" w:color="173D5E"/>
              <w:bottom w:val="single" w:sz="4" w:color="173D5E"/>
              <w:right w:val="single" w:sz="4" w:color="173D5E"/>
            </w:tcBorders>
          </w:tcPr>
          <w:p>
            <w:pPr>
              <w:jc w:val="left"/>
            </w:pPr>
            <w:r>
              <w:rPr>
                <w:rFonts w:ascii="Calibri" w:hAnsi="Calibri" w:cs="Arial"/>
                <w:b/>
                <w:color w:val="FFFFFF"/>
                <w:sz w:val="21"/>
              </w:rPr>
              <w:t>Date</w:t>
            </w:r>
          </w:p>
        </w:tc>
        <w:tc>
          <w:tcPr>
            <w:tcW w:type="dxa" w:w="2551"/>
            <w:shd w:val="clear" w:color="auto" w:fill="173D5E"/>
            <w:tcBorders>
              <w:top w:val="single" w:sz="4" w:color="173D5E"/>
              <w:left w:val="single" w:sz="4" w:color="173D5E"/>
              <w:bottom w:val="single" w:sz="4" w:color="173D5E"/>
              <w:right w:val="single" w:sz="4" w:color="173D5E"/>
            </w:tcBorders>
          </w:tcPr>
          <w:p>
            <w:pPr>
              <w:jc w:val="left"/>
            </w:pPr>
            <w:r>
              <w:rPr>
                <w:rFonts w:ascii="Calibri" w:hAnsi="Calibri" w:cs="Arial"/>
                <w:b/>
                <w:color w:val="FFFFFF"/>
                <w:sz w:val="21"/>
              </w:rPr>
              <w:t>Author</w:t>
            </w:r>
          </w:p>
        </w:tc>
        <w:tc>
          <w:tcPr>
            <w:tcW w:type="dxa" w:w="3685"/>
            <w:shd w:val="clear" w:color="auto" w:fill="173D5E"/>
            <w:tcBorders>
              <w:top w:val="single" w:sz="4" w:color="173D5E"/>
              <w:left w:val="single" w:sz="4" w:color="173D5E"/>
              <w:bottom w:val="single" w:sz="4" w:color="173D5E"/>
              <w:right w:val="single" w:sz="4" w:color="173D5E"/>
            </w:tcBorders>
          </w:tcPr>
          <w:p>
            <w:pPr>
              <w:jc w:val="left"/>
            </w:pPr>
            <w:r>
              <w:rPr>
                <w:rFonts w:ascii="Calibri" w:hAnsi="Calibri" w:cs="Arial"/>
                <w:b/>
                <w:color w:val="FFFFFF"/>
                <w:sz w:val="21"/>
              </w:rPr>
              <w:t>Changes</w:t>
            </w:r>
          </w:p>
        </w:tc>
      </w:tr>
      <w:tr>
        <w:tc>
          <w:tcPr>
            <w:tcW w:type="dxa" w:w="1247"/>
            <w:tcBorders>
              <w:top w:val="single" w:sz="4" w:color="BFD7E8"/>
              <w:left w:val="single" w:sz="4" w:color="BFD7E8"/>
              <w:bottom w:val="single" w:sz="4" w:color="BFD7E8"/>
              <w:right w:val="single" w:sz="4" w:color="BFD7E8"/>
            </w:tcBorders>
          </w:tcPr>
          <w:p>
            <w:r>
              <w:rPr>
                <w:rFonts w:ascii="Calibri" w:hAnsi="Calibri" w:cs="Arial"/>
                <w:b w:val="0"/>
                <w:color w:val="1F2A37"/>
                <w:sz w:val="20"/>
              </w:rPr>
              <w:t>v1.0</w:t>
            </w:r>
          </w:p>
        </w:tc>
        <w:tc>
          <w:tcPr>
            <w:tcW w:type="dxa" w:w="1587"/>
            <w:tcBorders>
              <w:top w:val="single" w:sz="4" w:color="BFD7E8"/>
              <w:left w:val="single" w:sz="4" w:color="BFD7E8"/>
              <w:bottom w:val="single" w:sz="4" w:color="BFD7E8"/>
              <w:right w:val="single" w:sz="4" w:color="BFD7E8"/>
            </w:tcBorders>
          </w:tcPr>
          <w:p>
            <w:r>
              <w:rPr>
                <w:rFonts w:ascii="Calibri" w:hAnsi="Calibri" w:cs="Arial"/>
                <w:b w:val="0"/>
                <w:color w:val="1F2A37"/>
                <w:sz w:val="20"/>
              </w:rPr>
              <w:t>17 Apr 2026</w:t>
            </w:r>
          </w:p>
        </w:tc>
        <w:tc>
          <w:tcPr>
            <w:tcW w:type="dxa" w:w="2551"/>
            <w:tcBorders>
              <w:top w:val="single" w:sz="4" w:color="BFD7E8"/>
              <w:left w:val="single" w:sz="4" w:color="BFD7E8"/>
              <w:bottom w:val="single" w:sz="4" w:color="BFD7E8"/>
              <w:right w:val="single" w:sz="4" w:color="BFD7E8"/>
            </w:tcBorders>
          </w:tcPr>
          <w:p>
            <w:r>
              <w:rPr>
                <w:rFonts w:ascii="Calibri" w:hAnsi="Calibri" w:cs="Arial"/>
                <w:b w:val="0"/>
                <w:color w:val="1F2A37"/>
                <w:sz w:val="20"/>
              </w:rPr>
              <w:t>M. Sabry (Product Owner)</w:t>
            </w:r>
          </w:p>
        </w:tc>
        <w:tc>
          <w:tcPr>
            <w:tcW w:type="dxa" w:w="3685"/>
            <w:tcBorders>
              <w:top w:val="single" w:sz="4" w:color="BFD7E8"/>
              <w:left w:val="single" w:sz="4" w:color="BFD7E8"/>
              <w:bottom w:val="single" w:sz="4" w:color="BFD7E8"/>
              <w:right w:val="single" w:sz="4" w:color="BFD7E8"/>
            </w:tcBorders>
          </w:tcPr>
          <w:p>
            <w:r>
              <w:rPr>
                <w:rFonts w:ascii="Calibri" w:hAnsi="Calibri" w:cs="Arial"/>
                <w:b w:val="0"/>
                <w:color w:val="1F2A37"/>
                <w:sz w:val="20"/>
              </w:rPr>
              <w:t>Initial extract of شيت السيستم-2.xlsx into a bilingual requirements baseline.</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