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color w:val="19D3C5"/>
          <w:sz w:val="12"/>
        </w:rPr>
        <w:t>━━━━━━━━━━━━━━━━━━━━━━━━━━━━━━━━━━━━━━━━━━━━━━━━━━━━━━━━━━━━━━━━━━━━━━━━━━━━━━━━</w:t>
      </w:r>
    </w:p>
    <w:p>
      <w:pPr>
        <w:spacing w:before="0" w:after="800"/>
        <w:jc w:val="left"/>
      </w:pPr>
      <w:r>
        <w:rPr>
          <w:rFonts w:ascii="Calibri" w:hAnsi="Calibri"/>
          <w:b w:val="0"/>
          <w:color w:val="0B1437"/>
          <w:sz w:val="12"/>
        </w:rPr>
      </w:r>
    </w:p>
    <w:p>
      <w:pPr>
        <w:spacing w:before="0" w:after="80"/>
        <w:jc w:val="left"/>
      </w:pPr>
      <w:r>
        <w:rPr>
          <w:rFonts w:ascii="Calibri" w:hAnsi="Calibri"/>
          <w:b/>
          <w:color w:val="19D3C5"/>
          <w:sz w:val="28"/>
        </w:rPr>
        <w:t>PRAXION HROS</w:t>
      </w:r>
    </w:p>
    <w:p>
      <w:pPr>
        <w:spacing w:before="0" w:after="40"/>
        <w:jc w:val="left"/>
      </w:pPr>
      <w:r>
        <w:rPr>
          <w:rFonts w:ascii="Calibri" w:hAnsi="Calibri"/>
          <w:b/>
          <w:color w:val="0B1437"/>
          <w:sz w:val="56"/>
        </w:rPr>
        <w:t>Discovery Phase Validation</w:t>
      </w:r>
    </w:p>
    <w:p>
      <w:pPr>
        <w:spacing w:before="0" w:after="400"/>
        <w:jc w:val="left"/>
      </w:pPr>
      <w:r>
        <w:rPr>
          <w:rFonts w:ascii="Calibri" w:hAnsi="Calibri"/>
          <w:b w:val="0"/>
          <w:color w:val="1E2A5E"/>
          <w:sz w:val="40"/>
        </w:rPr>
        <w:t>Stakeholder Questionnaire</w:t>
      </w:r>
    </w:p>
    <w:tbl>
      <w:tblPr>
        <w:tblStyle w:val="TableGrid"/>
        <w:tblW w:type="auto" w:w="0"/>
        <w:tblLook w:firstColumn="1" w:firstRow="1" w:lastColumn="0" w:lastRow="0" w:noHBand="0" w:noVBand="1" w:val="04A0"/>
      </w:tblPr>
      <w:tblGrid>
        <w:gridCol w:w="4824"/>
        <w:gridCol w:w="4824"/>
      </w:tblGrid>
      <w:tr>
        <w:tc>
          <w:tcPr>
            <w:tcW w:type="dxa" w:w="2592"/>
            <w:shd w:val="clear" w:color="auto" w:fill="E8ECF3"/>
          </w:tcPr>
          <w:p>
            <w:r>
              <w:rPr>
                <w:rFonts w:ascii="Calibri" w:hAnsi="Calibri"/>
                <w:b/>
                <w:color w:val="0B1437"/>
                <w:sz w:val="20"/>
              </w:rPr>
              <w:t>Department:</w:t>
            </w:r>
          </w:p>
        </w:tc>
        <w:tc>
          <w:tcPr>
            <w:tcW w:type="dxa" w:w="7200"/>
          </w:tcPr>
          <w:p>
            <w:r>
              <w:rPr>
                <w:rFonts w:ascii="Calibri" w:hAnsi="Calibri"/>
                <w:b w:val="0"/>
                <w:color w:val="0B1437"/>
                <w:sz w:val="20"/>
              </w:rPr>
              <w:t>Legal &amp; Compliance</w:t>
            </w:r>
          </w:p>
        </w:tc>
      </w:tr>
      <w:tr>
        <w:tc>
          <w:tcPr>
            <w:tcW w:type="dxa" w:w="2592"/>
            <w:shd w:val="clear" w:color="auto" w:fill="E8ECF3"/>
          </w:tcPr>
          <w:p>
            <w:r>
              <w:rPr>
                <w:rFonts w:ascii="Calibri" w:hAnsi="Calibri"/>
                <w:b/>
                <w:color w:val="0B1437"/>
                <w:sz w:val="20"/>
              </w:rPr>
              <w:t>Addressed To:</w:t>
            </w:r>
          </w:p>
        </w:tc>
        <w:tc>
          <w:tcPr>
            <w:tcW w:type="dxa" w:w="7200"/>
          </w:tcPr>
          <w:p>
            <w:r>
              <w:rPr>
                <w:rFonts w:ascii="Calibri" w:hAnsi="Calibri"/>
                <w:b w:val="0"/>
                <w:color w:val="0B1437"/>
                <w:sz w:val="20"/>
              </w:rPr>
              <w:t>Head of Legal / Legal Counsel / Compliance Officer</w:t>
            </w:r>
          </w:p>
        </w:tc>
      </w:tr>
      <w:tr>
        <w:tc>
          <w:tcPr>
            <w:tcW w:type="dxa" w:w="2592"/>
            <w:shd w:val="clear" w:color="auto" w:fill="E8ECF3"/>
          </w:tcPr>
          <w:p>
            <w:r>
              <w:rPr>
                <w:rFonts w:ascii="Calibri" w:hAnsi="Calibri"/>
                <w:b/>
                <w:color w:val="0B1437"/>
                <w:sz w:val="20"/>
              </w:rPr>
              <w:t>Modules Covered:</w:t>
            </w:r>
          </w:p>
        </w:tc>
        <w:tc>
          <w:tcPr>
            <w:tcW w:type="dxa" w:w="7200"/>
          </w:tcPr>
          <w:p>
            <w:r>
              <w:rPr>
                <w:rFonts w:ascii="Calibri" w:hAnsi="Calibri"/>
                <w:b w:val="0"/>
                <w:color w:val="0B1437"/>
                <w:sz w:val="20"/>
              </w:rPr>
              <w:t>Cross-cutting: M1 Core HRIS, M3 Onboarding/Offboarding, M6 Payroll, M8 Contractor Mgmt, M10 System Admin</w:t>
            </w:r>
          </w:p>
        </w:tc>
      </w:tr>
      <w:tr>
        <w:tc>
          <w:tcPr>
            <w:tcW w:type="dxa" w:w="2592"/>
            <w:shd w:val="clear" w:color="auto" w:fill="E8ECF3"/>
          </w:tcPr>
          <w:p>
            <w:r>
              <w:rPr>
                <w:rFonts w:ascii="Calibri" w:hAnsi="Calibri"/>
                <w:b/>
                <w:color w:val="0B1437"/>
                <w:sz w:val="20"/>
              </w:rPr>
              <w:t>Date:</w:t>
            </w:r>
          </w:p>
        </w:tc>
        <w:tc>
          <w:tcPr>
            <w:tcW w:type="dxa" w:w="7200"/>
          </w:tcPr>
          <w:p>
            <w:r>
              <w:rPr>
                <w:rFonts w:ascii="Calibri" w:hAnsi="Calibri"/>
                <w:b w:val="0"/>
                <w:color w:val="0B1437"/>
                <w:sz w:val="20"/>
              </w:rPr>
              <w:t>April 2026</w:t>
            </w:r>
          </w:p>
        </w:tc>
      </w:tr>
    </w:tbl>
    <w:p>
      <w:pPr>
        <w:spacing w:before="0" w:after="240"/>
        <w:jc w:val="left"/>
      </w:pPr>
      <w:r>
        <w:rPr>
          <w:rFonts w:ascii="Calibri" w:hAnsi="Calibri"/>
          <w:b w:val="0"/>
          <w:color w:val="0B1437"/>
          <w:sz w:val="12"/>
        </w:rPr>
      </w:r>
    </w:p>
    <w:p>
      <w:pPr>
        <w:pStyle w:val="Heading1"/>
      </w:pPr>
      <w:r>
        <w:rPr>
          <w:rFonts w:ascii="Calibri" w:hAnsi="Calibri"/>
          <w:color w:val="0B1437"/>
        </w:rPr>
        <w:t>Introduction</w:t>
      </w:r>
    </w:p>
    <w:p>
      <w:pPr>
        <w:spacing w:before="0" w:after="160"/>
        <w:jc w:val="left"/>
      </w:pPr>
      <w:r>
        <w:rPr>
          <w:rFonts w:ascii="Calibri" w:hAnsi="Calibri"/>
          <w:b w:val="0"/>
          <w:color w:val="6B7A99"/>
          <w:sz w:val="21"/>
        </w:rPr>
        <w:t>As part of the Praxion HROS discovery phase completion, we are seeking your validation on legal, regulatory, and compliance aspects that cut across multiple modules. Your input ensures the system meets all applicable laws, protects employee data, and maintains proper governance controls before we proceed to the build phase.</w:t>
      </w:r>
    </w:p>
    <w:p>
      <w:pPr>
        <w:spacing w:before="0" w:after="240"/>
        <w:jc w:val="left"/>
      </w:pPr>
      <w:r>
        <w:rPr>
          <w:rFonts w:ascii="Calibri" w:hAnsi="Calibri"/>
          <w:b w:val="0"/>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r>
        <w:br w:type="page"/>
      </w:r>
    </w:p>
    <w:p>
      <w:pPr>
        <w:pStyle w:val="Heading1"/>
      </w:pPr>
      <w:r>
        <w:rPr>
          <w:rFonts w:ascii="Calibri" w:hAnsi="Calibri"/>
          <w:color w:val="0B1437"/>
        </w:rPr>
        <w:t>1. Labour Law &amp; Regulatory Compliance</w:t>
      </w:r>
    </w:p>
    <w:p>
      <w:pPr>
        <w:spacing w:before="0" w:after="160"/>
        <w:jc w:val="left"/>
      </w:pPr>
      <w:r>
        <w:rPr>
          <w:rFonts w:ascii="Calibri" w:hAnsi="Calibri"/>
          <w:b w:val="0"/>
          <w:color w:val="6B7A99"/>
          <w:sz w:val="21"/>
        </w:rPr>
        <w:t>Praxion HROS must comply with Egyptian labour law and applicable international regulations. Please confirm the following requirements: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Egyptian Labour Law requirements are fully captured in the Payroll (M6) BRD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Social insurance calculation rules and employer/employee contribution rates are correct</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Overtime rules (daily/weekly caps, premium rates) are accurately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Termination and end-of-service benefit calculations comply with current law</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Probation period rules and notice period requirements are properly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6</w:t>
            </w:r>
          </w:p>
        </w:tc>
        <w:tc>
          <w:tcPr>
            <w:tcW w:type="dxa" w:w="2412"/>
          </w:tcPr>
          <w:p>
            <w:pPr>
              <w:spacing w:after="40" w:before="40"/>
            </w:pPr>
            <w:r>
              <w:rPr>
                <w:rFonts w:ascii="Calibri" w:hAnsi="Calibri"/>
                <w:sz w:val="18"/>
              </w:rPr>
              <w:t>Working hours, leave entitlements (annual, sick, maternity/paternity) are correctly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7</w:t>
            </w:r>
          </w:p>
        </w:tc>
        <w:tc>
          <w:tcPr>
            <w:tcW w:type="dxa" w:w="2412"/>
          </w:tcPr>
          <w:p>
            <w:pPr>
              <w:spacing w:after="40" w:before="40"/>
            </w:pPr>
            <w:r>
              <w:rPr>
                <w:rFonts w:ascii="Calibri" w:hAnsi="Calibri"/>
                <w:sz w:val="18"/>
              </w:rPr>
              <w:t>Employee grievance and disciplinary procedures are captured in Performance (M4) module</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regulatory requirements or recent legislative changes we should account for:</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2. Data Privacy &amp; Protection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Personal data categories collected in Core HRIS (M1) are limited to what is necessary and lawful</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Data retention periods for employee records, payroll data, and audit logs are defined and compliant</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Employee consent mechanisms for data collection and processing are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Data subject rights (access, correction, deletion requests) are supported by system workflows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Cross-border data transfer requirements are addressed (if applicable)</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6</w:t>
            </w:r>
          </w:p>
        </w:tc>
        <w:tc>
          <w:tcPr>
            <w:tcW w:type="dxa" w:w="2412"/>
          </w:tcPr>
          <w:p>
            <w:pPr>
              <w:spacing w:after="40" w:before="40"/>
            </w:pPr>
            <w:r>
              <w:rPr>
                <w:rFonts w:ascii="Calibri" w:hAnsi="Calibri"/>
                <w:sz w:val="18"/>
              </w:rPr>
              <w:t>Data breach notification procedures and timelines are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7</w:t>
            </w:r>
          </w:p>
        </w:tc>
        <w:tc>
          <w:tcPr>
            <w:tcW w:type="dxa" w:w="2412"/>
          </w:tcPr>
          <w:p>
            <w:pPr>
              <w:spacing w:after="40" w:before="40"/>
            </w:pPr>
            <w:r>
              <w:rPr>
                <w:rFonts w:ascii="Calibri" w:hAnsi="Calibri"/>
                <w:sz w:val="18"/>
              </w:rPr>
              <w:t>Third-party data processor agreements and requirements are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data privacy requirements or concerns: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3. Contract &amp; Employment Compliance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Employment contract templates and mandatory clauses are defined for Onboarding (M3)</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Contractor agreement requirements are captured in Contractor Management (M8)</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Non-compete, NDA, and IP assignment clause handling is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Contract renewal and amendment workflows comply with legal requirements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Fixed-term vs indefinite contract rules are properly implemented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contract compliance requirements: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4. Audit Trail &amp; Governance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Audit log requirements (what actions, what data, retention period) are sufficient</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Segregation of Duties (8 SoD conflict rules) are appropriate for compliance</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Access review and recertification cadence meets regulatory requirements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Document retention and archival policies are defined and compliant</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Reporting requirements for regulatory submissions (social insurance, tax) are captured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audit or governance requirements: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5. Legal Risk &amp; Liability</w:t>
      </w:r>
    </w:p>
    <w:p>
      <w:pPr>
        <w:spacing w:before="120" w:after="120"/>
        <w:jc w:val="left"/>
      </w:pPr>
      <w:r>
        <w:rPr>
          <w:rFonts w:ascii="Calibri" w:hAnsi="Calibri"/>
          <w:b/>
          <w:color w:val="2F6BFF"/>
          <w:sz w:val="20"/>
        </w:rPr>
        <w:t>Are there any legal risks or liability concerns with the proposed system design?</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pending or anticipated regulatory changes that could affect the system?</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multi-tenant data isolation from a legal/compliance perspective?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120" w:after="120"/>
        <w:jc w:val="left"/>
      </w:pPr>
      <w:r>
        <w:rPr>
          <w:rFonts w:ascii="Calibri" w:hAnsi="Calibri"/>
          <w:b/>
          <w:color w:val="2F6BFF"/>
          <w:sz w:val="20"/>
        </w:rPr>
        <w:t>Are there specific industry certifications or standards we should target (ISO 27001, SOC 2, etc.)?</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Sign-Off</w:t>
      </w:r>
    </w:p>
    <w:p>
      <w:pPr>
        <w:spacing w:before="0" w:after="320"/>
        <w:jc w:val="left"/>
      </w:pPr>
      <w:r>
        <w:rPr>
          <w:rFonts w:ascii="Calibri" w:hAnsi="Calibri"/>
          <w:b w:val="0"/>
          <w:color w:val="6B7A99"/>
          <w:sz w:val="21"/>
        </w:rPr>
        <w:t>By signing below, I confirm that I have reviewed the discovery phase outputs for the areas listed above and provided my feedback. I understand that approved items will proceed to the build phase as defined.</w:t>
      </w:r>
    </w:p>
    <w:tbl>
      <w:tblPr>
        <w:tblStyle w:val="TableGrid"/>
        <w:tblW w:type="auto" w:w="0"/>
        <w:tblLook w:firstColumn="1" w:firstRow="1" w:lastColumn="0" w:lastRow="0" w:noHBand="0" w:noVBand="1" w:val="04A0"/>
      </w:tblPr>
      <w:tblGrid>
        <w:gridCol w:w="4824"/>
        <w:gridCol w:w="4824"/>
      </w:tblGrid>
      <w:tr>
        <w:tc>
          <w:tcPr>
            <w:tcW w:type="dxa" w:w="2160"/>
            <w:shd w:val="clear" w:color="auto" w:fill="E8ECF3"/>
          </w:tcPr>
          <w:p>
            <w:r>
              <w:rPr>
                <w:rFonts w:ascii="Calibri" w:hAnsi="Calibri"/>
                <w:b/>
                <w:sz w:val="20"/>
              </w:rPr>
              <w:t>Name:</w:t>
            </w:r>
          </w:p>
        </w:tc>
        <w:tc>
          <w:tcPr>
            <w:tcW w:type="dxa" w:w="7488"/>
          </w:tcPr>
          <w:p/>
        </w:tc>
      </w:tr>
      <w:tr>
        <w:tc>
          <w:tcPr>
            <w:tcW w:type="dxa" w:w="2160"/>
            <w:shd w:val="clear" w:color="auto" w:fill="E8ECF3"/>
          </w:tcPr>
          <w:p>
            <w:r>
              <w:rPr>
                <w:rFonts w:ascii="Calibri" w:hAnsi="Calibri"/>
                <w:b/>
                <w:sz w:val="20"/>
              </w:rPr>
              <w:t>Title / Role:</w:t>
            </w:r>
          </w:p>
        </w:tc>
        <w:tc>
          <w:tcPr>
            <w:tcW w:type="dxa" w:w="7488"/>
          </w:tcPr>
          <w:p/>
        </w:tc>
      </w:tr>
      <w:tr>
        <w:tc>
          <w:tcPr>
            <w:tcW w:type="dxa" w:w="2160"/>
            <w:shd w:val="clear" w:color="auto" w:fill="E8ECF3"/>
          </w:tcPr>
          <w:p>
            <w:r>
              <w:rPr>
                <w:rFonts w:ascii="Calibri" w:hAnsi="Calibri"/>
                <w:b/>
                <w:sz w:val="20"/>
              </w:rPr>
              <w:t>Signature:</w:t>
            </w:r>
          </w:p>
        </w:tc>
        <w:tc>
          <w:tcPr>
            <w:tcW w:type="dxa" w:w="7488"/>
          </w:tcPr>
          <w:p>
            <w:pPr>
              <w:spacing w:after="600"/>
            </w:pPr>
          </w:p>
        </w:tc>
      </w:tr>
      <w:tr>
        <w:tc>
          <w:tcPr>
            <w:tcW w:type="dxa" w:w="2160"/>
            <w:shd w:val="clear" w:color="auto" w:fill="E8ECF3"/>
          </w:tcPr>
          <w:p>
            <w:r>
              <w:rPr>
                <w:rFonts w:ascii="Calibri" w:hAnsi="Calibri"/>
                <w:b/>
                <w:sz w:val="20"/>
              </w:rPr>
              <w:t>Date:</w:t>
            </w:r>
          </w:p>
        </w:tc>
        <w:tc>
          <w:tcPr>
            <w:tcW w:type="dxa" w:w="7488"/>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4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