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◆ PRAXION</w:t>
      </w:r>
      <w:r>
        <w:t xml:space="preserve"> </w:t>
      </w:r>
      <w:r>
        <w:t xml:space="preserve">HR OPERATING SYSTEM</w:t>
      </w:r>
    </w:p>
    <w:p>
      <w:pPr>
        <w:pStyle w:val="BodyText"/>
      </w:pPr>
      <w:r>
        <w:rPr>
          <w:b/>
        </w:rPr>
        <w:t xml:space="preserve">MODULE M13 · PHASE 3</w:t>
      </w:r>
    </w:p>
    <w:p>
      <w:pPr>
        <w:pStyle w:val="BodyText"/>
      </w:pPr>
      <w:r>
        <w:rPr>
          <w:b/>
        </w:rPr>
        <w:t xml:space="preserve">Billing and Invoicing</w:t>
      </w:r>
    </w:p>
    <w:p>
      <w:pPr>
        <w:pStyle w:val="BodyText"/>
      </w:pPr>
      <w:r>
        <w:t xml:space="preserve">Service billing, invoice generation, payment tracking and revenue</w:t>
      </w:r>
      <w:r>
        <w:t xml:space="preserve"> </w:t>
      </w:r>
      <w:r>
        <w:t xml:space="preserve">recognition for the Egybell provider tenant and its client portfolio.</w:t>
      </w:r>
    </w:p>
    <w:p>
      <w:pPr>
        <w:pStyle w:val="BodyText"/>
      </w:pPr>
      <w:r>
        <w:rPr>
          <w:b/>
        </w:rPr>
        <w:t xml:space="preserve">BUSINESS REQUIREMENTS DOCUMENT</w:t>
      </w:r>
    </w:p>
    <w:p>
      <w:pPr>
        <w:pStyle w:val="BodyText"/>
      </w:pPr>
      <w:r>
        <w:t xml:space="preserve">Execution. Intelligence. Flow.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Praxion — HR Operating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Egybell (Provider Tenant)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M13 — Billing and Invoicing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 PHASE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3 — Money 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VERSION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 — Legacy Payroll Integration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 Stakeholder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Praxion Delivery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Sabry · mohamed.sabry@praxionhr.com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DATE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 April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GO-LIVE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March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Confidential — Egybell Internal + Approved Reviewers</w:t>
            </w:r>
          </w:p>
        </w:tc>
      </w:tr>
    </w:tbl>
    <w:p>
      <w:pPr>
        <w:pStyle w:val="BodyText"/>
      </w:pPr>
      <w:r>
        <w:rPr>
          <w:b/>
        </w:rPr>
        <w:t xml:space="preserve">Document Control</w:t>
      </w:r>
    </w:p>
    <w:p>
      <w:pPr>
        <w:pStyle w:val="BodyText"/>
      </w:pPr>
      <w:r>
        <w:t xml:space="preserve">This Business Requirements Document forms part of the Praxion Discovery</w:t>
      </w:r>
      <w:r>
        <w:t xml:space="preserve"> </w:t>
      </w:r>
      <w:r>
        <w:t xml:space="preserve">Baseline v3 and must be kept under version control. Any amendment after</w:t>
      </w:r>
      <w:r>
        <w:t xml:space="preserve"> </w:t>
      </w:r>
      <w:r>
        <w:t xml:space="preserve">sign-off follows the Praxion Change Control process.</w:t>
      </w:r>
    </w:p>
    <w:p>
      <w:pPr>
        <w:pStyle w:val="BodyText"/>
      </w:pPr>
      <w:r>
        <w:rPr>
          <w:b/>
        </w:rPr>
        <w:t xml:space="preserve">Revision History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  <w:r>
              <w:t xml:space="preserve"> </w:t>
            </w:r>
            <w:r>
              <w:t xml:space="preserve">**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28 Mar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from discovery workshops Dr</w:t>
            </w:r>
          </w:p>
        </w:tc>
        <w:tc>
          <w:p>
            <w:pPr>
              <w:pStyle w:val="Compact"/>
              <w:jc w:val="left"/>
            </w:pPr>
            <w:r>
              <w:t xml:space="preserve">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08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Internal QA review, compliance mapping added Re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10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Discovery baseline — issued for stakeholder review Is</w:t>
            </w:r>
          </w:p>
        </w:tc>
        <w:tc>
          <w:p>
            <w:pPr>
              <w:pStyle w:val="Compact"/>
              <w:jc w:val="left"/>
            </w:pPr>
            <w:r>
              <w:t xml:space="preserve">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19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Added payroll-triggered invoice contract, markup-rate + VAT model, dual-currency billing, and M6 integration surface Is</w:t>
            </w:r>
          </w:p>
        </w:tc>
        <w:tc>
          <w:p>
            <w:pPr>
              <w:pStyle w:val="Compact"/>
              <w:jc w:val="left"/>
            </w:pPr>
            <w:r>
              <w:t xml:space="preserve">sued</w:t>
            </w:r>
          </w:p>
        </w:tc>
      </w:tr>
    </w:tbl>
    <w:p>
      <w:pPr>
        <w:pStyle w:val="BodyText"/>
      </w:pPr>
      <w:r>
        <w:rPr>
          <w:b/>
        </w:rPr>
        <w:t xml:space="preserve">Approvers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Signature /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Sabry</w:t>
            </w:r>
          </w:p>
        </w:tc>
        <w:tc>
          <w:p>
            <w:pPr>
              <w:pStyle w:val="Compact"/>
              <w:jc w:val="left"/>
            </w:pPr>
            <w:r>
              <w:t xml:space="preserve">Overall Praxion programme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CEO</w:t>
            </w:r>
          </w:p>
        </w:tc>
        <w:tc>
          <w:p>
            <w:pPr>
              <w:pStyle w:val="Compact"/>
              <w:jc w:val="left"/>
            </w:pPr>
            <w:r>
              <w:t xml:space="preserve">Egybell Executive</w:t>
            </w:r>
          </w:p>
        </w:tc>
        <w:tc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Financial approver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HR Director</w:t>
            </w:r>
          </w:p>
        </w:tc>
        <w:tc>
          <w:p>
            <w:pPr>
              <w:pStyle w:val="Compact"/>
              <w:jc w:val="left"/>
            </w:pPr>
            <w:r>
              <w:t xml:space="preserve">HR Director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CIO / IT Lead</w:t>
            </w:r>
          </w:p>
        </w:tc>
        <w:tc>
          <w:p>
            <w:pPr>
              <w:pStyle w:val="Compact"/>
              <w:jc w:val="left"/>
            </w:pPr>
            <w:r>
              <w:t xml:space="preserve">IT Leadership</w:t>
            </w:r>
          </w:p>
        </w:tc>
        <w:tc>
          <w:p>
            <w:pPr>
              <w:pStyle w:val="Compact"/>
              <w:jc w:val="left"/>
            </w:pPr>
            <w:r>
              <w:t xml:space="preserve">Technical approver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Lead (Praxion)</w:t>
            </w:r>
          </w:p>
        </w:tc>
        <w:tc>
          <w:p>
            <w:pPr>
              <w:pStyle w:val="Compact"/>
              <w:jc w:val="left"/>
            </w:pPr>
            <w:r>
              <w:t xml:space="preserve">Delivery PM</w:t>
            </w:r>
          </w:p>
        </w:tc>
        <w:tc>
          <w:p>
            <w:pPr>
              <w:pStyle w:val="Compact"/>
              <w:jc w:val="left"/>
            </w:pPr>
            <w:r>
              <w:t xml:space="preserve">Delivery accountability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</w:tbl>
    <w:p>
      <w:pPr>
        <w:pStyle w:val="BodyText"/>
      </w:pPr>
      <w:r>
        <w:rPr>
          <w:b/>
        </w:rPr>
        <w:t xml:space="preserve">Distribution List</w:t>
      </w:r>
    </w:p>
    <w:p>
      <w:pPr>
        <w:numPr>
          <w:ilvl w:val="0"/>
          <w:numId w:val="1001"/>
        </w:numPr>
      </w:pPr>
      <w:r>
        <w:t xml:space="preserve">Egybell Executive Sponsors (CEO, COO, CFO)</w:t>
      </w:r>
    </w:p>
    <w:p>
      <w:pPr>
        <w:numPr>
          <w:ilvl w:val="0"/>
          <w:numId w:val="1001"/>
        </w:numPr>
      </w:pPr>
      <w:r>
        <w:t xml:space="preserve">Egybell Finance and Operations Leadership</w:t>
      </w:r>
    </w:p>
    <w:p>
      <w:pPr>
        <w:numPr>
          <w:ilvl w:val="0"/>
          <w:numId w:val="1001"/>
        </w:numPr>
      </w:pPr>
      <w:r>
        <w:t xml:space="preserve">Egybell Client Relationship Managers</w:t>
      </w:r>
    </w:p>
    <w:p>
      <w:pPr>
        <w:numPr>
          <w:ilvl w:val="0"/>
          <w:numId w:val="1001"/>
        </w:numPr>
      </w:pPr>
      <w:r>
        <w:t xml:space="preserve">Praxion Delivery Team (PM, Architects, Leads)</w:t>
      </w:r>
    </w:p>
    <w:p>
      <w:pPr>
        <w:numPr>
          <w:ilvl w:val="0"/>
          <w:numId w:val="1001"/>
        </w:numPr>
      </w:pPr>
      <w:r>
        <w:t xml:space="preserve">Nominated Pilot Client Stakeholders (confidentiality-bound)</w:t>
      </w:r>
    </w:p>
    <w:p>
      <w:pPr>
        <w:numPr>
          <w:ilvl w:val="0"/>
          <w:numId w:val="1001"/>
        </w:numPr>
      </w:pPr>
      <w:r>
        <w:t xml:space="preserve">External Auditors — on request only</w:t>
      </w:r>
    </w:p>
    <w:p>
      <w:pPr>
        <w:pStyle w:val="FirstParagraph"/>
      </w:pPr>
      <w:r>
        <w:rPr>
          <w:b/>
        </w:rPr>
        <w:t xml:space="preserve">Table of Contents</w:t>
      </w:r>
    </w:p>
    <w:p>
      <w:pPr>
        <w:pStyle w:val="BodyText"/>
      </w:pPr>
      <w:r>
        <w:rPr>
          <w:b/>
        </w:rPr>
        <w:t xml:space="preserve">1.</w:t>
      </w:r>
      <w:r>
        <w:t xml:space="preserve"> </w:t>
      </w:r>
      <w:r>
        <w:t xml:space="preserve">Executive Summary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t xml:space="preserve">Introduction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Business Context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Stakeholders and Users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Scope</w:t>
      </w:r>
    </w:p>
    <w:p>
      <w:pPr>
        <w:pStyle w:val="BodyText"/>
      </w:pPr>
      <w:r>
        <w:rPr>
          <w:b/>
        </w:rPr>
        <w:t xml:space="preserve">6.</w:t>
      </w:r>
      <w:r>
        <w:t xml:space="preserve"> </w:t>
      </w:r>
      <w:r>
        <w:t xml:space="preserve">Business Rules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Functional Requirements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Non-Functional Requirements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User Stories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Process Flows</w:t>
      </w:r>
    </w:p>
    <w:p>
      <w:pPr>
        <w:pStyle w:val="BodyText"/>
      </w:pPr>
      <w:r>
        <w:rPr>
          <w:b/>
        </w:rPr>
        <w:t xml:space="preserve">11.</w:t>
      </w:r>
      <w:r>
        <w:t xml:space="preserve"> </w:t>
      </w:r>
      <w:r>
        <w:t xml:space="preserve">Data Requirements</w:t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Integrations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Compliance</w:t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User Acceptance Testing</w:t>
      </w:r>
    </w:p>
    <w:p>
      <w:pPr>
        <w:pStyle w:val="BodyText"/>
      </w:pPr>
      <w:r>
        <w:rPr>
          <w:b/>
        </w:rPr>
        <w:t xml:space="preserve">15.</w:t>
      </w:r>
      <w:r>
        <w:t xml:space="preserve"> </w:t>
      </w:r>
      <w:r>
        <w:t xml:space="preserve">Dependencies</w:t>
      </w:r>
    </w:p>
    <w:p>
      <w:pPr>
        <w:pStyle w:val="BodyText"/>
      </w:pPr>
      <w:r>
        <w:rPr>
          <w:b/>
        </w:rPr>
        <w:t xml:space="preserve">16.</w:t>
      </w:r>
      <w:r>
        <w:t xml:space="preserve"> </w:t>
      </w:r>
      <w:r>
        <w:t xml:space="preserve">Risks and Mitigations</w:t>
      </w:r>
    </w:p>
    <w:p>
      <w:pPr>
        <w:pStyle w:val="BodyText"/>
      </w:pPr>
      <w:r>
        <w:rPr>
          <w:b/>
        </w:rPr>
        <w:t xml:space="preserve">17.</w:t>
      </w:r>
      <w:r>
        <w:t xml:space="preserve"> </w:t>
      </w:r>
      <w:r>
        <w:t xml:space="preserve">Appendix</w:t>
      </w:r>
    </w:p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Module M13 — Billing and Invoicing — is the revenue-facing capability</w:t>
      </w:r>
      <w:r>
        <w:t xml:space="preserve"> </w:t>
      </w:r>
      <w:r>
        <w:t xml:space="preserve">of the Praxion HR Operating System. It transforms the operational output</w:t>
      </w:r>
      <w:r>
        <w:t xml:space="preserve"> </w:t>
      </w:r>
      <w:r>
        <w:t xml:space="preserve">of HR services (managed payroll, contractor administration, benefits</w:t>
      </w:r>
      <w:r>
        <w:t xml:space="preserve"> </w:t>
      </w:r>
      <w:r>
        <w:t xml:space="preserve">administration, recruiting services) into auditable, tax-compliant</w:t>
      </w:r>
      <w:r>
        <w:t xml:space="preserve"> </w:t>
      </w:r>
      <w:r>
        <w:t xml:space="preserve">invoices for Egybell’s client portfolio, and tracks collection through</w:t>
      </w:r>
      <w:r>
        <w:t xml:space="preserve"> </w:t>
      </w:r>
      <w:r>
        <w:t xml:space="preserve">to revenue recognition.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</w:rPr>
        <w:t xml:space="preserve">v2.0</w:t>
      </w:r>
      <w:r>
        <w:t xml:space="preserve"> </w:t>
      </w:r>
      <w:r>
        <w:t xml:space="preserve">the module is re-scoped around a concrete integration</w:t>
      </w:r>
      <w:r>
        <w:t xml:space="preserve"> </w:t>
      </w:r>
      <w:r>
        <w:t xml:space="preserve">surface with M6 — Payroll &amp; Compensation. The legacy Egybell payroll</w:t>
      </w:r>
      <w:r>
        <w:t xml:space="preserve"> </w:t>
      </w:r>
      <w:r>
        <w:t xml:space="preserve">walkthrough confirmed that a finalised client payroll run is the single</w:t>
      </w:r>
      <w:r>
        <w:t xml:space="preserve"> </w:t>
      </w:r>
      <w:r>
        <w:t xml:space="preserve">largest trigger event for client invoicing, and that Egybell currently</w:t>
      </w:r>
      <w:r>
        <w:t xml:space="preserve"> </w:t>
      </w:r>
      <w:r>
        <w:t xml:space="preserve">issues two artefacts at the point of payroll release: the employee</w:t>
      </w:r>
      <w:r>
        <w:t xml:space="preserve"> </w:t>
      </w:r>
      <w:r>
        <w:t xml:space="preserve">payslip (employee-facing) and the client invoice (client-facing). In the</w:t>
      </w:r>
      <w:r>
        <w:t xml:space="preserve"> </w:t>
      </w:r>
      <w:r>
        <w:t xml:space="preserve">Praxion model these two artefacts remain bundled from a process</w:t>
      </w:r>
      <w:r>
        <w:t xml:space="preserve"> </w:t>
      </w:r>
      <w:r>
        <w:t xml:space="preserve">perspective (single release event) but are</w:t>
      </w:r>
      <w:r>
        <w:t xml:space="preserve"> </w:t>
      </w:r>
      <w:r>
        <w:rPr>
          <w:b/>
        </w:rPr>
        <w:t xml:space="preserve">cleanly separated at the</w:t>
      </w:r>
      <w:r>
        <w:rPr>
          <w:b/>
        </w:rPr>
        <w:t xml:space="preserve"> </w:t>
      </w:r>
      <w:r>
        <w:rPr>
          <w:b/>
        </w:rPr>
        <w:t xml:space="preserve">module boundary</w:t>
      </w:r>
      <w:r>
        <w:t xml:space="preserve"> </w:t>
      </w:r>
      <w:r>
        <w:t xml:space="preserve">— M6 owns the payroll completion, M13 owns the</w:t>
      </w:r>
      <w:r>
        <w:t xml:space="preserve"> </w:t>
      </w:r>
      <w:r>
        <w:t xml:space="preserve">invoice. The contract between them is the</w:t>
      </w:r>
      <w:r>
        <w:t xml:space="preserve"> </w:t>
      </w:r>
      <w:r>
        <w:rPr>
          <w:b/>
        </w:rPr>
        <w:t xml:space="preserve">Payroll-Triggered Invoice</w:t>
      </w:r>
      <w:r>
        <w:rPr>
          <w:b/>
        </w:rPr>
        <w:t xml:space="preserve"> </w:t>
      </w:r>
      <w:r>
        <w:rPr>
          <w:b/>
        </w:rPr>
        <w:t xml:space="preserve">Contract</w:t>
      </w:r>
      <w:r>
        <w:t xml:space="preserve"> </w:t>
      </w:r>
      <w:r>
        <w:t xml:space="preserve">documented in §12.1.</w:t>
      </w:r>
    </w:p>
    <w:p>
      <w:pPr>
        <w:pStyle w:val="BodyText"/>
      </w:pPr>
      <w:r>
        <w:t xml:space="preserve">The module supports dual-currency billing (EGP / USD), VAT handling at</w:t>
      </w:r>
      <w:r>
        <w:t xml:space="preserve"> </w:t>
      </w:r>
      <w:r>
        <w:t xml:space="preserve">14% (Egypt), a configurable per-client markup-rate model that tracks</w:t>
      </w:r>
      <w:r>
        <w:t xml:space="preserve"> </w:t>
      </w:r>
      <w:r>
        <w:t xml:space="preserve">Egybell’s commercial agreements, and a structured invoice lifecycle</w:t>
      </w:r>
      <w:r>
        <w:t xml:space="preserve"> </w:t>
      </w:r>
      <w:r>
        <w:t xml:space="preserve">(Draft → Issued → Sent → Paid / Overdue / Disputed / Cancelled) with</w:t>
      </w:r>
      <w:r>
        <w:t xml:space="preserve"> </w:t>
      </w:r>
      <w:r>
        <w:t xml:space="preserve">tamper-evident audit history.</w:t>
      </w:r>
    </w:p>
    <w:p>
      <w:pPr>
        <w:pStyle w:val="BodyText"/>
      </w:pPr>
      <w:r>
        <w:t xml:space="preserve">The v2 update does not change the overall module shape; it hardens the</w:t>
      </w:r>
      <w:r>
        <w:t xml:space="preserve"> </w:t>
      </w:r>
      <w:r>
        <w:t xml:space="preserve">contract surface, adds the markup / VAT / currency attributes that</w:t>
      </w:r>
      <w:r>
        <w:t xml:space="preserve"> </w:t>
      </w:r>
      <w:r>
        <w:t xml:space="preserve">Egybell’s finance team already uses, and makes explicit that every</w:t>
      </w:r>
      <w:r>
        <w:t xml:space="preserve"> </w:t>
      </w:r>
      <w:r>
        <w:t xml:space="preserve">payroll release can generate a corresponding invoice without manual</w:t>
      </w:r>
      <w:r>
        <w:t xml:space="preserve"> </w:t>
      </w:r>
      <w:r>
        <w:t xml:space="preserve">re-entry.</w:t>
      </w:r>
    </w:p>
    <w:p>
      <w:pPr>
        <w:pStyle w:val="Heading1"/>
      </w:pPr>
      <w:bookmarkStart w:id="21" w:name="introduction"/>
      <w:r>
        <w:t xml:space="preserve">2. Introduction</w:t>
      </w:r>
      <w:bookmarkEnd w:id="21"/>
    </w:p>
    <w:p>
      <w:pPr>
        <w:pStyle w:val="Heading2"/>
      </w:pPr>
      <w:bookmarkStart w:id="22" w:name="purpose"/>
      <w:r>
        <w:t xml:space="preserve">2.1 Purpose</w:t>
      </w:r>
      <w:bookmarkEnd w:id="22"/>
    </w:p>
    <w:p>
      <w:pPr>
        <w:pStyle w:val="FirstParagraph"/>
      </w:pPr>
      <w:r>
        <w:t xml:space="preserve">This document defines the business requirements for the Billing and</w:t>
      </w:r>
      <w:r>
        <w:t xml:space="preserve"> </w:t>
      </w:r>
      <w:r>
        <w:t xml:space="preserve">Invoicing module (M13) of the Praxion HR Operating System. It describes</w:t>
      </w:r>
      <w:r>
        <w:t xml:space="preserve"> </w:t>
      </w:r>
      <w:r>
        <w:t xml:space="preserve">how Egybell, as the provider tenant, bills its client organizations for</w:t>
      </w:r>
      <w:r>
        <w:t xml:space="preserve"> </w:t>
      </w:r>
      <w:r>
        <w:t xml:space="preserve">HR services delivered through Praxion — including managed payroll,</w:t>
      </w:r>
      <w:r>
        <w:t xml:space="preserve"> </w:t>
      </w:r>
      <w:r>
        <w:t xml:space="preserve">contractor administration, expense pass-through, recruitment fees, and</w:t>
      </w:r>
      <w:r>
        <w:t xml:space="preserve"> </w:t>
      </w:r>
      <w:r>
        <w:t xml:space="preserve">any additional professional services.</w:t>
      </w:r>
    </w:p>
    <w:p>
      <w:pPr>
        <w:pStyle w:val="BodyText"/>
      </w:pPr>
      <w:r>
        <w:t xml:space="preserve">The document captures business rules, functional requirements,</w:t>
      </w:r>
      <w:r>
        <w:t xml:space="preserve"> </w:t>
      </w:r>
      <w:r>
        <w:t xml:space="preserve">non-functional requirements, user journeys, integration points</w:t>
      </w:r>
      <w:r>
        <w:t xml:space="preserve"> </w:t>
      </w:r>
      <w:r>
        <w:t xml:space="preserve">(particularly with M6 Payroll, M7 Benefits and Expenses, M8 Contractor</w:t>
      </w:r>
      <w:r>
        <w:t xml:space="preserve"> </w:t>
      </w:r>
      <w:r>
        <w:t xml:space="preserve">Management, and M9 Analytics), compliance obligations, and acceptance</w:t>
      </w:r>
      <w:r>
        <w:t xml:space="preserve"> </w:t>
      </w:r>
      <w:r>
        <w:t xml:space="preserve">criteria.</w:t>
      </w:r>
    </w:p>
    <w:p>
      <w:pPr>
        <w:pStyle w:val="Heading2"/>
      </w:pPr>
      <w:bookmarkStart w:id="23" w:name="scope-of-the-document"/>
      <w:r>
        <w:t xml:space="preserve">2.2 Scope of the Document</w:t>
      </w:r>
      <w:bookmarkEnd w:id="23"/>
    </w:p>
    <w:p>
      <w:pPr>
        <w:pStyle w:val="FirstParagraph"/>
      </w:pPr>
      <w:r>
        <w:t xml:space="preserve">This BRD covers:</w:t>
      </w:r>
    </w:p>
    <w:p>
      <w:pPr>
        <w:numPr>
          <w:ilvl w:val="0"/>
          <w:numId w:val="1002"/>
        </w:numPr>
      </w:pPr>
      <w:r>
        <w:t xml:space="preserve">Client billing configuration (markup rates, VAT handling, currency,</w:t>
      </w:r>
      <w:r>
        <w:t xml:space="preserve"> </w:t>
      </w:r>
      <w:r>
        <w:t xml:space="preserve">payment terms, billing cadence).</w:t>
      </w:r>
    </w:p>
    <w:p>
      <w:pPr>
        <w:numPr>
          <w:ilvl w:val="0"/>
          <w:numId w:val="1002"/>
        </w:numPr>
      </w:pPr>
      <w:r>
        <w:t xml:space="preserve">Invoice generation triggers — scheduled (monthly), event-driven</w:t>
      </w:r>
      <w:r>
        <w:t xml:space="preserve"> </w:t>
      </w:r>
      <w:r>
        <w:t xml:space="preserve">(payroll release, contractor payment, placement closed), and manual.</w:t>
      </w:r>
    </w:p>
    <w:p>
      <w:pPr>
        <w:numPr>
          <w:ilvl w:val="0"/>
          <w:numId w:val="1002"/>
        </w:numPr>
      </w:pPr>
      <w:r>
        <w:t xml:space="preserve">The Payroll-Triggered Invoice Contract with M6.</w:t>
      </w:r>
    </w:p>
    <w:p>
      <w:pPr>
        <w:numPr>
          <w:ilvl w:val="0"/>
          <w:numId w:val="1002"/>
        </w:numPr>
      </w:pPr>
      <w:r>
        <w:t xml:space="preserve">Invoice lifecycle and dispute handling.</w:t>
      </w:r>
    </w:p>
    <w:p>
      <w:pPr>
        <w:numPr>
          <w:ilvl w:val="0"/>
          <w:numId w:val="1002"/>
        </w:numPr>
      </w:pPr>
      <w:r>
        <w:t xml:space="preserve">Payment tracking (receipts, partial payments, over-payments,</w:t>
      </w:r>
      <w:r>
        <w:t xml:space="preserve"> </w:t>
      </w:r>
      <w:r>
        <w:t xml:space="preserve">refunds).</w:t>
      </w:r>
    </w:p>
    <w:p>
      <w:pPr>
        <w:numPr>
          <w:ilvl w:val="0"/>
          <w:numId w:val="1002"/>
        </w:numPr>
      </w:pPr>
      <w:r>
        <w:t xml:space="preserve">Revenue recognition hand-off to external accounting (not full GL</w:t>
      </w:r>
      <w:r>
        <w:t xml:space="preserve"> </w:t>
      </w:r>
      <w:r>
        <w:t xml:space="preserve">replacement).</w:t>
      </w:r>
    </w:p>
    <w:p>
      <w:pPr>
        <w:numPr>
          <w:ilvl w:val="0"/>
          <w:numId w:val="1002"/>
        </w:numPr>
      </w:pPr>
      <w:r>
        <w:t xml:space="preserve">Reporting (aged receivables, client profitability, revenue by</w:t>
      </w:r>
      <w:r>
        <w:t xml:space="preserve"> </w:t>
      </w:r>
      <w:r>
        <w:t xml:space="preserve">service line).</w:t>
      </w:r>
    </w:p>
    <w:p>
      <w:pPr>
        <w:pStyle w:val="FirstParagraph"/>
      </w:pPr>
      <w:r>
        <w:t xml:space="preserve">Out of scope in this version: full general-ledger replacement; tax</w:t>
      </w:r>
      <w:r>
        <w:t xml:space="preserve"> </w:t>
      </w:r>
      <w:r>
        <w:t xml:space="preserve">filing automation beyond generating VAT-ready invoices; direct bank</w:t>
      </w:r>
      <w:r>
        <w:t xml:space="preserve"> </w:t>
      </w:r>
      <w:r>
        <w:t xml:space="preserve">integration for auto-reconciliation (flagged for Phase 4).</w:t>
      </w:r>
    </w:p>
    <w:p>
      <w:pPr>
        <w:pStyle w:val="Heading2"/>
      </w:pPr>
      <w:bookmarkStart w:id="24" w:name="audience"/>
      <w:r>
        <w:t xml:space="preserve">2.3 Audience</w:t>
      </w:r>
      <w:bookmarkEnd w:id="24"/>
    </w:p>
    <w:p>
      <w:pPr>
        <w:pStyle w:val="FirstParagraph"/>
      </w:pPr>
      <w:r>
        <w:t xml:space="preserve">Primary: Egybell Finance Director, Billing Operations team, Client</w:t>
      </w:r>
      <w:r>
        <w:t xml:space="preserve"> </w:t>
      </w:r>
      <w:r>
        <w:t xml:space="preserve">Relationship Managers, Praxion Delivery Team. Secondary: Egybell</w:t>
      </w:r>
      <w:r>
        <w:t xml:space="preserve"> </w:t>
      </w:r>
      <w:r>
        <w:t xml:space="preserve">Executive Sponsors, external auditors, pilot client finance contacts.</w:t>
      </w:r>
    </w:p>
    <w:p>
      <w:pPr>
        <w:pStyle w:val="Heading2"/>
      </w:pPr>
      <w:bookmarkStart w:id="25" w:name="document-conventions"/>
      <w:r>
        <w:t xml:space="preserve">2.4 Document Conventions</w:t>
      </w:r>
      <w:bookmarkEnd w:id="25"/>
    </w:p>
    <w:p>
      <w:pPr>
        <w:pStyle w:val="FirstParagraph"/>
      </w:pPr>
      <w:r>
        <w:t xml:space="preserve">Requirement IDs follow the pattern</w:t>
      </w:r>
      <w:r>
        <w:t xml:space="preserve"> </w:t>
      </w:r>
      <w:r>
        <w:rPr>
          <w:i/>
        </w:rPr>
        <w:t xml:space="preserve">FR-M13-nnn</w:t>
      </w:r>
      <w:r>
        <w:t xml:space="preserve"> </w:t>
      </w:r>
      <w:r>
        <w:t xml:space="preserve">(functional),</w:t>
      </w:r>
      <w:r>
        <w:t xml:space="preserve"> </w:t>
      </w:r>
      <w:r>
        <w:rPr>
          <w:i/>
        </w:rPr>
        <w:t xml:space="preserve">NFR-M13-nnn</w:t>
      </w:r>
      <w:r>
        <w:t xml:space="preserve"> </w:t>
      </w:r>
      <w:r>
        <w:t xml:space="preserve">(non-functional),</w:t>
      </w:r>
      <w:r>
        <w:t xml:space="preserve"> </w:t>
      </w:r>
      <w:r>
        <w:rPr>
          <w:i/>
        </w:rPr>
        <w:t xml:space="preserve">BR-M13-nnn</w:t>
      </w:r>
      <w:r>
        <w:t xml:space="preserve"> </w:t>
      </w:r>
      <w:r>
        <w:t xml:space="preserve">(business rule). Sections</w:t>
      </w:r>
      <w:r>
        <w:t xml:space="preserve"> </w:t>
      </w:r>
      <w:r>
        <w:t xml:space="preserve">and numbering are stable across Praxion BRDs.</w:t>
      </w:r>
    </w:p>
    <w:p>
      <w:pPr>
        <w:pStyle w:val="Heading1"/>
      </w:pPr>
      <w:bookmarkStart w:id="26" w:name="business-context"/>
      <w:r>
        <w:t xml:space="preserve">3. Business Context</w:t>
      </w:r>
      <w:bookmarkEnd w:id="26"/>
    </w:p>
    <w:p>
      <w:pPr>
        <w:pStyle w:val="Heading2"/>
      </w:pPr>
      <w:bookmarkStart w:id="27" w:name="current-state-egybell-legacy"/>
      <w:r>
        <w:t xml:space="preserve">3.1 Current State (Egybell Legacy)</w:t>
      </w:r>
      <w:bookmarkEnd w:id="27"/>
    </w:p>
    <w:p>
      <w:pPr>
        <w:pStyle w:val="FirstParagraph"/>
      </w:pPr>
      <w:r>
        <w:t xml:space="preserve">Egybell today operates a manual billing workflow. Once a client payroll</w:t>
      </w:r>
      <w:r>
        <w:t xml:space="preserve"> </w:t>
      </w:r>
      <w:r>
        <w:t xml:space="preserve">run is released in the legacy payroll system, the Finance team pulls the</w:t>
      </w:r>
      <w:r>
        <w:t xml:space="preserve"> </w:t>
      </w:r>
      <w:r>
        <w:t xml:space="preserve">total disbursed payroll amount, applies a per-client markup rate,</w:t>
      </w:r>
      <w:r>
        <w:t xml:space="preserve"> </w:t>
      </w:r>
      <w:r>
        <w:t xml:space="preserve">computes VAT (14%), formats a PDF invoice, and emails it to the client.</w:t>
      </w:r>
      <w:r>
        <w:t xml:space="preserve"> </w:t>
      </w:r>
      <w:r>
        <w:t xml:space="preserve">Invoice numbering is managed on a shared spreadsheet. Payment receipts</w:t>
      </w:r>
      <w:r>
        <w:t xml:space="preserve"> </w:t>
      </w:r>
      <w:r>
        <w:t xml:space="preserve">are logged on the same spreadsheet. There is no structured dispute</w:t>
      </w:r>
      <w:r>
        <w:t xml:space="preserve"> </w:t>
      </w:r>
      <w:r>
        <w:t xml:space="preserve">workflow — disputes are handled via email and resolved by re-issuing</w:t>
      </w:r>
      <w:r>
        <w:t xml:space="preserve"> </w:t>
      </w:r>
      <w:r>
        <w:t xml:space="preserve">invoices with corrective line items.</w:t>
      </w:r>
    </w:p>
    <w:p>
      <w:pPr>
        <w:pStyle w:val="BodyText"/>
      </w:pPr>
      <w:r>
        <w:t xml:space="preserve">This workflow has three chronic issues:</w:t>
      </w:r>
    </w:p>
    <w:p>
      <w:pPr>
        <w:numPr>
          <w:ilvl w:val="0"/>
          <w:numId w:val="1003"/>
        </w:numPr>
      </w:pPr>
      <w:r>
        <w:rPr>
          <w:b/>
        </w:rPr>
        <w:t xml:space="preserve">Double data entry</w:t>
      </w:r>
      <w:r>
        <w:t xml:space="preserve"> </w:t>
      </w:r>
      <w:r>
        <w:t xml:space="preserve">between the payroll tool and the billing</w:t>
      </w:r>
      <w:r>
        <w:t xml:space="preserve"> </w:t>
      </w:r>
      <w:r>
        <w:t xml:space="preserve">spreadsheet, producing reconciliation errors at month-end.</w:t>
      </w:r>
    </w:p>
    <w:p>
      <w:pPr>
        <w:numPr>
          <w:ilvl w:val="0"/>
          <w:numId w:val="1003"/>
        </w:numPr>
      </w:pPr>
      <w:r>
        <w:rPr>
          <w:b/>
        </w:rPr>
        <w:t xml:space="preserve">Opaque margin tracking</w:t>
      </w:r>
      <w:r>
        <w:t xml:space="preserve"> </w:t>
      </w:r>
      <w:r>
        <w:t xml:space="preserve">— markup rates are stored in</w:t>
      </w:r>
      <w:r>
        <w:t xml:space="preserve"> </w:t>
      </w:r>
      <w:r>
        <w:t xml:space="preserve">commercial-agreement documents rather than in a queryable system, so</w:t>
      </w:r>
      <w:r>
        <w:t xml:space="preserve"> </w:t>
      </w:r>
      <w:r>
        <w:t xml:space="preserve">profitability per client is computed manually once per quarter.</w:t>
      </w:r>
    </w:p>
    <w:p>
      <w:pPr>
        <w:numPr>
          <w:ilvl w:val="0"/>
          <w:numId w:val="1003"/>
        </w:numPr>
      </w:pPr>
      <w:r>
        <w:rPr>
          <w:b/>
        </w:rPr>
        <w:t xml:space="preserve">No audit trail</w:t>
      </w:r>
      <w:r>
        <w:t xml:space="preserve"> </w:t>
      </w:r>
      <w:r>
        <w:t xml:space="preserve">for invoice amendments; version history exists</w:t>
      </w:r>
      <w:r>
        <w:t xml:space="preserve"> </w:t>
      </w:r>
      <w:r>
        <w:t xml:space="preserve">only in the email thread.</w:t>
      </w:r>
    </w:p>
    <w:p>
      <w:pPr>
        <w:pStyle w:val="Heading2"/>
      </w:pPr>
      <w:bookmarkStart w:id="28" w:name="target-state-praxion-m13"/>
      <w:r>
        <w:t xml:space="preserve">3.2 Target State (Praxion M13)</w:t>
      </w:r>
      <w:bookmarkEnd w:id="28"/>
    </w:p>
    <w:p>
      <w:pPr>
        <w:pStyle w:val="FirstParagraph"/>
      </w:pPr>
      <w:r>
        <w:t xml:space="preserve">Praxion M13 replaces the spreadsheet with a first-class billing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</w:pPr>
      <w:r>
        <w:t xml:space="preserve">Pulls the finalised payroll figure directly from M6 via the</w:t>
      </w:r>
      <w:r>
        <w:t xml:space="preserve"> </w:t>
      </w:r>
      <w:r>
        <w:t xml:space="preserve">Payroll-Triggered Invoice Contract (no re-keying).</w:t>
      </w:r>
    </w:p>
    <w:p>
      <w:pPr>
        <w:numPr>
          <w:ilvl w:val="0"/>
          <w:numId w:val="1004"/>
        </w:numPr>
      </w:pPr>
      <w:r>
        <w:t xml:space="preserve">Stores per-client markup, currency, and VAT configuration as</w:t>
      </w:r>
      <w:r>
        <w:t xml:space="preserve"> </w:t>
      </w:r>
      <w:r>
        <w:t xml:space="preserve">structured data.</w:t>
      </w:r>
    </w:p>
    <w:p>
      <w:pPr>
        <w:numPr>
          <w:ilvl w:val="0"/>
          <w:numId w:val="1004"/>
        </w:numPr>
      </w:pPr>
      <w:r>
        <w:t xml:space="preserve">Computes invoice totals, issues a sequential invoice number from a</w:t>
      </w:r>
      <w:r>
        <w:t xml:space="preserve"> </w:t>
      </w:r>
      <w:r>
        <w:t xml:space="preserve">per-tenant series, and produces a VAT-ready PDF.</w:t>
      </w:r>
    </w:p>
    <w:p>
      <w:pPr>
        <w:numPr>
          <w:ilvl w:val="0"/>
          <w:numId w:val="1004"/>
        </w:numPr>
      </w:pPr>
      <w:r>
        <w:t xml:space="preserve">Tracks the invoice through its lifecycle with tamper-evident audit</w:t>
      </w:r>
      <w:r>
        <w:t xml:space="preserve"> </w:t>
      </w:r>
      <w:r>
        <w:t xml:space="preserve">history.</w:t>
      </w:r>
    </w:p>
    <w:p>
      <w:pPr>
        <w:numPr>
          <w:ilvl w:val="0"/>
          <w:numId w:val="1004"/>
        </w:numPr>
      </w:pPr>
      <w:r>
        <w:t xml:space="preserve">Surfaces aged receivables, client profitability, and margin trends</w:t>
      </w:r>
      <w:r>
        <w:t xml:space="preserve"> </w:t>
      </w:r>
      <w:r>
        <w:t xml:space="preserve">in M9 Analytics.</w:t>
      </w:r>
    </w:p>
    <w:p>
      <w:pPr>
        <w:pStyle w:val="Heading2"/>
      </w:pPr>
      <w:bookmarkStart w:id="29" w:name="business-drivers"/>
      <w:r>
        <w:t xml:space="preserve">3.3 Business Drivers</w:t>
      </w:r>
      <w:bookmarkEnd w:id="29"/>
    </w:p>
    <w:p>
      <w:pPr>
        <w:numPr>
          <w:ilvl w:val="0"/>
          <w:numId w:val="1005"/>
        </w:numPr>
      </w:pPr>
      <w:r>
        <w:t xml:space="preserve">Eliminate billing leakage caused by manual transcription.</w:t>
      </w:r>
    </w:p>
    <w:p>
      <w:pPr>
        <w:numPr>
          <w:ilvl w:val="0"/>
          <w:numId w:val="1005"/>
        </w:numPr>
      </w:pPr>
      <w:r>
        <w:t xml:space="preserve">Shorten the close cycle from</w:t>
      </w:r>
      <w:r>
        <w:t xml:space="preserve"> </w:t>
      </w:r>
      <w:r>
        <w:t xml:space="preserve">“</w:t>
      </w:r>
      <w:r>
        <w:t xml:space="preserve">T+5 business days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T+1 business</w:t>
      </w:r>
      <w:r>
        <w:t xml:space="preserve"> </w:t>
      </w:r>
      <w:r>
        <w:t xml:space="preserve">day</w:t>
      </w:r>
      <w:r>
        <w:t xml:space="preserve">”</w:t>
      </w:r>
      <w:r>
        <w:t xml:space="preserve"> </w:t>
      </w:r>
      <w:r>
        <w:t xml:space="preserve">after payroll release.</w:t>
      </w:r>
    </w:p>
    <w:p>
      <w:pPr>
        <w:numPr>
          <w:ilvl w:val="0"/>
          <w:numId w:val="1005"/>
        </w:numPr>
      </w:pPr>
      <w:r>
        <w:t xml:space="preserve">Make client profitability queryable at any time, not quarterly.</w:t>
      </w:r>
    </w:p>
    <w:p>
      <w:pPr>
        <w:numPr>
          <w:ilvl w:val="0"/>
          <w:numId w:val="1005"/>
        </w:numPr>
      </w:pPr>
      <w:r>
        <w:t xml:space="preserve">Give Egybell auditable evidence that every billable payroll run was</w:t>
      </w:r>
      <w:r>
        <w:t xml:space="preserve"> </w:t>
      </w:r>
      <w:r>
        <w:t xml:space="preserve">invoiced.</w:t>
      </w:r>
    </w:p>
    <w:p>
      <w:pPr>
        <w:pStyle w:val="Heading1"/>
      </w:pPr>
      <w:bookmarkStart w:id="30" w:name="stakeholders-and-users"/>
      <w:r>
        <w:t xml:space="preserve">4. Stakeholders and Users</w:t>
      </w:r>
      <w:bookmarkEnd w:id="30"/>
    </w:p>
    <w:p>
      <w:pPr>
        <w:pStyle w:val="Heading2"/>
      </w:pPr>
      <w:bookmarkStart w:id="31" w:name="primary-stakeholders"/>
      <w:r>
        <w:t xml:space="preserve">4.1 Primary Stakeholders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Stakeholder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Decision Rights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Revenue assurance, margin visibility, VAT compliance</w:t>
            </w:r>
          </w:p>
        </w:tc>
        <w:tc>
          <w:p>
            <w:pPr>
              <w:pStyle w:val="Compact"/>
              <w:jc w:val="left"/>
            </w:pPr>
            <w:r>
              <w:t xml:space="preserve">Approves billing configuration, markup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Operations Lead</w:t>
            </w:r>
          </w:p>
        </w:tc>
        <w:tc>
          <w:p>
            <w:pPr>
              <w:pStyle w:val="Compact"/>
              <w:jc w:val="left"/>
            </w:pPr>
            <w:r>
              <w:t xml:space="preserve">Day-to-day invoice issuance, dispute handling, collection O</w:t>
            </w:r>
          </w:p>
        </w:tc>
        <w:tc>
          <w:p>
            <w:pPr>
              <w:pStyle w:val="Compact"/>
              <w:jc w:val="left"/>
            </w:pPr>
            <w:r>
              <w:t xml:space="preserve">wns invoice lifecycle and dispute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Relationship Manager</w:t>
            </w:r>
          </w:p>
        </w:tc>
        <w:tc>
          <w:p>
            <w:pPr>
              <w:pStyle w:val="Compact"/>
              <w:jc w:val="left"/>
            </w:pPr>
            <w:r>
              <w:t xml:space="preserve">Client-facing communication, commercial terms</w:t>
            </w:r>
          </w:p>
        </w:tc>
        <w:tc>
          <w:p>
            <w:pPr>
              <w:pStyle w:val="Compact"/>
              <w:jc w:val="left"/>
            </w:pPr>
            <w:r>
              <w:t xml:space="preserve">Approves per-client markup and terms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CEO / COO</w:t>
            </w:r>
          </w:p>
        </w:tc>
        <w:tc>
          <w:p>
            <w:pPr>
              <w:pStyle w:val="Compact"/>
              <w:jc w:val="left"/>
            </w:pPr>
            <w:r>
              <w:t xml:space="preserve">Revenue recognition, cash flow</w:t>
            </w:r>
          </w:p>
        </w:tc>
        <w:tc>
          <w:p>
            <w:pPr>
              <w:pStyle w:val="Compact"/>
              <w:jc w:val="left"/>
            </w:pPr>
            <w:r>
              <w:t xml:space="preserve">Approves write-offs and material 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 Client Finance Contacts</w:t>
            </w:r>
          </w:p>
        </w:tc>
        <w:tc>
          <w:p>
            <w:pPr>
              <w:pStyle w:val="Compact"/>
              <w:jc w:val="left"/>
            </w:pPr>
            <w:r>
              <w:t xml:space="preserve">Invoice accuracy, dispute turnaround, payment instructions</w:t>
            </w:r>
          </w:p>
        </w:tc>
        <w:tc>
          <w:p>
            <w:pPr>
              <w:pStyle w:val="Compact"/>
              <w:jc w:val="left"/>
            </w:pPr>
            <w:r>
              <w:t xml:space="preserve">Consulted on invoice format and dispute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Auditor</w:t>
            </w:r>
          </w:p>
        </w:tc>
        <w:tc>
          <w:p>
            <w:pPr>
              <w:pStyle w:val="Compact"/>
              <w:jc w:val="left"/>
            </w:pPr>
            <w:r>
              <w:t xml:space="preserve">Invoice completeness, VAT correctness, audit trail</w:t>
            </w:r>
          </w:p>
        </w:tc>
        <w:tc>
          <w:p>
            <w:pPr>
              <w:pStyle w:val="Compact"/>
              <w:jc w:val="left"/>
            </w:pPr>
            <w:r>
              <w:t xml:space="preserve">Reviews on demand</w:t>
            </w:r>
          </w:p>
        </w:tc>
      </w:tr>
    </w:tbl>
    <w:p>
      <w:pPr>
        <w:pStyle w:val="Heading2"/>
      </w:pPr>
      <w:bookmarkStart w:id="32" w:name="user-personas"/>
      <w:r>
        <w:t xml:space="preserve">4.2 User Personas</w:t>
      </w:r>
      <w:bookmarkEnd w:id="32"/>
    </w:p>
    <w:p>
      <w:pPr>
        <w:numPr>
          <w:ilvl w:val="0"/>
          <w:numId w:val="1006"/>
        </w:numPr>
      </w:pPr>
      <w:r>
        <w:rPr>
          <w:b/>
        </w:rPr>
        <w:t xml:space="preserve">Finance Director</w:t>
      </w:r>
      <w:r>
        <w:t xml:space="preserve"> </w:t>
      </w:r>
      <w:r>
        <w:t xml:space="preserve">— oversees billing health, reviews aged</w:t>
      </w:r>
      <w:r>
        <w:t xml:space="preserve"> </w:t>
      </w:r>
      <w:r>
        <w:t xml:space="preserve">receivables weekly, signs off on write-offs.</w:t>
      </w:r>
    </w:p>
    <w:p>
      <w:pPr>
        <w:numPr>
          <w:ilvl w:val="0"/>
          <w:numId w:val="1006"/>
        </w:numPr>
      </w:pPr>
      <w:r>
        <w:rPr>
          <w:b/>
        </w:rPr>
        <w:t xml:space="preserve">Billing Specialist</w:t>
      </w:r>
      <w:r>
        <w:t xml:space="preserve"> </w:t>
      </w:r>
      <w:r>
        <w:t xml:space="preserve">— issues invoices, chases receipts, handles</w:t>
      </w:r>
      <w:r>
        <w:t xml:space="preserve"> </w:t>
      </w:r>
      <w:r>
        <w:t xml:space="preserve">disputes, posts payments.</w:t>
      </w:r>
    </w:p>
    <w:p>
      <w:pPr>
        <w:numPr>
          <w:ilvl w:val="0"/>
          <w:numId w:val="1006"/>
        </w:numPr>
      </w:pPr>
      <w:r>
        <w:rPr>
          <w:b/>
        </w:rPr>
        <w:t xml:space="preserve">Client Account Manager</w:t>
      </w:r>
      <w:r>
        <w:t xml:space="preserve"> </w:t>
      </w:r>
      <w:r>
        <w:t xml:space="preserve">— configures per-client billing terms</w:t>
      </w:r>
      <w:r>
        <w:t xml:space="preserve"> </w:t>
      </w:r>
      <w:r>
        <w:t xml:space="preserve">(with Finance approval), reviews client profitability.</w:t>
      </w:r>
    </w:p>
    <w:p>
      <w:pPr>
        <w:numPr>
          <w:ilvl w:val="0"/>
          <w:numId w:val="1006"/>
        </w:numPr>
      </w:pPr>
      <w:r>
        <w:rPr>
          <w:b/>
        </w:rPr>
        <w:t xml:space="preserve">Client Portal User (external)</w:t>
      </w:r>
      <w:r>
        <w:t xml:space="preserve"> </w:t>
      </w:r>
      <w:r>
        <w:t xml:space="preserve">— views issued invoices,</w:t>
      </w:r>
      <w:r>
        <w:t xml:space="preserve"> </w:t>
      </w:r>
      <w:r>
        <w:t xml:space="preserve">downloads PDFs, submits dispute requests (via M12 Client Portal).</w:t>
      </w:r>
    </w:p>
    <w:p>
      <w:pPr>
        <w:numPr>
          <w:ilvl w:val="0"/>
          <w:numId w:val="1006"/>
        </w:numPr>
      </w:pPr>
      <w:r>
        <w:rPr>
          <w:b/>
        </w:rPr>
        <w:t xml:space="preserve">Auditor</w:t>
      </w:r>
      <w:r>
        <w:t xml:space="preserve"> </w:t>
      </w:r>
      <w:r>
        <w:t xml:space="preserve">— read-only access to invoice ledger and audit trail.</w:t>
      </w:r>
    </w:p>
    <w:p>
      <w:pPr>
        <w:pStyle w:val="Heading1"/>
      </w:pPr>
      <w:bookmarkStart w:id="33" w:name="scope"/>
      <w:r>
        <w:t xml:space="preserve">5. Scope</w:t>
      </w:r>
      <w:bookmarkEnd w:id="33"/>
    </w:p>
    <w:p>
      <w:pPr>
        <w:pStyle w:val="Heading2"/>
      </w:pPr>
      <w:bookmarkStart w:id="34" w:name="in-scope"/>
      <w:r>
        <w:t xml:space="preserve">5.1 In Scope</w:t>
      </w:r>
      <w:bookmarkEnd w:id="34"/>
    </w:p>
    <w:p>
      <w:pPr>
        <w:numPr>
          <w:ilvl w:val="0"/>
          <w:numId w:val="1007"/>
        </w:numPr>
      </w:pPr>
      <w:r>
        <w:t xml:space="preserve">Per-client billing configuration (markup rate, VAT rate, currency,</w:t>
      </w:r>
      <w:r>
        <w:t xml:space="preserve"> </w:t>
      </w:r>
      <w:r>
        <w:t xml:space="preserve">payment terms, billing cadence, PO / cost-centre references).</w:t>
      </w:r>
    </w:p>
    <w:p>
      <w:pPr>
        <w:numPr>
          <w:ilvl w:val="0"/>
          <w:numId w:val="1007"/>
        </w:numPr>
      </w:pPr>
      <w:r>
        <w:t xml:space="preserve">Invoice generation from three trigger classes:</w:t>
      </w:r>
      <w:r>
        <w:t xml:space="preserve"> </w:t>
      </w:r>
      <w:r>
        <w:t xml:space="preserve">payroll-release-triggered, scheduled (monthly service fees,</w:t>
      </w:r>
      <w:r>
        <w:t xml:space="preserve"> </w:t>
      </w:r>
      <w:r>
        <w:t xml:space="preserve">contractor administration fees), and manual.</w:t>
      </w:r>
    </w:p>
    <w:p>
      <w:pPr>
        <w:numPr>
          <w:ilvl w:val="0"/>
          <w:numId w:val="1007"/>
        </w:numPr>
      </w:pPr>
      <w:r>
        <w:t xml:space="preserve">Invoice numbering, PDF rendering, bilingual (EN/AR) layout, VAT</w:t>
      </w:r>
      <w:r>
        <w:t xml:space="preserve"> </w:t>
      </w:r>
      <w:r>
        <w:t xml:space="preserve">compliance block.</w:t>
      </w:r>
    </w:p>
    <w:p>
      <w:pPr>
        <w:numPr>
          <w:ilvl w:val="0"/>
          <w:numId w:val="1007"/>
        </w:numPr>
      </w:pPr>
      <w:r>
        <w:t xml:space="preserve">Invoice lifecycle management (Draft → Issued → Sent → Paid /</w:t>
      </w:r>
      <w:r>
        <w:t xml:space="preserve"> </w:t>
      </w:r>
      <w:r>
        <w:t xml:space="preserve">Overdue / Disputed / Cancelled).</w:t>
      </w:r>
    </w:p>
    <w:p>
      <w:pPr>
        <w:numPr>
          <w:ilvl w:val="0"/>
          <w:numId w:val="1007"/>
        </w:numPr>
      </w:pPr>
      <w:r>
        <w:t xml:space="preserve">Payment tracking: full receipts, partial payments, over-payments,</w:t>
      </w:r>
      <w:r>
        <w:t xml:space="preserve"> </w:t>
      </w:r>
      <w:r>
        <w:t xml:space="preserve">refunds, credit notes.</w:t>
      </w:r>
    </w:p>
    <w:p>
      <w:pPr>
        <w:numPr>
          <w:ilvl w:val="0"/>
          <w:numId w:val="1007"/>
        </w:numPr>
      </w:pPr>
      <w:r>
        <w:t xml:space="preserve">Aged receivables and client profitability reporting (surfaced to M9</w:t>
      </w:r>
      <w:r>
        <w:t xml:space="preserve"> </w:t>
      </w:r>
      <w:r>
        <w:t xml:space="preserve">Analytics).</w:t>
      </w:r>
    </w:p>
    <w:p>
      <w:pPr>
        <w:numPr>
          <w:ilvl w:val="0"/>
          <w:numId w:val="1007"/>
        </w:numPr>
      </w:pPr>
      <w:r>
        <w:t xml:space="preserve">Client-portal exposure of issued invoices (via M12 Client Portal).</w:t>
      </w:r>
    </w:p>
    <w:p>
      <w:pPr>
        <w:numPr>
          <w:ilvl w:val="0"/>
          <w:numId w:val="1007"/>
        </w:numPr>
      </w:pPr>
      <w:r>
        <w:t xml:space="preserve">Audit trail of every state change and every amendment.</w:t>
      </w:r>
    </w:p>
    <w:p>
      <w:pPr>
        <w:pStyle w:val="Heading2"/>
      </w:pPr>
      <w:bookmarkStart w:id="35" w:name="out-of-scope-v2.0"/>
      <w:r>
        <w:t xml:space="preserve">5.2 Out of Scope (v2.0)</w:t>
      </w:r>
      <w:bookmarkEnd w:id="35"/>
    </w:p>
    <w:p>
      <w:pPr>
        <w:numPr>
          <w:ilvl w:val="0"/>
          <w:numId w:val="1008"/>
        </w:numPr>
      </w:pPr>
      <w:r>
        <w:t xml:space="preserve">Full general-ledger replacement (Praxion exports to external GL;</w:t>
      </w:r>
      <w:r>
        <w:t xml:space="preserve"> </w:t>
      </w:r>
      <w:r>
        <w:t xml:space="preserve">does not own GL).</w:t>
      </w:r>
    </w:p>
    <w:p>
      <w:pPr>
        <w:numPr>
          <w:ilvl w:val="0"/>
          <w:numId w:val="1008"/>
        </w:numPr>
      </w:pPr>
      <w:r>
        <w:t xml:space="preserve">Automated VAT filing with the Egyptian Tax Authority (the module</w:t>
      </w:r>
      <w:r>
        <w:t xml:space="preserve"> </w:t>
      </w:r>
      <w:r>
        <w:t xml:space="preserve">produces VAT-compliant invoices; filing is manual).</w:t>
      </w:r>
    </w:p>
    <w:p>
      <w:pPr>
        <w:numPr>
          <w:ilvl w:val="0"/>
          <w:numId w:val="1008"/>
        </w:numPr>
      </w:pPr>
      <w:r>
        <w:t xml:space="preserve">Direct bank integration for auto-reconciliation of bank statements</w:t>
      </w:r>
      <w:r>
        <w:t xml:space="preserve"> </w:t>
      </w:r>
      <w:r>
        <w:t xml:space="preserve">(Phase 4 candidate).</w:t>
      </w:r>
    </w:p>
    <w:p>
      <w:pPr>
        <w:numPr>
          <w:ilvl w:val="0"/>
          <w:numId w:val="1008"/>
        </w:numPr>
      </w:pPr>
      <w:r>
        <w:t xml:space="preserve">Multi-entity consolidation across Egybell group companies (Phase 4).</w:t>
      </w:r>
    </w:p>
    <w:p>
      <w:pPr>
        <w:numPr>
          <w:ilvl w:val="0"/>
          <w:numId w:val="1008"/>
        </w:numPr>
      </w:pPr>
      <w:r>
        <w:t xml:space="preserve">Credit-scoring and dunning automation (flagged for Phase 4).</w:t>
      </w:r>
    </w:p>
    <w:p>
      <w:pPr>
        <w:pStyle w:val="Heading2"/>
      </w:pPr>
      <w:bookmarkStart w:id="36" w:name="assumptions"/>
      <w:r>
        <w:t xml:space="preserve">5.3 Assumptions</w:t>
      </w:r>
      <w:bookmarkEnd w:id="36"/>
    </w:p>
    <w:p>
      <w:pPr>
        <w:numPr>
          <w:ilvl w:val="0"/>
          <w:numId w:val="1009"/>
        </w:numPr>
      </w:pPr>
      <w:r>
        <w:t xml:space="preserve">Each client has one primary billing currency (EGP or USD); invoices</w:t>
      </w:r>
      <w:r>
        <w:t xml:space="preserve"> </w:t>
      </w:r>
      <w:r>
        <w:t xml:space="preserve">in a secondary currency are the exception, not the rule.</w:t>
      </w:r>
    </w:p>
    <w:p>
      <w:pPr>
        <w:numPr>
          <w:ilvl w:val="0"/>
          <w:numId w:val="1009"/>
        </w:numPr>
      </w:pPr>
      <w:r>
        <w:t xml:space="preserve">VAT rate is 14% (Egypt) unless configured otherwise per client.</w:t>
      </w:r>
    </w:p>
    <w:p>
      <w:pPr>
        <w:numPr>
          <w:ilvl w:val="0"/>
          <w:numId w:val="1009"/>
        </w:numPr>
      </w:pPr>
      <w:r>
        <w:t xml:space="preserve">Payroll finalisation in M6 is the authoritative figure used for</w:t>
      </w:r>
      <w:r>
        <w:t xml:space="preserve"> </w:t>
      </w:r>
      <w:r>
        <w:t xml:space="preserve">billing; no double approval required.</w:t>
      </w:r>
    </w:p>
    <w:p>
      <w:pPr>
        <w:numPr>
          <w:ilvl w:val="0"/>
          <w:numId w:val="1009"/>
        </w:numPr>
      </w:pPr>
      <w:r>
        <w:t xml:space="preserve">Egybell’s sequential invoice series is per legal entity, not per</w:t>
      </w:r>
      <w:r>
        <w:t xml:space="preserve"> </w:t>
      </w:r>
      <w:r>
        <w:t xml:space="preserve">client.</w:t>
      </w:r>
    </w:p>
    <w:p>
      <w:pPr>
        <w:pStyle w:val="Heading2"/>
      </w:pPr>
      <w:bookmarkStart w:id="37" w:name="constraints"/>
      <w:r>
        <w:t xml:space="preserve">5.4 Constraints</w:t>
      </w:r>
      <w:bookmarkEnd w:id="37"/>
    </w:p>
    <w:p>
      <w:pPr>
        <w:numPr>
          <w:ilvl w:val="0"/>
          <w:numId w:val="1010"/>
        </w:numPr>
      </w:pPr>
      <w:r>
        <w:t xml:space="preserve">Egyptian Tax Authority invoice format requirements must be</w:t>
      </w:r>
      <w:r>
        <w:t xml:space="preserve"> </w:t>
      </w:r>
      <w:r>
        <w:t xml:space="preserve">respected.</w:t>
      </w:r>
    </w:p>
    <w:p>
      <w:pPr>
        <w:numPr>
          <w:ilvl w:val="0"/>
          <w:numId w:val="1010"/>
        </w:numPr>
      </w:pPr>
      <w:r>
        <w:t xml:space="preserve">Sequential invoice numbering is immutable once issued (no</w:t>
      </w:r>
      <w:r>
        <w:t xml:space="preserve"> </w:t>
      </w:r>
      <w:r>
        <w:t xml:space="preserve">renumbering after the fact).</w:t>
      </w:r>
    </w:p>
    <w:p>
      <w:pPr>
        <w:numPr>
          <w:ilvl w:val="0"/>
          <w:numId w:val="1010"/>
        </w:numPr>
      </w:pPr>
      <w:r>
        <w:t xml:space="preserve">Audit trail retention: 7 years minimum.</w:t>
      </w:r>
    </w:p>
    <w:p>
      <w:pPr>
        <w:pStyle w:val="Heading1"/>
      </w:pPr>
      <w:bookmarkStart w:id="38" w:name="business-rules"/>
      <w:r>
        <w:t xml:space="preserve">6. Business Rules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BR-M13-001</w:t>
            </w:r>
          </w:p>
        </w:tc>
        <w:tc>
          <w:p>
            <w:pPr>
              <w:pStyle w:val="Compact"/>
              <w:jc w:val="left"/>
            </w:pPr>
            <w:r>
              <w:t xml:space="preserve">Invoice numbers are sequential, per-legal-entity, gap-free, and never reused even if the invoice is cancelled. A cancellation produces a credit note with its own sequence.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BR-M13-002</w:t>
            </w:r>
          </w:p>
        </w:tc>
        <w:tc>
          <w:p>
            <w:pPr>
              <w:pStyle w:val="Compact"/>
              <w:jc w:val="left"/>
            </w:pPr>
            <w:r>
              <w:t xml:space="preserve">Once an invoice is in state</w:t>
            </w:r>
            <w:r>
              <w:t xml:space="preserve"> </w:t>
            </w:r>
            <w:r>
              <w:rPr>
                <w:i/>
              </w:rPr>
              <w:t xml:space="preserve">Issued</w:t>
            </w:r>
            <w:r>
              <w:t xml:space="preserve">, its line items and totals are immutable. Amendments are handled exclusively via credit notes and re-issuance.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BR-M13-003</w:t>
            </w:r>
          </w:p>
        </w:tc>
        <w:tc>
          <w:p>
            <w:pPr>
              <w:pStyle w:val="Compact"/>
              <w:jc w:val="left"/>
            </w:pPr>
            <w:r>
              <w:t xml:space="preserve">VAT is computed per-line at the configured rate (default 14%) and aggregated at the invoice footer; VAT-exempt line items must be marked and reasoned.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BR-M13-004</w:t>
            </w:r>
          </w:p>
        </w:tc>
        <w:tc>
          <w:p>
            <w:pPr>
              <w:pStyle w:val="Compact"/>
              <w:jc w:val="left"/>
            </w:pPr>
            <w:r>
              <w:t xml:space="preserve">The markup rate is a structured, per-client attribute stored against the client record; effective-dated changes are supported.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BR-M13-005</w:t>
            </w:r>
          </w:p>
        </w:tc>
        <w:tc>
          <w:p>
            <w:pPr>
              <w:pStyle w:val="Compact"/>
              <w:jc w:val="left"/>
            </w:pPr>
            <w:r>
              <w:t xml:space="preserve">Invoice currency is set at client level; cross-currency billing requires Finance Director approval per invoice.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BR-M13-006</w:t>
            </w:r>
          </w:p>
        </w:tc>
        <w:tc>
          <w:p>
            <w:pPr>
              <w:pStyle w:val="Compact"/>
              <w:jc w:val="left"/>
            </w:pPr>
            <w:r>
              <w:t xml:space="preserve">A payroll release in M6 automatically creates a</w:t>
            </w:r>
            <w:r>
              <w:t xml:space="preserve"> </w:t>
            </w:r>
            <w:r>
              <w:rPr>
                <w:i/>
              </w:rPr>
              <w:t xml:space="preserve">Draft</w:t>
            </w:r>
            <w:r>
              <w:t xml:space="preserve"> </w:t>
            </w:r>
            <w:r>
              <w:t xml:space="preserve">invoice in M13 via the Payroll-Triggered Invoice Contract (§12.1). Billing Operations must review and transition Draft → Issued.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BR-M13-007</w:t>
            </w:r>
          </w:p>
        </w:tc>
        <w:tc>
          <w:p>
            <w:pPr>
              <w:pStyle w:val="Compact"/>
              <w:jc w:val="left"/>
            </w:pPr>
            <w:r>
              <w:t xml:space="preserve">Disputed invoices must be resolved within the configured dispute-SLA; unresolved disputes are escalated to the Finance Director.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BR-M13-008</w:t>
            </w:r>
          </w:p>
        </w:tc>
        <w:tc>
          <w:p>
            <w:pPr>
              <w:pStyle w:val="Compact"/>
              <w:jc w:val="left"/>
            </w:pPr>
            <w:r>
              <w:t xml:space="preserve">Partial payments are permitted; the invoice remains</w:t>
            </w:r>
            <w:r>
              <w:t xml:space="preserve"> </w:t>
            </w:r>
            <w:r>
              <w:rPr>
                <w:i/>
              </w:rPr>
              <w:t xml:space="preserve">Issued</w:t>
            </w:r>
            <w:r>
              <w:t xml:space="preserve"> </w:t>
            </w:r>
            <w:r>
              <w:t xml:space="preserve">with an outstanding-balance attribute until fully settled.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BR-M13-009</w:t>
            </w:r>
          </w:p>
        </w:tc>
        <w:tc>
          <w:p>
            <w:pPr>
              <w:pStyle w:val="Compact"/>
              <w:jc w:val="left"/>
            </w:pPr>
            <w:r>
              <w:t xml:space="preserve">Write-offs require Finance Director approval and produce a credit note referencing the original invoice.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BR-M13-010</w:t>
            </w:r>
          </w:p>
        </w:tc>
        <w:tc>
          <w:p>
            <w:pPr>
              <w:pStyle w:val="Compact"/>
              <w:jc w:val="left"/>
            </w:pPr>
            <w:r>
              <w:t xml:space="preserve">Every state transition on an invoice or credit note is written to an append-only audit log with actor, timestamp, and reason.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BR-M13-011</w:t>
            </w:r>
          </w:p>
        </w:tc>
        <w:tc>
          <w:p>
            <w:pPr>
              <w:pStyle w:val="Compact"/>
              <w:jc w:val="left"/>
            </w:pPr>
            <w:r>
              <w:t xml:space="preserve">Invoices are rendered bilingually (EN/AR) by default; the primary language is set per client.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BR-M13-012</w:t>
            </w:r>
          </w:p>
        </w:tc>
        <w:tc>
          <w:p>
            <w:pPr>
              <w:pStyle w:val="Compact"/>
              <w:jc w:val="left"/>
            </w:pPr>
            <w:r>
              <w:t xml:space="preserve">The service-line taxonomy on an invoice mirrors the Praxion service catalogue (Managed Payroll, Contractor Administration, Benefits Administration, Recruitment Services, Professional Services, Pass-Through Expenses).</w:t>
            </w:r>
          </w:p>
        </w:tc>
      </w:tr>
    </w:tbl>
    <w:p>
      <w:pPr>
        <w:pStyle w:val="Heading1"/>
      </w:pPr>
      <w:bookmarkStart w:id="39" w:name="functional-requirements"/>
      <w:r>
        <w:t xml:space="preserve">7. Functional Requirements</w:t>
      </w:r>
      <w:bookmarkEnd w:id="39"/>
    </w:p>
    <w:p>
      <w:pPr>
        <w:pStyle w:val="Heading2"/>
      </w:pPr>
      <w:bookmarkStart w:id="40" w:name="billing-configuration"/>
      <w:r>
        <w:t xml:space="preserve">7.1 Billing Configuration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FR-M13-101</w:t>
            </w:r>
          </w:p>
        </w:tc>
        <w:tc>
          <w:p>
            <w:pPr>
              <w:pStyle w:val="Compact"/>
              <w:jc w:val="left"/>
            </w:pPr>
            <w:r>
              <w:t xml:space="preserve">System shall maintain a per-client billing configuration record containing: currency, VAT rate, markup rate, payment-term (Net-X days), billing cadence, primary language, PO reference, cost-centre reference, and dispute-SLA.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FR-M13-102</w:t>
            </w:r>
          </w:p>
        </w:tc>
        <w:tc>
          <w:p>
            <w:pPr>
              <w:pStyle w:val="Compact"/>
              <w:jc w:val="left"/>
            </w:pPr>
            <w:r>
              <w:t xml:space="preserve">System shall support effective-dated changes to markup rate and VAT rate, preserving history for audit.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FR-M13-103</w:t>
            </w:r>
          </w:p>
        </w:tc>
        <w:tc>
          <w:p>
            <w:pPr>
              <w:pStyle w:val="Compact"/>
              <w:jc w:val="left"/>
            </w:pPr>
            <w:r>
              <w:t xml:space="preserve">System shall permit Finance-Director-approved per-invoice overrides of currency and VAT treatment, with the override captured in the audit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FR-M13-104</w:t>
            </w:r>
          </w:p>
        </w:tc>
        <w:tc>
          <w:p>
            <w:pPr>
              <w:pStyle w:val="Compact"/>
              <w:jc w:val="left"/>
            </w:pPr>
            <w:r>
              <w:t xml:space="preserve">System shall support client-hierarchy-level defaults (group / subsidiary / site) so that adding a new site inherits the group billing template.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FR-M13-105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expose a bulk-edit facility to update markup or payment-terms across a segment of clients with an effective date.</w:t>
            </w:r>
          </w:p>
        </w:tc>
      </w:tr>
    </w:tbl>
    <w:p>
      <w:pPr>
        <w:pStyle w:val="Heading2"/>
      </w:pPr>
      <w:bookmarkStart w:id="41" w:name="invoice-generation"/>
      <w:r>
        <w:t xml:space="preserve">7.2 Invoice Generation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FR-M13-201</w:t>
            </w:r>
          </w:p>
        </w:tc>
        <w:tc>
          <w:p>
            <w:pPr>
              <w:pStyle w:val="Compact"/>
              <w:jc w:val="left"/>
            </w:pPr>
            <w:r>
              <w:t xml:space="preserve">System shall create a Draft invoice automatically on receipt of a Payroll-Released event from M6 (see §12.1).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FR-M13-202</w:t>
            </w:r>
          </w:p>
        </w:tc>
        <w:tc>
          <w:p>
            <w:pPr>
              <w:pStyle w:val="Compact"/>
              <w:jc w:val="left"/>
            </w:pPr>
            <w:r>
              <w:t xml:space="preserve">System shall create a Draft invoice on the configured scheduled cadence for clients with recurring service fees (monthly, quarterly).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FR-M13-203</w:t>
            </w:r>
          </w:p>
        </w:tc>
        <w:tc>
          <w:p>
            <w:pPr>
              <w:pStyle w:val="Compact"/>
              <w:jc w:val="left"/>
            </w:pPr>
            <w:r>
              <w:t xml:space="preserve">System shall allow Billing Operations to create a manual invoice, selecting the client, service lines, and currency.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FR-M13-204</w:t>
            </w:r>
          </w:p>
        </w:tc>
        <w:tc>
          <w:p>
            <w:pPr>
              <w:pStyle w:val="Compact"/>
              <w:jc w:val="left"/>
            </w:pPr>
            <w:r>
              <w:t xml:space="preserve">System shall compute line totals as (quantity × unit-price × (1 + markup-rate)) with VAT computed on the marked-up figure.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FR-M13-205</w:t>
            </w:r>
          </w:p>
        </w:tc>
        <w:tc>
          <w:p>
            <w:pPr>
              <w:pStyle w:val="Compact"/>
              <w:jc w:val="left"/>
            </w:pPr>
            <w:r>
              <w:t xml:space="preserve">System shall assign a sequential invoice number at the moment of transition from Draft to Issued, not earlier.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FR-M13-206</w:t>
            </w:r>
          </w:p>
        </w:tc>
        <w:tc>
          <w:p>
            <w:pPr>
              <w:pStyle w:val="Compact"/>
              <w:jc w:val="left"/>
            </w:pPr>
            <w:r>
              <w:t xml:space="preserve">System shall render a bilingual PDF (EN/AR) containing the VAT block required by the Egyptian Tax Authority.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FR-M13-207</w:t>
            </w:r>
          </w:p>
        </w:tc>
        <w:tc>
          <w:p>
            <w:pPr>
              <w:pStyle w:val="Compact"/>
              <w:jc w:val="left"/>
            </w:pPr>
            <w:r>
              <w:t xml:space="preserve">System shall support attachments on an invoice (e.g., payroll summary, expense register, placement confirmation).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FR-M13-208</w:t>
            </w:r>
          </w:p>
        </w:tc>
        <w:tc>
          <w:p>
            <w:pPr>
              <w:pStyle w:val="Compact"/>
              <w:jc w:val="left"/>
            </w:pPr>
            <w:r>
              <w:t xml:space="preserve">System shall support credit notes against any Issued invoice; the credit note references the original invoice number and reason code.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FR-M13-209</w:t>
            </w:r>
          </w:p>
        </w:tc>
        <w:tc>
          <w:p>
            <w:pPr>
              <w:pStyle w:val="Compact"/>
              <w:jc w:val="left"/>
            </w:pPr>
            <w:r>
              <w:t xml:space="preserve">System shall support pro-forma invoices (non-sequential) for quotation purposes, clearly watermarked.</w:t>
            </w:r>
          </w:p>
        </w:tc>
      </w:tr>
    </w:tbl>
    <w:p>
      <w:pPr>
        <w:pStyle w:val="Heading2"/>
      </w:pPr>
      <w:bookmarkStart w:id="42" w:name="invoice-lifecycle"/>
      <w:r>
        <w:t xml:space="preserve">7.3 Invoice Lifecycle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FR-M13-301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enforce the state machine: Draft → Issued → Sent → Paid / Overdue / Disputed / Cancelled.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FR-M13-302</w:t>
            </w:r>
          </w:p>
        </w:tc>
        <w:tc>
          <w:p>
            <w:pPr>
              <w:pStyle w:val="Compact"/>
              <w:jc w:val="left"/>
            </w:pPr>
            <w:r>
              <w:t xml:space="preserve">System shall auto-transition Issued → Sent when the invoice is dispatched via the integrated email / portal channel.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FR-M13-303</w:t>
            </w:r>
          </w:p>
        </w:tc>
        <w:tc>
          <w:p>
            <w:pPr>
              <w:pStyle w:val="Compact"/>
              <w:jc w:val="left"/>
            </w:pPr>
            <w:r>
              <w:t xml:space="preserve">System shall auto-transition Issued/Sent → Overdue when the payment-term elapses without full receipt.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FR-M13-304</w:t>
            </w:r>
          </w:p>
        </w:tc>
        <w:tc>
          <w:p>
            <w:pPr>
              <w:pStyle w:val="Compact"/>
              <w:jc w:val="left"/>
            </w:pPr>
            <w:r>
              <w:t xml:space="preserve">System shall allow a client (via M12 Client Portal) to raise a dispute against a Sent invoice; the system transitions to Disputed and notifies Billing Operations.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FR-M13-305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enforce that Cancelled is only reachable from Draft, or from Issued via a credit note.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FR-M13-306</w:t>
            </w:r>
          </w:p>
        </w:tc>
        <w:tc>
          <w:p>
            <w:pPr>
              <w:pStyle w:val="Compact"/>
              <w:jc w:val="left"/>
            </w:pPr>
            <w:r>
              <w:t xml:space="preserve">System shall maintain an append-only audit trail of every transition with actor, timestamp, and reason code.</w:t>
            </w:r>
          </w:p>
        </w:tc>
      </w:tr>
    </w:tbl>
    <w:p>
      <w:pPr>
        <w:pStyle w:val="Heading2"/>
      </w:pPr>
      <w:bookmarkStart w:id="43" w:name="payment-tracking"/>
      <w:r>
        <w:t xml:space="preserve">7.4 Payment Tracking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FR-M13-401</w:t>
            </w:r>
          </w:p>
        </w:tc>
        <w:tc>
          <w:p>
            <w:pPr>
              <w:pStyle w:val="Compact"/>
              <w:jc w:val="left"/>
            </w:pPr>
            <w:r>
              <w:t xml:space="preserve">System shall record receipts against invoices, supporting full, partial, and over-payments.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FR-M13-402</w:t>
            </w:r>
          </w:p>
        </w:tc>
        <w:tc>
          <w:p>
            <w:pPr>
              <w:pStyle w:val="Compact"/>
              <w:jc w:val="left"/>
            </w:pPr>
            <w:r>
              <w:t xml:space="preserve">System shall compute outstanding balance per invoice and per client.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FR-M13-403</w:t>
            </w:r>
          </w:p>
        </w:tc>
        <w:tc>
          <w:p>
            <w:pPr>
              <w:pStyle w:val="Compact"/>
              <w:jc w:val="left"/>
            </w:pPr>
            <w:r>
              <w:t xml:space="preserve">System shall handle over-payments as client-level credit that can be applied to a future invoice.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FR-M13-404</w:t>
            </w:r>
          </w:p>
        </w:tc>
        <w:tc>
          <w:p>
            <w:pPr>
              <w:pStyle w:val="Compact"/>
              <w:jc w:val="left"/>
            </w:pPr>
            <w:r>
              <w:t xml:space="preserve">System shall process refunds against over-payments, producing a refund record linked to the originating receipt.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FR-M13-405</w:t>
            </w:r>
          </w:p>
        </w:tc>
        <w:tc>
          <w:p>
            <w:pPr>
              <w:pStyle w:val="Compact"/>
              <w:jc w:val="left"/>
            </w:pPr>
            <w:r>
              <w:t xml:space="preserve">System shall produce an aged receivables ledger (0-30 / 31-60 / 61-90 / 90+ days).</w:t>
            </w:r>
          </w:p>
        </w:tc>
      </w:tr>
    </w:tbl>
    <w:p>
      <w:pPr>
        <w:pStyle w:val="Heading2"/>
      </w:pPr>
      <w:bookmarkStart w:id="44" w:name="reporting-and-analytics"/>
      <w:r>
        <w:t xml:space="preserve">7.5 Reporting and Analytics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FR-M13-501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expose a client-profitability view (revenue - direct payroll cost - direct contractor cost) per client per period to M9 Analytics.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FR-M13-502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expose a revenue-by-service-line view to M9.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FR-M13-503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expose an invoice-completeness view that cross-checks payroll releases against issued invoices, flagging gaps.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FR-M13-504</w:t>
            </w:r>
          </w:p>
        </w:tc>
        <w:tc>
          <w:p>
            <w:pPr>
              <w:pStyle w:val="Compact"/>
              <w:jc w:val="left"/>
            </w:pPr>
            <w:r>
              <w:t xml:space="preserve">System shall expose a dispute-aging and dispute-reason-code breakdown to M9.</w:t>
            </w:r>
          </w:p>
        </w:tc>
      </w:tr>
    </w:tbl>
    <w:p>
      <w:pPr>
        <w:pStyle w:val="Heading1"/>
      </w:pPr>
      <w:bookmarkStart w:id="45" w:name="non-functional-requirements"/>
      <w:r>
        <w:t xml:space="preserve">8. Non-Functional Requirements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NFR-M13-001</w:t>
            </w:r>
          </w:p>
        </w:tc>
        <w:tc>
          <w:p>
            <w:pPr>
              <w:pStyle w:val="Compact"/>
              <w:jc w:val="left"/>
            </w:pPr>
            <w:r>
              <w:t xml:space="preserve">Invoice PDF rendering shall complete within 5 seconds for a standard invoice (≤ 200 line items).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NFR-M13-002</w:t>
            </w:r>
          </w:p>
        </w:tc>
        <w:tc>
          <w:p>
            <w:pPr>
              <w:pStyle w:val="Compact"/>
              <w:jc w:val="left"/>
            </w:pPr>
            <w:r>
              <w:t xml:space="preserve">The Payroll-Triggered Invoice Contract shall produce the Draft invoice within 60 seconds of the Payroll-Released event.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NFR-M13-003</w:t>
            </w:r>
          </w:p>
        </w:tc>
        <w:tc>
          <w:p>
            <w:pPr>
              <w:pStyle w:val="Compact"/>
              <w:jc w:val="left"/>
            </w:pPr>
            <w:r>
              <w:t xml:space="preserve">Invoice numbering shall be strictly serialisable — no gaps, no duplicates, even under concurrent release events.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retain invoice audit history for 7 years (Egyptian statutory retention).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at least 50,000 invoices per legal entity per year without degradation.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NFR-M13-006</w:t>
            </w:r>
          </w:p>
        </w:tc>
        <w:tc>
          <w:p>
            <w:pPr>
              <w:pStyle w:val="Compact"/>
              <w:jc w:val="left"/>
            </w:pPr>
            <w:r>
              <w:t xml:space="preserve">Invoice PDFs shall be digitally signed / tamper-evident.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NFR-M13-007</w:t>
            </w:r>
          </w:p>
        </w:tc>
        <w:tc>
          <w:p>
            <w:pPr>
              <w:pStyle w:val="Compact"/>
              <w:jc w:val="left"/>
            </w:pPr>
            <w:r>
              <w:t xml:space="preserve">The module shall expose all billing data via the Praxion internal API with role-based access control.</w:t>
            </w:r>
          </w:p>
        </w:tc>
      </w:tr>
    </w:tbl>
    <w:p>
      <w:pPr>
        <w:pStyle w:val="Heading1"/>
      </w:pPr>
      <w:bookmarkStart w:id="46" w:name="user-stories"/>
      <w:r>
        <w:t xml:space="preserve">9. User Stories</w:t>
      </w:r>
      <w:bookmarkEnd w:id="46"/>
    </w:p>
    <w:p>
      <w:pPr>
        <w:pStyle w:val="FirstParagraph"/>
      </w:pPr>
      <w:r>
        <w:rPr>
          <w:b/>
        </w:rPr>
        <w:t xml:space="preserve">US-M13-001</w:t>
      </w:r>
      <w:r>
        <w:t xml:space="preserve"> </w:t>
      </w:r>
      <w:r>
        <w:t xml:space="preserve">As the Finance Director, I want every finalised payroll</w:t>
      </w:r>
      <w:r>
        <w:t xml:space="preserve"> </w:t>
      </w:r>
      <w:r>
        <w:t xml:space="preserve">run to automatically produce a Draft invoice, so that no billable</w:t>
      </w:r>
      <w:r>
        <w:t xml:space="preserve"> </w:t>
      </w:r>
      <w:r>
        <w:t xml:space="preserve">payroll is ever missed.</w:t>
      </w:r>
    </w:p>
    <w:p>
      <w:pPr>
        <w:pStyle w:val="BodyText"/>
      </w:pPr>
      <w:r>
        <w:rPr>
          <w:b/>
        </w:rPr>
        <w:t xml:space="preserve">US-M13-002</w:t>
      </w:r>
      <w:r>
        <w:t xml:space="preserve"> </w:t>
      </w:r>
      <w:r>
        <w:t xml:space="preserve">As a Billing Specialist, I want to review the Draft</w:t>
      </w:r>
      <w:r>
        <w:t xml:space="preserve"> </w:t>
      </w:r>
      <w:r>
        <w:t xml:space="preserve">invoice generated by the payroll release, add any pass-through expenses</w:t>
      </w:r>
      <w:r>
        <w:t xml:space="preserve"> </w:t>
      </w:r>
      <w:r>
        <w:t xml:space="preserve">or adjustments, and transition it to Issued in one action, so that my</w:t>
      </w:r>
      <w:r>
        <w:t xml:space="preserve"> </w:t>
      </w:r>
      <w:r>
        <w:t xml:space="preserve">daily billing cycle is predictable.</w:t>
      </w:r>
    </w:p>
    <w:p>
      <w:pPr>
        <w:pStyle w:val="BodyText"/>
      </w:pPr>
      <w:r>
        <w:rPr>
          <w:b/>
        </w:rPr>
        <w:t xml:space="preserve">US-M13-003</w:t>
      </w:r>
      <w:r>
        <w:t xml:space="preserve"> </w:t>
      </w:r>
      <w:r>
        <w:t xml:space="preserve">As a Client Account Manager, I want to configure a</w:t>
      </w:r>
      <w:r>
        <w:t xml:space="preserve"> </w:t>
      </w:r>
      <w:r>
        <w:t xml:space="preserve">per-client markup rate with an effective date, so that commercial</w:t>
      </w:r>
      <w:r>
        <w:t xml:space="preserve"> </w:t>
      </w:r>
      <w:r>
        <w:t xml:space="preserve">changes are tracked in the system and not in email.</w:t>
      </w:r>
    </w:p>
    <w:p>
      <w:pPr>
        <w:pStyle w:val="BodyText"/>
      </w:pPr>
      <w:r>
        <w:rPr>
          <w:b/>
        </w:rPr>
        <w:t xml:space="preserve">US-M13-004</w:t>
      </w:r>
      <w:r>
        <w:t xml:space="preserve"> </w:t>
      </w:r>
      <w:r>
        <w:t xml:space="preserve">As a client finance contact, I want to see all my issued</w:t>
      </w:r>
      <w:r>
        <w:t xml:space="preserve"> </w:t>
      </w:r>
      <w:r>
        <w:t xml:space="preserve">invoices in the client portal with their status and outstanding balance,</w:t>
      </w:r>
      <w:r>
        <w:t xml:space="preserve"> </w:t>
      </w:r>
      <w:r>
        <w:t xml:space="preserve">so that I can reconcile against my own payables ledger.</w:t>
      </w:r>
    </w:p>
    <w:p>
      <w:pPr>
        <w:pStyle w:val="BodyText"/>
      </w:pPr>
      <w:r>
        <w:rPr>
          <w:b/>
        </w:rPr>
        <w:t xml:space="preserve">US-M13-005</w:t>
      </w:r>
      <w:r>
        <w:t xml:space="preserve"> </w:t>
      </w:r>
      <w:r>
        <w:t xml:space="preserve">As a client finance contact, I want to raise a dispute</w:t>
      </w:r>
      <w:r>
        <w:t xml:space="preserve"> </w:t>
      </w:r>
      <w:r>
        <w:t xml:space="preserve">against an invoice from the portal with a reason and supporting</w:t>
      </w:r>
      <w:r>
        <w:t xml:space="preserve"> </w:t>
      </w:r>
      <w:r>
        <w:t xml:space="preserve">document, so that my concern is logged and tracked rather than lost in</w:t>
      </w:r>
      <w:r>
        <w:t xml:space="preserve"> </w:t>
      </w:r>
      <w:r>
        <w:t xml:space="preserve">email.</w:t>
      </w:r>
    </w:p>
    <w:p>
      <w:pPr>
        <w:pStyle w:val="BodyText"/>
      </w:pPr>
      <w:r>
        <w:rPr>
          <w:b/>
        </w:rPr>
        <w:t xml:space="preserve">US-M13-006</w:t>
      </w:r>
      <w:r>
        <w:t xml:space="preserve"> </w:t>
      </w:r>
      <w:r>
        <w:t xml:space="preserve">As the Finance Director, I want a weekly aged-receivables</w:t>
      </w:r>
      <w:r>
        <w:t xml:space="preserve"> </w:t>
      </w:r>
      <w:r>
        <w:t xml:space="preserve">report broken down by bucket and client, so that I can prioritise</w:t>
      </w:r>
      <w:r>
        <w:t xml:space="preserve"> </w:t>
      </w:r>
      <w:r>
        <w:t xml:space="preserve">collection calls.</w:t>
      </w:r>
    </w:p>
    <w:p>
      <w:pPr>
        <w:pStyle w:val="BodyText"/>
      </w:pPr>
      <w:r>
        <w:rPr>
          <w:b/>
        </w:rPr>
        <w:t xml:space="preserve">US-M13-007</w:t>
      </w:r>
      <w:r>
        <w:t xml:space="preserve"> </w:t>
      </w:r>
      <w:r>
        <w:t xml:space="preserve">As an auditor, I want to see an immutable audit trail of</w:t>
      </w:r>
      <w:r>
        <w:t xml:space="preserve"> </w:t>
      </w:r>
      <w:r>
        <w:t xml:space="preserve">every state change on every invoice, so that I can verify the</w:t>
      </w:r>
      <w:r>
        <w:t xml:space="preserve"> </w:t>
      </w:r>
      <w:r>
        <w:t xml:space="preserve">completeness and integrity of the billing ledger.</w:t>
      </w:r>
    </w:p>
    <w:p>
      <w:pPr>
        <w:pStyle w:val="BodyText"/>
      </w:pPr>
      <w:r>
        <w:rPr>
          <w:b/>
        </w:rPr>
        <w:t xml:space="preserve">US-M13-008</w:t>
      </w:r>
      <w:r>
        <w:t xml:space="preserve"> </w:t>
      </w:r>
      <w:r>
        <w:t xml:space="preserve">As a Billing Specialist, I want to record a partial</w:t>
      </w:r>
      <w:r>
        <w:t xml:space="preserve"> </w:t>
      </w:r>
      <w:r>
        <w:t xml:space="preserve">payment against an invoice and have the outstanding balance update</w:t>
      </w:r>
      <w:r>
        <w:t xml:space="preserve"> </w:t>
      </w:r>
      <w:r>
        <w:t xml:space="preserve">automatically, so that my receipt posting is accurate without manual</w:t>
      </w:r>
      <w:r>
        <w:t xml:space="preserve"> </w:t>
      </w:r>
      <w:r>
        <w:t xml:space="preserve">math.</w:t>
      </w:r>
    </w:p>
    <w:p>
      <w:pPr>
        <w:pStyle w:val="Heading1"/>
      </w:pPr>
      <w:bookmarkStart w:id="47" w:name="process-flows"/>
      <w:r>
        <w:t xml:space="preserve">10. Process Flows</w:t>
      </w:r>
      <w:bookmarkEnd w:id="47"/>
    </w:p>
    <w:p>
      <w:pPr>
        <w:pStyle w:val="Heading2"/>
      </w:pPr>
      <w:bookmarkStart w:id="48" w:name="Xf2c5758cae537cb4e61e99f4ce026c425056b91"/>
      <w:r>
        <w:t xml:space="preserve">10.1 Payroll-Triggered Invoice (primary v2 flow)</w:t>
      </w:r>
      <w:bookmarkEnd w:id="48"/>
    </w:p>
    <w:p>
      <w:pPr>
        <w:numPr>
          <w:ilvl w:val="0"/>
          <w:numId w:val="1011"/>
        </w:numPr>
      </w:pPr>
      <w:r>
        <w:rPr>
          <w:b/>
        </w:rPr>
        <w:t xml:space="preserve">M6 completes payroll release</w:t>
      </w:r>
      <w:r>
        <w:t xml:space="preserve"> </w:t>
      </w:r>
      <w:r>
        <w:t xml:space="preserve">(see M6 §10 Step 7). M6 emits a</w:t>
      </w:r>
      <w:r>
        <w:t xml:space="preserve"> </w:t>
      </w:r>
      <w:r>
        <w:rPr>
          <w:i/>
        </w:rPr>
        <w:t xml:space="preserve">Payroll-Released</w:t>
      </w:r>
      <w:r>
        <w:t xml:space="preserve"> </w:t>
      </w:r>
      <w:r>
        <w:t xml:space="preserve">event containing the contract payload defined in</w:t>
      </w:r>
      <w:r>
        <w:t xml:space="preserve"> </w:t>
      </w:r>
      <w:r>
        <w:t xml:space="preserve">§12.1.</w:t>
      </w:r>
    </w:p>
    <w:p>
      <w:pPr>
        <w:numPr>
          <w:ilvl w:val="0"/>
          <w:numId w:val="1011"/>
        </w:numPr>
      </w:pPr>
      <w:r>
        <w:rPr>
          <w:b/>
        </w:rPr>
        <w:t xml:space="preserve">M13 receives the event</w:t>
      </w:r>
      <w:r>
        <w:t xml:space="preserve"> </w:t>
      </w:r>
      <w:r>
        <w:t xml:space="preserve">and creates a Draft invoice for the</w:t>
      </w:r>
      <w:r>
        <w:t xml:space="preserve"> </w:t>
      </w:r>
      <w:r>
        <w:t xml:space="preserve">payroll client, pre-populating:</w:t>
      </w:r>
    </w:p>
    <w:p>
      <w:pPr>
        <w:numPr>
          <w:ilvl w:val="1"/>
          <w:numId w:val="1012"/>
        </w:numPr>
      </w:pPr>
      <w:r>
        <w:t xml:space="preserve">Service line: Managed Payroll, Period = payroll period.</w:t>
      </w:r>
    </w:p>
    <w:p>
      <w:pPr>
        <w:numPr>
          <w:ilvl w:val="1"/>
          <w:numId w:val="1012"/>
        </w:numPr>
      </w:pPr>
      <w:r>
        <w:t xml:space="preserve">Quantity: headcount processed.</w:t>
      </w:r>
    </w:p>
    <w:p>
      <w:pPr>
        <w:numPr>
          <w:ilvl w:val="1"/>
          <w:numId w:val="1012"/>
        </w:numPr>
      </w:pPr>
      <w:r>
        <w:t xml:space="preserve">Unit-price basis: total net payroll disbursed (or</w:t>
      </w:r>
      <w:r>
        <w:t xml:space="preserve"> </w:t>
      </w:r>
      <w:r>
        <w:t xml:space="preserve">total-cost-to-company, configurable per client).</w:t>
      </w:r>
    </w:p>
    <w:p>
      <w:pPr>
        <w:numPr>
          <w:ilvl w:val="1"/>
          <w:numId w:val="1012"/>
        </w:numPr>
      </w:pPr>
      <w:r>
        <w:t xml:space="preserve">Markup rate: from the client billing configuration.</w:t>
      </w:r>
    </w:p>
    <w:p>
      <w:pPr>
        <w:numPr>
          <w:ilvl w:val="1"/>
          <w:numId w:val="1012"/>
        </w:numPr>
      </w:pPr>
      <w:r>
        <w:t xml:space="preserve">VAT: per client configuration (default 14%).</w:t>
      </w:r>
    </w:p>
    <w:p>
      <w:pPr>
        <w:numPr>
          <w:ilvl w:val="1"/>
          <w:numId w:val="1012"/>
        </w:numPr>
      </w:pPr>
      <w:r>
        <w:t xml:space="preserve">Currency: per client configuration (with secondary-currency</w:t>
      </w:r>
      <w:r>
        <w:t xml:space="preserve"> </w:t>
      </w:r>
      <w:r>
        <w:t xml:space="preserve">payout footnoted if applicable).</w:t>
      </w:r>
    </w:p>
    <w:p>
      <w:pPr>
        <w:numPr>
          <w:ilvl w:val="1"/>
          <w:numId w:val="1012"/>
        </w:numPr>
      </w:pPr>
      <w:r>
        <w:t xml:space="preserve">Attachments: payroll summary PDF and the payroll-register</w:t>
      </w:r>
      <w:r>
        <w:t xml:space="preserve"> </w:t>
      </w:r>
      <w:r>
        <w:t xml:space="preserve">extract.</w:t>
      </w:r>
    </w:p>
    <w:p>
      <w:pPr>
        <w:numPr>
          <w:ilvl w:val="0"/>
          <w:numId w:val="1011"/>
        </w:numPr>
      </w:pPr>
      <w:r>
        <w:rPr>
          <w:b/>
        </w:rPr>
        <w:t xml:space="preserve">Billing Specialist reviews the Draft</w:t>
      </w:r>
      <w:r>
        <w:t xml:space="preserve">, optionally appending</w:t>
      </w:r>
      <w:r>
        <w:t xml:space="preserve"> </w:t>
      </w:r>
      <w:r>
        <w:t xml:space="preserve">pass-through expenses (from M7), contractor fees (from M8), or</w:t>
      </w:r>
      <w:r>
        <w:t xml:space="preserve"> </w:t>
      </w:r>
      <w:r>
        <w:t xml:space="preserve">recruitment success fees (from M2).</w:t>
      </w:r>
    </w:p>
    <w:p>
      <w:pPr>
        <w:numPr>
          <w:ilvl w:val="0"/>
          <w:numId w:val="1011"/>
        </w:numPr>
      </w:pPr>
      <w:r>
        <w:rPr>
          <w:b/>
        </w:rPr>
        <w:t xml:space="preserve">Billing Specialist transitions Draft → Issued.</w:t>
      </w:r>
      <w:r>
        <w:t xml:space="preserve"> </w:t>
      </w:r>
      <w:r>
        <w:t xml:space="preserve">The system</w:t>
      </w:r>
      <w:r>
        <w:t xml:space="preserve"> </w:t>
      </w:r>
      <w:r>
        <w:t xml:space="preserve">assigns the sequential invoice number and renders the PDF.</w:t>
      </w:r>
    </w:p>
    <w:p>
      <w:pPr>
        <w:numPr>
          <w:ilvl w:val="0"/>
          <w:numId w:val="1011"/>
        </w:numPr>
      </w:pPr>
      <w:r>
        <w:rPr>
          <w:b/>
        </w:rPr>
        <w:t xml:space="preserve">Issued → Sent</w:t>
      </w:r>
      <w:r>
        <w:t xml:space="preserve"> </w:t>
      </w:r>
      <w:r>
        <w:t xml:space="preserve">happens automatically when the invoice is</w:t>
      </w:r>
      <w:r>
        <w:t xml:space="preserve"> </w:t>
      </w:r>
      <w:r>
        <w:t xml:space="preserve">dispatched via email / portal.</w:t>
      </w:r>
    </w:p>
    <w:p>
      <w:pPr>
        <w:numPr>
          <w:ilvl w:val="0"/>
          <w:numId w:val="1011"/>
        </w:numPr>
      </w:pPr>
      <w:r>
        <w:rPr>
          <w:b/>
        </w:rPr>
        <w:t xml:space="preserve">Payment receipts</w:t>
      </w:r>
      <w:r>
        <w:t xml:space="preserve"> </w:t>
      </w:r>
      <w:r>
        <w:t xml:space="preserve">are posted as they arrive; the invoice</w:t>
      </w:r>
      <w:r>
        <w:t xml:space="preserve"> </w:t>
      </w:r>
      <w:r>
        <w:t xml:space="preserve">transitions to Paid when the outstanding balance reaches zero.</w:t>
      </w:r>
    </w:p>
    <w:p>
      <w:pPr>
        <w:numPr>
          <w:ilvl w:val="0"/>
          <w:numId w:val="1011"/>
        </w:numPr>
      </w:pPr>
      <w:r>
        <w:rPr>
          <w:b/>
        </w:rPr>
        <w:t xml:space="preserve">If the client disputes</w:t>
      </w:r>
      <w:r>
        <w:t xml:space="preserve"> </w:t>
      </w:r>
      <w:r>
        <w:t xml:space="preserve">the invoice from M12 Client Portal, the</w:t>
      </w:r>
      <w:r>
        <w:t xml:space="preserve"> </w:t>
      </w:r>
      <w:r>
        <w:t xml:space="preserve">invoice transitions to Disputed and the dispute-SLA clock starts.</w:t>
      </w:r>
    </w:p>
    <w:p>
      <w:pPr>
        <w:pStyle w:val="Heading2"/>
      </w:pPr>
      <w:bookmarkStart w:id="49" w:name="scheduled-invoice-recurring-service-fees"/>
      <w:r>
        <w:t xml:space="preserve">10.2 Scheduled Invoice (recurring service fees)</w:t>
      </w:r>
      <w:bookmarkEnd w:id="49"/>
    </w:p>
    <w:p>
      <w:pPr>
        <w:numPr>
          <w:ilvl w:val="0"/>
          <w:numId w:val="1013"/>
        </w:numPr>
      </w:pPr>
      <w:r>
        <w:t xml:space="preserve">On the configured cadence, the system creates a Draft invoice for</w:t>
      </w:r>
      <w:r>
        <w:t xml:space="preserve"> </w:t>
      </w:r>
      <w:r>
        <w:t xml:space="preserve">each client with a recurring service-fee line item.</w:t>
      </w:r>
    </w:p>
    <w:p>
      <w:pPr>
        <w:numPr>
          <w:ilvl w:val="0"/>
          <w:numId w:val="1013"/>
        </w:numPr>
      </w:pPr>
      <w:r>
        <w:t xml:space="preserve">Billing Specialist reviews and transitions to Issued.</w:t>
      </w:r>
    </w:p>
    <w:p>
      <w:pPr>
        <w:numPr>
          <w:ilvl w:val="0"/>
          <w:numId w:val="1013"/>
        </w:numPr>
      </w:pPr>
      <w:r>
        <w:t xml:space="preserve">Same downstream flow as §10.1 from step 5.</w:t>
      </w:r>
    </w:p>
    <w:p>
      <w:pPr>
        <w:pStyle w:val="Heading2"/>
      </w:pPr>
      <w:bookmarkStart w:id="50" w:name="manual-invoice"/>
      <w:r>
        <w:t xml:space="preserve">10.3 Manual Invoice</w:t>
      </w:r>
      <w:bookmarkEnd w:id="50"/>
    </w:p>
    <w:p>
      <w:pPr>
        <w:numPr>
          <w:ilvl w:val="0"/>
          <w:numId w:val="1014"/>
        </w:numPr>
      </w:pPr>
      <w:r>
        <w:t xml:space="preserve">Billing Specialist creates an invoice from scratch, selecting</w:t>
      </w:r>
      <w:r>
        <w:t xml:space="preserve"> </w:t>
      </w:r>
      <w:r>
        <w:t xml:space="preserve">client, service lines, quantities, and unit prices.</w:t>
      </w:r>
    </w:p>
    <w:p>
      <w:pPr>
        <w:numPr>
          <w:ilvl w:val="0"/>
          <w:numId w:val="1014"/>
        </w:numPr>
      </w:pPr>
      <w:r>
        <w:t xml:space="preserve">System computes totals per BR-M13-003 / FR-M13-204.</w:t>
      </w:r>
    </w:p>
    <w:p>
      <w:pPr>
        <w:numPr>
          <w:ilvl w:val="0"/>
          <w:numId w:val="1014"/>
        </w:numPr>
      </w:pPr>
      <w:r>
        <w:t xml:space="preserve">Billing Specialist transitions to Issued; downstream flow per §10.1.</w:t>
      </w:r>
    </w:p>
    <w:p>
      <w:pPr>
        <w:pStyle w:val="Heading2"/>
      </w:pPr>
      <w:bookmarkStart w:id="51" w:name="credit-note"/>
      <w:r>
        <w:t xml:space="preserve">10.4 Credit Note</w:t>
      </w:r>
      <w:bookmarkEnd w:id="51"/>
    </w:p>
    <w:p>
      <w:pPr>
        <w:numPr>
          <w:ilvl w:val="0"/>
          <w:numId w:val="1015"/>
        </w:numPr>
      </w:pPr>
      <w:r>
        <w:t xml:space="preserve">Billing Specialist creates a credit note against an Issued invoice,</w:t>
      </w:r>
      <w:r>
        <w:t xml:space="preserve"> </w:t>
      </w:r>
      <w:r>
        <w:t xml:space="preserve">selecting the line items to credit and a reason code.</w:t>
      </w:r>
    </w:p>
    <w:p>
      <w:pPr>
        <w:numPr>
          <w:ilvl w:val="0"/>
          <w:numId w:val="1015"/>
        </w:numPr>
      </w:pPr>
      <w:r>
        <w:t xml:space="preserve">System assigns a credit-note sequence number (separate series from</w:t>
      </w:r>
      <w:r>
        <w:t xml:space="preserve"> </w:t>
      </w:r>
      <w:r>
        <w:t xml:space="preserve">invoices).</w:t>
      </w:r>
    </w:p>
    <w:p>
      <w:pPr>
        <w:numPr>
          <w:ilvl w:val="0"/>
          <w:numId w:val="1015"/>
        </w:numPr>
      </w:pPr>
      <w:r>
        <w:t xml:space="preserve">Credit note is rendered, Issued, and dispatched; outstanding balance</w:t>
      </w:r>
      <w:r>
        <w:t xml:space="preserve"> </w:t>
      </w:r>
      <w:r>
        <w:t xml:space="preserve">on the original invoice is adjusted.</w:t>
      </w:r>
    </w:p>
    <w:p>
      <w:pPr>
        <w:pStyle w:val="Heading2"/>
      </w:pPr>
      <w:bookmarkStart w:id="52" w:name="dispute-resolution"/>
      <w:r>
        <w:t xml:space="preserve">10.5 Dispute Resolution</w:t>
      </w:r>
      <w:bookmarkEnd w:id="52"/>
    </w:p>
    <w:p>
      <w:pPr>
        <w:numPr>
          <w:ilvl w:val="0"/>
          <w:numId w:val="1016"/>
        </w:numPr>
      </w:pPr>
      <w:r>
        <w:t xml:space="preserve">Client raises dispute from M12 Client Portal with reason + evidence.</w:t>
      </w:r>
    </w:p>
    <w:p>
      <w:pPr>
        <w:numPr>
          <w:ilvl w:val="0"/>
          <w:numId w:val="1016"/>
        </w:numPr>
      </w:pPr>
      <w:r>
        <w:t xml:space="preserve">Invoice transitions to Disputed; Billing Operations notified.</w:t>
      </w:r>
    </w:p>
    <w:p>
      <w:pPr>
        <w:numPr>
          <w:ilvl w:val="0"/>
          <w:numId w:val="1016"/>
        </w:numPr>
      </w:pPr>
      <w:r>
        <w:t xml:space="preserve">Billing Specialist investigates, coordinates with Finance Director</w:t>
      </w:r>
      <w:r>
        <w:t xml:space="preserve"> </w:t>
      </w:r>
      <w:r>
        <w:t xml:space="preserve">and the payroll / expense owner.</w:t>
      </w:r>
    </w:p>
    <w:p>
      <w:pPr>
        <w:numPr>
          <w:ilvl w:val="0"/>
          <w:numId w:val="1016"/>
        </w:numPr>
      </w:pPr>
      <w:r>
        <w:t xml:space="preserve">Resolution is one of: dispute rejected (transition back to</w:t>
      </w:r>
      <w:r>
        <w:t xml:space="preserve"> </w:t>
      </w:r>
      <w:r>
        <w:t xml:space="preserve">Sent/Overdue), dispute accepted in part (credit note for the</w:t>
      </w:r>
      <w:r>
        <w:t xml:space="preserve"> </w:t>
      </w:r>
      <w:r>
        <w:t xml:space="preserve">disputed portion), dispute accepted in full (credit note for the</w:t>
      </w:r>
      <w:r>
        <w:t xml:space="preserve"> </w:t>
      </w:r>
      <w:r>
        <w:t xml:space="preserve">whole invoice).</w:t>
      </w:r>
    </w:p>
    <w:p>
      <w:pPr>
        <w:numPr>
          <w:ilvl w:val="0"/>
          <w:numId w:val="1016"/>
        </w:numPr>
      </w:pPr>
      <w:r>
        <w:t xml:space="preserve">Resolution reason code is stored and surfaced to M9 Analytics.</w:t>
      </w:r>
    </w:p>
    <w:p>
      <w:pPr>
        <w:pStyle w:val="Heading1"/>
      </w:pPr>
      <w:bookmarkStart w:id="53" w:name="data-requirements"/>
      <w:r>
        <w:t xml:space="preserve">11. Data Requirements</w:t>
      </w:r>
      <w:bookmarkEnd w:id="53"/>
    </w:p>
    <w:p>
      <w:pPr>
        <w:pStyle w:val="Heading2"/>
      </w:pPr>
      <w:bookmarkStart w:id="54" w:name="core-entities"/>
      <w:r>
        <w:t xml:space="preserve">11.1 Core Entities</w:t>
      </w:r>
      <w:bookmarkEnd w:id="54"/>
    </w:p>
    <w:p>
      <w:pPr>
        <w:numPr>
          <w:ilvl w:val="0"/>
          <w:numId w:val="1017"/>
        </w:numPr>
      </w:pPr>
      <w:r>
        <w:rPr>
          <w:b/>
        </w:rPr>
        <w:t xml:space="preserve">Client Billing Configuration</w:t>
      </w:r>
      <w:r>
        <w:t xml:space="preserve">: client-id, currency, VAT rate,</w:t>
      </w:r>
      <w:r>
        <w:t xml:space="preserve"> </w:t>
      </w:r>
      <w:r>
        <w:t xml:space="preserve">markup rate, markup effective-date, payment-term, billing cadence,</w:t>
      </w:r>
      <w:r>
        <w:t xml:space="preserve"> </w:t>
      </w:r>
      <w:r>
        <w:t xml:space="preserve">primary language, PO reference, cost-centre reference, dispute-SLA</w:t>
      </w:r>
      <w:r>
        <w:t xml:space="preserve"> </w:t>
      </w:r>
      <w:r>
        <w:t xml:space="preserve">(hours), active-flag, created-at, updated-at.</w:t>
      </w:r>
    </w:p>
    <w:p>
      <w:pPr>
        <w:numPr>
          <w:ilvl w:val="0"/>
          <w:numId w:val="1017"/>
        </w:numPr>
      </w:pPr>
      <w:r>
        <w:rPr>
          <w:b/>
        </w:rPr>
        <w:t xml:space="preserve">Invoice</w:t>
      </w:r>
      <w:r>
        <w:t xml:space="preserve">: invoice-number (sequential, per-legal-entity), client</w:t>
      </w:r>
      <w:r>
        <w:t xml:space="preserve"> </w:t>
      </w:r>
      <w:r>
        <w:t xml:space="preserve">id, period, state, subtotal, markup-amount, vat-amount, total,</w:t>
      </w:r>
      <w:r>
        <w:t xml:space="preserve"> </w:t>
      </w:r>
      <w:r>
        <w:t xml:space="preserve">currency, issued-at, sent-at, due-at, paid-at, outstanding-balance,</w:t>
      </w:r>
      <w:r>
        <w:t xml:space="preserve"> </w:t>
      </w:r>
      <w:r>
        <w:t xml:space="preserve">primary-language, attachments, source (payroll|scheduled|manual),</w:t>
      </w:r>
      <w:r>
        <w:t xml:space="preserve"> </w:t>
      </w:r>
      <w:r>
        <w:t xml:space="preserve">source-reference.</w:t>
      </w:r>
    </w:p>
    <w:p>
      <w:pPr>
        <w:numPr>
          <w:ilvl w:val="0"/>
          <w:numId w:val="1017"/>
        </w:numPr>
      </w:pPr>
      <w:r>
        <w:rPr>
          <w:b/>
        </w:rPr>
        <w:t xml:space="preserve">Invoice Line Item</w:t>
      </w:r>
      <w:r>
        <w:t xml:space="preserve">: invoice id, service-line code, description</w:t>
      </w:r>
      <w:r>
        <w:t xml:space="preserve"> </w:t>
      </w:r>
      <w:r>
        <w:t xml:space="preserve">(EN/AR), quantity, unit-price, markup-applied, vat-rate, line-total,</w:t>
      </w:r>
      <w:r>
        <w:t xml:space="preserve"> </w:t>
      </w:r>
      <w:r>
        <w:t xml:space="preserve">source-document-reference (e.g., payroll-run-id from M6).</w:t>
      </w:r>
    </w:p>
    <w:p>
      <w:pPr>
        <w:numPr>
          <w:ilvl w:val="0"/>
          <w:numId w:val="1017"/>
        </w:numPr>
      </w:pPr>
      <w:r>
        <w:rPr>
          <w:b/>
        </w:rPr>
        <w:t xml:space="preserve">Credit Note</w:t>
      </w:r>
      <w:r>
        <w:t xml:space="preserve">: credit-note-number, references invoice-number,</w:t>
      </w:r>
      <w:r>
        <w:t xml:space="preserve"> </w:t>
      </w:r>
      <w:r>
        <w:t xml:space="preserve">reason-code, amount, currency, issued-at.</w:t>
      </w:r>
    </w:p>
    <w:p>
      <w:pPr>
        <w:numPr>
          <w:ilvl w:val="0"/>
          <w:numId w:val="1017"/>
        </w:numPr>
      </w:pPr>
      <w:r>
        <w:rPr>
          <w:b/>
        </w:rPr>
        <w:t xml:space="preserve">Receipt</w:t>
      </w:r>
      <w:r>
        <w:t xml:space="preserve">: receipt-id, invoice-number(s), amount, currency,</w:t>
      </w:r>
      <w:r>
        <w:t xml:space="preserve"> </w:t>
      </w:r>
      <w:r>
        <w:t xml:space="preserve">received-at, payment-method, bank-reference, posted-by.</w:t>
      </w:r>
    </w:p>
    <w:p>
      <w:pPr>
        <w:numPr>
          <w:ilvl w:val="0"/>
          <w:numId w:val="1017"/>
        </w:numPr>
      </w:pPr>
      <w:r>
        <w:rPr>
          <w:b/>
        </w:rPr>
        <w:t xml:space="preserve">Dispute</w:t>
      </w:r>
      <w:r>
        <w:t xml:space="preserve">: dispute-id, invoice-number, raised-at, raised-by,</w:t>
      </w:r>
      <w:r>
        <w:t xml:space="preserve"> </w:t>
      </w:r>
      <w:r>
        <w:t xml:space="preserve">reason-code, evidence-attachment, status, resolution, resolved-at.</w:t>
      </w:r>
    </w:p>
    <w:p>
      <w:pPr>
        <w:numPr>
          <w:ilvl w:val="0"/>
          <w:numId w:val="1017"/>
        </w:numPr>
      </w:pPr>
      <w:r>
        <w:rPr>
          <w:b/>
        </w:rPr>
        <w:t xml:space="preserve">Audit Event</w:t>
      </w:r>
      <w:r>
        <w:t xml:space="preserve">: entity-type, entity-id, event-type, actor,</w:t>
      </w:r>
      <w:r>
        <w:t xml:space="preserve"> </w:t>
      </w:r>
      <w:r>
        <w:t xml:space="preserve">timestamp, before-state, after-state, reason.</w:t>
      </w:r>
    </w:p>
    <w:p>
      <w:pPr>
        <w:pStyle w:val="Heading2"/>
      </w:pPr>
      <w:bookmarkStart w:id="55" w:name="reference-data"/>
      <w:r>
        <w:t xml:space="preserve">11.2 Reference Data</w:t>
      </w:r>
      <w:bookmarkEnd w:id="55"/>
    </w:p>
    <w:p>
      <w:pPr>
        <w:numPr>
          <w:ilvl w:val="0"/>
          <w:numId w:val="1018"/>
        </w:numPr>
      </w:pPr>
      <w:r>
        <w:rPr>
          <w:b/>
        </w:rPr>
        <w:t xml:space="preserve">Service-Line Codes</w:t>
      </w:r>
      <w:r>
        <w:t xml:space="preserve">: Managed Payroll, Contractor Administration,</w:t>
      </w:r>
      <w:r>
        <w:t xml:space="preserve"> </w:t>
      </w:r>
      <w:r>
        <w:t xml:space="preserve">Benefits Administration, Recruitment Services, Professional</w:t>
      </w:r>
      <w:r>
        <w:t xml:space="preserve"> </w:t>
      </w:r>
      <w:r>
        <w:t xml:space="preserve">Services, Pass-Through Expenses.</w:t>
      </w:r>
    </w:p>
    <w:p>
      <w:pPr>
        <w:numPr>
          <w:ilvl w:val="0"/>
          <w:numId w:val="1018"/>
        </w:numPr>
      </w:pPr>
      <w:r>
        <w:rPr>
          <w:b/>
        </w:rPr>
        <w:t xml:space="preserve">Currency Codes</w:t>
      </w:r>
      <w:r>
        <w:t xml:space="preserve">: EGP, USD (extensible).</w:t>
      </w:r>
    </w:p>
    <w:p>
      <w:pPr>
        <w:numPr>
          <w:ilvl w:val="0"/>
          <w:numId w:val="1018"/>
        </w:numPr>
      </w:pPr>
      <w:r>
        <w:rPr>
          <w:b/>
        </w:rPr>
        <w:t xml:space="preserve">Dispute Reason Codes</w:t>
      </w:r>
      <w:r>
        <w:t xml:space="preserve">: Amount Disputed, Period Disputed, Scope</w:t>
      </w:r>
      <w:r>
        <w:t xml:space="preserve"> </w:t>
      </w:r>
      <w:r>
        <w:t xml:space="preserve">Disputed, VAT Disputed, Other.</w:t>
      </w:r>
    </w:p>
    <w:p>
      <w:pPr>
        <w:numPr>
          <w:ilvl w:val="0"/>
          <w:numId w:val="1018"/>
        </w:numPr>
      </w:pPr>
      <w:r>
        <w:rPr>
          <w:b/>
        </w:rPr>
        <w:t xml:space="preserve">Credit-Note Reason Codes</w:t>
      </w:r>
      <w:r>
        <w:t xml:space="preserve">: Pricing Correction, Scope Correction,</w:t>
      </w:r>
      <w:r>
        <w:t xml:space="preserve"> </w:t>
      </w:r>
      <w:r>
        <w:t xml:space="preserve">VAT Correction, Full Cancellation, Over-Payment Refund, Other.</w:t>
      </w:r>
    </w:p>
    <w:p>
      <w:pPr>
        <w:pStyle w:val="Heading2"/>
      </w:pPr>
      <w:bookmarkStart w:id="56" w:name="retention"/>
      <w:r>
        <w:t xml:space="preserve">11.3 Retention</w:t>
      </w:r>
      <w:bookmarkEnd w:id="56"/>
    </w:p>
    <w:p>
      <w:pPr>
        <w:pStyle w:val="FirstParagraph"/>
      </w:pPr>
      <w:r>
        <w:t xml:space="preserve">Invoices, credit notes, receipts, and audit events retained 7 years</w:t>
      </w:r>
      <w:r>
        <w:t xml:space="preserve"> </w:t>
      </w:r>
      <w:r>
        <w:t xml:space="preserve">minimum (Egyptian statutory retention); soft-archival thereafter with</w:t>
      </w:r>
      <w:r>
        <w:t xml:space="preserve"> </w:t>
      </w:r>
      <w:r>
        <w:t xml:space="preserve">restore-on-request.</w:t>
      </w:r>
    </w:p>
    <w:p>
      <w:pPr>
        <w:pStyle w:val="Heading1"/>
      </w:pPr>
      <w:bookmarkStart w:id="57" w:name="integrations"/>
      <w:r>
        <w:t xml:space="preserve">12. Integrations</w:t>
      </w:r>
      <w:bookmarkEnd w:id="57"/>
    </w:p>
    <w:p>
      <w:pPr>
        <w:pStyle w:val="Heading2"/>
      </w:pPr>
      <w:bookmarkStart w:id="58" w:name="X486d892212579cde226aa23d6a2363b92888d2d"/>
      <w:r>
        <w:t xml:space="preserve">12.1 Payroll-Triggered Invoice Contract (M6 → M13) — NEW in v2.0</w:t>
      </w:r>
      <w:bookmarkEnd w:id="58"/>
    </w:p>
    <w:p>
      <w:pPr>
        <w:pStyle w:val="FirstParagraph"/>
      </w:pPr>
      <w:r>
        <w:t xml:space="preserve">This is the defining integration of M13 v2.0.</w:t>
      </w:r>
    </w:p>
    <w:p>
      <w:pPr>
        <w:pStyle w:val="BodyText"/>
      </w:pPr>
      <w:r>
        <w:rPr>
          <w:b/>
        </w:rPr>
        <w:t xml:space="preserve">Trigger event:</w:t>
      </w:r>
      <w:r>
        <w:t xml:space="preserve"> </w:t>
      </w:r>
      <w:r>
        <w:t xml:space="preserve">Payroll-Released (emitted by M6 at the conclusion of</w:t>
      </w:r>
      <w:r>
        <w:t xml:space="preserve"> </w:t>
      </w:r>
      <w:r>
        <w:t xml:space="preserve">its 7-step process, Step 7 Payroll Release).</w:t>
      </w:r>
    </w:p>
    <w:p>
      <w:pPr>
        <w:pStyle w:val="BodyText"/>
      </w:pPr>
      <w:r>
        <w:rPr>
          <w:b/>
        </w:rPr>
        <w:t xml:space="preserve">Payload:</w:t>
      </w:r>
    </w:p>
    <w:p>
      <w:pPr>
        <w:numPr>
          <w:ilvl w:val="0"/>
          <w:numId w:val="1019"/>
        </w:numPr>
      </w:pPr>
      <w:r>
        <w:t xml:space="preserve">payroll-run-id (unique)</w:t>
      </w:r>
    </w:p>
    <w:p>
      <w:pPr>
        <w:numPr>
          <w:ilvl w:val="0"/>
          <w:numId w:val="1019"/>
        </w:numPr>
      </w:pPr>
      <w:r>
        <w:t xml:space="preserve">client-id</w:t>
      </w:r>
    </w:p>
    <w:p>
      <w:pPr>
        <w:numPr>
          <w:ilvl w:val="0"/>
          <w:numId w:val="1019"/>
        </w:numPr>
      </w:pPr>
      <w:r>
        <w:t xml:space="preserve">legal-entity-id</w:t>
      </w:r>
    </w:p>
    <w:p>
      <w:pPr>
        <w:numPr>
          <w:ilvl w:val="0"/>
          <w:numId w:val="1019"/>
        </w:numPr>
      </w:pPr>
      <w:r>
        <w:t xml:space="preserve">payroll-period (start / end)</w:t>
      </w:r>
    </w:p>
    <w:p>
      <w:pPr>
        <w:numPr>
          <w:ilvl w:val="0"/>
          <w:numId w:val="1019"/>
        </w:numPr>
      </w:pPr>
      <w:r>
        <w:t xml:space="preserve">headcount-processed</w:t>
      </w:r>
    </w:p>
    <w:p>
      <w:pPr>
        <w:numPr>
          <w:ilvl w:val="0"/>
          <w:numId w:val="1019"/>
        </w:numPr>
      </w:pPr>
      <w:r>
        <w:t xml:space="preserve">total-gross</w:t>
      </w:r>
    </w:p>
    <w:p>
      <w:pPr>
        <w:numPr>
          <w:ilvl w:val="0"/>
          <w:numId w:val="1019"/>
        </w:numPr>
      </w:pPr>
      <w:r>
        <w:t xml:space="preserve">total-net-disbursed</w:t>
      </w:r>
    </w:p>
    <w:p>
      <w:pPr>
        <w:numPr>
          <w:ilvl w:val="0"/>
          <w:numId w:val="1019"/>
        </w:numPr>
      </w:pPr>
      <w:r>
        <w:t xml:space="preserve">total-cost-to-company</w:t>
      </w:r>
    </w:p>
    <w:p>
      <w:pPr>
        <w:numPr>
          <w:ilvl w:val="0"/>
          <w:numId w:val="1019"/>
        </w:numPr>
      </w:pPr>
      <w:r>
        <w:t xml:space="preserve">tax-pool-total</w:t>
      </w:r>
    </w:p>
    <w:p>
      <w:pPr>
        <w:numPr>
          <w:ilvl w:val="0"/>
          <w:numId w:val="1019"/>
        </w:numPr>
      </w:pPr>
      <w:r>
        <w:t xml:space="preserve">dynamic-pay-summary (counts and totals by category)</w:t>
      </w:r>
    </w:p>
    <w:p>
      <w:pPr>
        <w:numPr>
          <w:ilvl w:val="0"/>
          <w:numId w:val="1019"/>
        </w:numPr>
      </w:pPr>
      <w:r>
        <w:t xml:space="preserve">currency (primary; secondary if dual-currency payout)</w:t>
      </w:r>
    </w:p>
    <w:p>
      <w:pPr>
        <w:numPr>
          <w:ilvl w:val="0"/>
          <w:numId w:val="1019"/>
        </w:numPr>
      </w:pPr>
      <w:r>
        <w:t xml:space="preserve">release-timestamp</w:t>
      </w:r>
    </w:p>
    <w:p>
      <w:pPr>
        <w:numPr>
          <w:ilvl w:val="0"/>
          <w:numId w:val="1019"/>
        </w:numPr>
      </w:pPr>
      <w:r>
        <w:t xml:space="preserve">release-actor</w:t>
      </w:r>
    </w:p>
    <w:p>
      <w:pPr>
        <w:numPr>
          <w:ilvl w:val="0"/>
          <w:numId w:val="1019"/>
        </w:numPr>
      </w:pPr>
      <w:r>
        <w:t xml:space="preserve">release-reason (standard | correction | off-cycle)</w:t>
      </w:r>
    </w:p>
    <w:p>
      <w:pPr>
        <w:pStyle w:val="FirstParagraph"/>
      </w:pPr>
      <w:r>
        <w:rPr>
          <w:b/>
        </w:rPr>
        <w:t xml:space="preserve">Expected M13 behaviour:</w:t>
      </w:r>
    </w:p>
    <w:p>
      <w:pPr>
        <w:numPr>
          <w:ilvl w:val="0"/>
          <w:numId w:val="1020"/>
        </w:numPr>
      </w:pPr>
      <w:r>
        <w:t xml:space="preserve">Acknowledge receipt within the NFR-M13-002 SLA (60 seconds).</w:t>
      </w:r>
    </w:p>
    <w:p>
      <w:pPr>
        <w:numPr>
          <w:ilvl w:val="0"/>
          <w:numId w:val="1020"/>
        </w:numPr>
      </w:pPr>
      <w:r>
        <w:t xml:space="preserve">Resolve client billing configuration; if none present, surface an</w:t>
      </w:r>
      <w:r>
        <w:t xml:space="preserve"> </w:t>
      </w:r>
      <w:r>
        <w:t xml:space="preserve">exception to Billing Operations and hold the event on a retry</w:t>
      </w:r>
      <w:r>
        <w:t xml:space="preserve"> </w:t>
      </w:r>
      <w:r>
        <w:t xml:space="preserve">queue.</w:t>
      </w:r>
    </w:p>
    <w:p>
      <w:pPr>
        <w:numPr>
          <w:ilvl w:val="0"/>
          <w:numId w:val="1020"/>
        </w:numPr>
      </w:pPr>
      <w:r>
        <w:t xml:space="preserve">Create a Draft invoice per §10.1 step 2.</w:t>
      </w:r>
    </w:p>
    <w:p>
      <w:pPr>
        <w:numPr>
          <w:ilvl w:val="0"/>
          <w:numId w:val="1020"/>
        </w:numPr>
      </w:pPr>
      <w:r>
        <w:t xml:space="preserve">Notify the Billing Operations queue.</w:t>
      </w:r>
    </w:p>
    <w:p>
      <w:pPr>
        <w:pStyle w:val="FirstParagraph"/>
      </w:pPr>
      <w:r>
        <w:rPr>
          <w:b/>
        </w:rPr>
        <w:t xml:space="preserve">Exception handling:</w:t>
      </w:r>
    </w:p>
    <w:p>
      <w:pPr>
        <w:numPr>
          <w:ilvl w:val="0"/>
          <w:numId w:val="1021"/>
        </w:numPr>
      </w:pPr>
      <w:r>
        <w:t xml:space="preserve">Missing billing configuration → hold, notify Billing Operations,</w:t>
      </w:r>
      <w:r>
        <w:t xml:space="preserve"> </w:t>
      </w:r>
      <w:r>
        <w:t xml:space="preserve">retry on configuration update.</w:t>
      </w:r>
    </w:p>
    <w:p>
      <w:pPr>
        <w:numPr>
          <w:ilvl w:val="0"/>
          <w:numId w:val="1021"/>
        </w:numPr>
      </w:pPr>
      <w:r>
        <w:t xml:space="preserve">Duplicate Payroll-Released event (same payroll-run-id) → idempotent;</w:t>
      </w:r>
      <w:r>
        <w:t xml:space="preserve"> </w:t>
      </w:r>
      <w:r>
        <w:t xml:space="preserve">existing Draft is updated, not duplicated.</w:t>
      </w:r>
    </w:p>
    <w:p>
      <w:pPr>
        <w:numPr>
          <w:ilvl w:val="0"/>
          <w:numId w:val="1021"/>
        </w:numPr>
      </w:pPr>
      <w:r>
        <w:t xml:space="preserve">Payroll correction event → create a delta Draft, clearly tagged as a</w:t>
      </w:r>
      <w:r>
        <w:t xml:space="preserve"> </w:t>
      </w:r>
      <w:r>
        <w:t xml:space="preserve">correction of the original.</w:t>
      </w:r>
    </w:p>
    <w:p>
      <w:pPr>
        <w:pStyle w:val="FirstParagraph"/>
      </w:pPr>
      <w:r>
        <w:rPr>
          <w:b/>
        </w:rPr>
        <w:t xml:space="preserve">Reverse path:</w:t>
      </w:r>
      <w:r>
        <w:t xml:space="preserve"> </w:t>
      </w:r>
      <w:r>
        <w:t xml:space="preserve">When an invoice reaches Paid in M13, M13 emits an</w:t>
      </w:r>
      <w:r>
        <w:t xml:space="preserve"> </w:t>
      </w:r>
      <w:r>
        <w:t xml:space="preserve">Invoice-Paid event back to M6 for reconciliation reporting. M13 does not</w:t>
      </w:r>
      <w:r>
        <w:t xml:space="preserve"> </w:t>
      </w:r>
      <w:r>
        <w:t xml:space="preserve">modify M6 payroll records.</w:t>
      </w:r>
    </w:p>
    <w:p>
      <w:pPr>
        <w:pStyle w:val="Heading2"/>
      </w:pPr>
      <w:bookmarkStart w:id="59" w:name="other-integrations"/>
      <w:r>
        <w:t xml:space="preserve">12.2 Other Integrations</w:t>
      </w:r>
      <w:bookmarkEnd w:id="59"/>
    </w:p>
    <w:p>
      <w:pPr>
        <w:numPr>
          <w:ilvl w:val="0"/>
          <w:numId w:val="1022"/>
        </w:numPr>
      </w:pPr>
      <w:r>
        <w:rPr>
          <w:b/>
        </w:rPr>
        <w:t xml:space="preserve">M7 Benefits and Expenses</w:t>
      </w:r>
      <w:r>
        <w:t xml:space="preserve"> </w:t>
      </w:r>
      <w:r>
        <w:t xml:space="preserve">→ expense pass-through lines on client</w:t>
      </w:r>
      <w:r>
        <w:t xml:space="preserve"> </w:t>
      </w:r>
      <w:r>
        <w:t xml:space="preserve">invoices (when the expense is client-billable).</w:t>
      </w:r>
    </w:p>
    <w:p>
      <w:pPr>
        <w:numPr>
          <w:ilvl w:val="0"/>
          <w:numId w:val="1022"/>
        </w:numPr>
      </w:pPr>
      <w:r>
        <w:rPr>
          <w:b/>
        </w:rPr>
        <w:t xml:space="preserve">M8 Contractor Management</w:t>
      </w:r>
      <w:r>
        <w:t xml:space="preserve"> </w:t>
      </w:r>
      <w:r>
        <w:t xml:space="preserve">→ contractor administration fees,</w:t>
      </w:r>
      <w:r>
        <w:t xml:space="preserve"> </w:t>
      </w:r>
      <w:r>
        <w:t xml:space="preserve">pass-through contractor payments.</w:t>
      </w:r>
    </w:p>
    <w:p>
      <w:pPr>
        <w:numPr>
          <w:ilvl w:val="0"/>
          <w:numId w:val="1022"/>
        </w:numPr>
      </w:pPr>
      <w:r>
        <w:rPr>
          <w:b/>
        </w:rPr>
        <w:t xml:space="preserve">M2 Recruitment ATS</w:t>
      </w:r>
      <w:r>
        <w:t xml:space="preserve"> </w:t>
      </w:r>
      <w:r>
        <w:t xml:space="preserve">→ placement success fees.</w:t>
      </w:r>
    </w:p>
    <w:p>
      <w:pPr>
        <w:numPr>
          <w:ilvl w:val="0"/>
          <w:numId w:val="1022"/>
        </w:numPr>
      </w:pPr>
      <w:r>
        <w:rPr>
          <w:b/>
        </w:rPr>
        <w:t xml:space="preserve">M9 Analytics</w:t>
      </w:r>
      <w:r>
        <w:t xml:space="preserve"> </w:t>
      </w:r>
      <w:r>
        <w:t xml:space="preserve">→ read-side projections for client profitability,</w:t>
      </w:r>
      <w:r>
        <w:t xml:space="preserve"> </w:t>
      </w:r>
      <w:r>
        <w:t xml:space="preserve">revenue by service line, dispute aging.</w:t>
      </w:r>
    </w:p>
    <w:p>
      <w:pPr>
        <w:numPr>
          <w:ilvl w:val="0"/>
          <w:numId w:val="1022"/>
        </w:numPr>
      </w:pPr>
      <w:r>
        <w:rPr>
          <w:b/>
        </w:rPr>
        <w:t xml:space="preserve">M10 System Administration</w:t>
      </w:r>
      <w:r>
        <w:t xml:space="preserve"> </w:t>
      </w:r>
      <w:r>
        <w:t xml:space="preserve">→ role-based access to billing data,</w:t>
      </w:r>
      <w:r>
        <w:t xml:space="preserve"> </w:t>
      </w:r>
      <w:r>
        <w:t xml:space="preserve">per-legal-entity invoice series configuration.</w:t>
      </w:r>
    </w:p>
    <w:p>
      <w:pPr>
        <w:numPr>
          <w:ilvl w:val="0"/>
          <w:numId w:val="1022"/>
        </w:numPr>
      </w:pPr>
      <w:r>
        <w:rPr>
          <w:b/>
        </w:rPr>
        <w:t xml:space="preserve">M12 Client Portal</w:t>
      </w:r>
      <w:r>
        <w:t xml:space="preserve"> </w:t>
      </w:r>
      <w:r>
        <w:t xml:space="preserve">→ client-facing invoice list, invoice PDF</w:t>
      </w:r>
      <w:r>
        <w:t xml:space="preserve"> </w:t>
      </w:r>
      <w:r>
        <w:t xml:space="preserve">download, dispute initiation.</w:t>
      </w:r>
    </w:p>
    <w:p>
      <w:pPr>
        <w:numPr>
          <w:ilvl w:val="0"/>
          <w:numId w:val="1022"/>
        </w:numPr>
      </w:pPr>
      <w:r>
        <w:rPr>
          <w:b/>
        </w:rPr>
        <w:t xml:space="preserve">External GL (read-only export)</w:t>
      </w:r>
      <w:r>
        <w:t xml:space="preserve"> </w:t>
      </w:r>
      <w:r>
        <w:t xml:space="preserve">→ daily or monthly export of</w:t>
      </w:r>
      <w:r>
        <w:t xml:space="preserve"> </w:t>
      </w:r>
      <w:r>
        <w:t xml:space="preserve">invoice ledger and receipt ledger for posting in the corporate</w:t>
      </w:r>
      <w:r>
        <w:t xml:space="preserve"> </w:t>
      </w:r>
      <w:r>
        <w:t xml:space="preserve">accounting system (QuickBooks / SAP / Oracle, per tenant).</w:t>
      </w:r>
    </w:p>
    <w:p>
      <w:pPr>
        <w:pStyle w:val="Heading1"/>
      </w:pPr>
      <w:bookmarkStart w:id="60" w:name="compliance"/>
      <w:r>
        <w:t xml:space="preserve">13. Compliance</w:t>
      </w:r>
      <w:bookmarkEnd w:id="60"/>
    </w:p>
    <w:p>
      <w:pPr>
        <w:numPr>
          <w:ilvl w:val="0"/>
          <w:numId w:val="1023"/>
        </w:numPr>
      </w:pPr>
      <w:r>
        <w:rPr>
          <w:b/>
        </w:rPr>
        <w:t xml:space="preserve">Egyptian VAT regulation</w:t>
      </w:r>
      <w:r>
        <w:t xml:space="preserve"> </w:t>
      </w:r>
      <w:r>
        <w:t xml:space="preserve">— invoices must carry the tax</w:t>
      </w:r>
      <w:r>
        <w:t xml:space="preserve"> </w:t>
      </w:r>
      <w:r>
        <w:t xml:space="preserve">registration number, VAT rate, VAT amount, and invoice-series</w:t>
      </w:r>
      <w:r>
        <w:t xml:space="preserve"> </w:t>
      </w:r>
      <w:r>
        <w:t xml:space="preserve">number; bilingual format supported.</w:t>
      </w:r>
    </w:p>
    <w:p>
      <w:pPr>
        <w:numPr>
          <w:ilvl w:val="0"/>
          <w:numId w:val="1023"/>
        </w:numPr>
      </w:pPr>
      <w:r>
        <w:rPr>
          <w:b/>
        </w:rPr>
        <w:t xml:space="preserve">Data retention</w:t>
      </w:r>
      <w:r>
        <w:t xml:space="preserve"> </w:t>
      </w:r>
      <w:r>
        <w:t xml:space="preserve">— 7 years for invoices, credit notes, receipts,</w:t>
      </w:r>
      <w:r>
        <w:t xml:space="preserve"> </w:t>
      </w:r>
      <w:r>
        <w:t xml:space="preserve">and audit events.</w:t>
      </w:r>
    </w:p>
    <w:p>
      <w:pPr>
        <w:numPr>
          <w:ilvl w:val="0"/>
          <w:numId w:val="1023"/>
        </w:numPr>
      </w:pPr>
      <w:r>
        <w:rPr>
          <w:b/>
        </w:rPr>
        <w:t xml:space="preserve">Segregation of duties</w:t>
      </w:r>
      <w:r>
        <w:t xml:space="preserve"> </w:t>
      </w:r>
      <w:r>
        <w:t xml:space="preserve">— the user who approves a client markup</w:t>
      </w:r>
      <w:r>
        <w:t xml:space="preserve"> </w:t>
      </w:r>
      <w:r>
        <w:t xml:space="preserve">change cannot be the same user who issues the invoice that uses the</w:t>
      </w:r>
      <w:r>
        <w:t xml:space="preserve"> </w:t>
      </w:r>
      <w:r>
        <w:t xml:space="preserve">new markup (enforced at role-permission level).</w:t>
      </w:r>
    </w:p>
    <w:p>
      <w:pPr>
        <w:numPr>
          <w:ilvl w:val="0"/>
          <w:numId w:val="1023"/>
        </w:numPr>
      </w:pPr>
      <w:r>
        <w:rPr>
          <w:b/>
        </w:rPr>
        <w:t xml:space="preserve">Audit trail immutability</w:t>
      </w:r>
      <w:r>
        <w:t xml:space="preserve"> </w:t>
      </w:r>
      <w:r>
        <w:t xml:space="preserve">— append-only; audit events cannot be</w:t>
      </w:r>
      <w:r>
        <w:t xml:space="preserve"> </w:t>
      </w:r>
      <w:r>
        <w:t xml:space="preserve">edited or deleted.</w:t>
      </w:r>
    </w:p>
    <w:p>
      <w:pPr>
        <w:numPr>
          <w:ilvl w:val="0"/>
          <w:numId w:val="1023"/>
        </w:numPr>
      </w:pPr>
      <w:r>
        <w:rPr>
          <w:b/>
        </w:rPr>
        <w:t xml:space="preserve">GDPR / Egyptian Data Protection Law</w:t>
      </w:r>
      <w:r>
        <w:t xml:space="preserve"> </w:t>
      </w:r>
      <w:r>
        <w:t xml:space="preserve">— personal data inside</w:t>
      </w:r>
      <w:r>
        <w:t xml:space="preserve"> </w:t>
      </w:r>
      <w:r>
        <w:t xml:space="preserve">invoice attachments (e.g., employee-level payroll register) is</w:t>
      </w:r>
      <w:r>
        <w:t xml:space="preserve"> </w:t>
      </w:r>
      <w:r>
        <w:t xml:space="preserve">access-controlled and not exposed to the client in aggregate-only</w:t>
      </w:r>
      <w:r>
        <w:t xml:space="preserve"> </w:t>
      </w:r>
      <w:r>
        <w:t xml:space="preserve">view.</w:t>
      </w:r>
    </w:p>
    <w:p>
      <w:pPr>
        <w:pStyle w:val="Heading1"/>
      </w:pPr>
      <w:bookmarkStart w:id="61" w:name="user-acceptance-testing"/>
      <w:r>
        <w:t xml:space="preserve">14. User Acceptance Testing</w:t>
      </w:r>
      <w:bookmarkEnd w:id="61"/>
    </w:p>
    <w:p>
      <w:pPr>
        <w:pStyle w:val="Heading2"/>
      </w:pPr>
      <w:bookmarkStart w:id="62" w:name="uat-scope"/>
      <w:r>
        <w:t xml:space="preserve">14.1 UAT Scope</w:t>
      </w:r>
      <w:bookmarkEnd w:id="62"/>
    </w:p>
    <w:p>
      <w:pPr>
        <w:numPr>
          <w:ilvl w:val="0"/>
          <w:numId w:val="1024"/>
        </w:numPr>
      </w:pPr>
      <w:r>
        <w:t xml:space="preserve">End-to-end: payroll release in M6 produces a Draft invoice in M13</w:t>
      </w:r>
      <w:r>
        <w:t xml:space="preserve"> </w:t>
      </w:r>
      <w:r>
        <w:t xml:space="preserve">within 60 seconds, with correct markup, VAT, and currency.</w:t>
      </w:r>
    </w:p>
    <w:p>
      <w:pPr>
        <w:numPr>
          <w:ilvl w:val="0"/>
          <w:numId w:val="1024"/>
        </w:numPr>
      </w:pPr>
      <w:r>
        <w:t xml:space="preserve">Invoice transition from Draft → Issued assigns the next sequential</w:t>
      </w:r>
      <w:r>
        <w:t xml:space="preserve"> </w:t>
      </w:r>
      <w:r>
        <w:t xml:space="preserve">number and produces a valid bilingual PDF with VAT block.</w:t>
      </w:r>
    </w:p>
    <w:p>
      <w:pPr>
        <w:numPr>
          <w:ilvl w:val="0"/>
          <w:numId w:val="1024"/>
        </w:numPr>
      </w:pPr>
      <w:r>
        <w:t xml:space="preserve">Partial payment posts correctly; outstanding balance updates.</w:t>
      </w:r>
    </w:p>
    <w:p>
      <w:pPr>
        <w:numPr>
          <w:ilvl w:val="0"/>
          <w:numId w:val="1024"/>
        </w:numPr>
      </w:pPr>
      <w:r>
        <w:t xml:space="preserve">Credit note against an Issued invoice; outstanding balance updates.</w:t>
      </w:r>
    </w:p>
    <w:p>
      <w:pPr>
        <w:numPr>
          <w:ilvl w:val="0"/>
          <w:numId w:val="1024"/>
        </w:numPr>
      </w:pPr>
      <w:r>
        <w:t xml:space="preserve">Dispute from client portal transitions invoice to Disputed; SLA</w:t>
      </w:r>
      <w:r>
        <w:t xml:space="preserve"> </w:t>
      </w:r>
      <w:r>
        <w:t xml:space="preserve">clock starts.</w:t>
      </w:r>
    </w:p>
    <w:p>
      <w:pPr>
        <w:numPr>
          <w:ilvl w:val="0"/>
          <w:numId w:val="1024"/>
        </w:numPr>
      </w:pPr>
      <w:r>
        <w:t xml:space="preserve">Aged receivables report bucketing is correct.</w:t>
      </w:r>
    </w:p>
    <w:p>
      <w:pPr>
        <w:numPr>
          <w:ilvl w:val="0"/>
          <w:numId w:val="1024"/>
        </w:numPr>
      </w:pPr>
      <w:r>
        <w:t xml:space="preserve">Invoice completeness report flags a payroll run without an</w:t>
      </w:r>
      <w:r>
        <w:t xml:space="preserve"> </w:t>
      </w:r>
      <w:r>
        <w:t xml:space="preserve">associated invoice.</w:t>
      </w:r>
    </w:p>
    <w:p>
      <w:pPr>
        <w:numPr>
          <w:ilvl w:val="0"/>
          <w:numId w:val="1024"/>
        </w:numPr>
      </w:pPr>
      <w:r>
        <w:t xml:space="preserve">Audit trail captures every state change.</w:t>
      </w:r>
    </w:p>
    <w:p>
      <w:pPr>
        <w:pStyle w:val="Heading2"/>
      </w:pPr>
      <w:bookmarkStart w:id="63" w:name="acceptance-criteria"/>
      <w:r>
        <w:t xml:space="preserve">14.2 Acceptance Criteria</w:t>
      </w:r>
      <w:bookmarkEnd w:id="63"/>
    </w:p>
    <w:p>
      <w:pPr>
        <w:numPr>
          <w:ilvl w:val="0"/>
          <w:numId w:val="1025"/>
        </w:numPr>
      </w:pPr>
      <w:r>
        <w:t xml:space="preserve">Zero orphaned payroll runs (no Payroll-Released event without a</w:t>
      </w:r>
      <w:r>
        <w:t xml:space="preserve"> </w:t>
      </w:r>
      <w:r>
        <w:t xml:space="preserve">corresponding M13 Draft or exception ticket).</w:t>
      </w:r>
    </w:p>
    <w:p>
      <w:pPr>
        <w:numPr>
          <w:ilvl w:val="0"/>
          <w:numId w:val="1025"/>
        </w:numPr>
      </w:pPr>
      <w:r>
        <w:t xml:space="preserve">Zero duplicate invoice numbers.</w:t>
      </w:r>
    </w:p>
    <w:p>
      <w:pPr>
        <w:numPr>
          <w:ilvl w:val="0"/>
          <w:numId w:val="1025"/>
        </w:numPr>
      </w:pPr>
      <w:r>
        <w:t xml:space="preserve">Zero edits to Issued invoices (only credit notes).</w:t>
      </w:r>
    </w:p>
    <w:p>
      <w:pPr>
        <w:numPr>
          <w:ilvl w:val="0"/>
          <w:numId w:val="1025"/>
        </w:numPr>
      </w:pPr>
      <w:r>
        <w:t xml:space="preserve">100% audit coverage of state transitions.</w:t>
      </w:r>
    </w:p>
    <w:p>
      <w:pPr>
        <w:numPr>
          <w:ilvl w:val="0"/>
          <w:numId w:val="1025"/>
        </w:numPr>
      </w:pPr>
      <w:r>
        <w:t xml:space="preserve">PDF rendering within 5 seconds at p95.</w:t>
      </w:r>
    </w:p>
    <w:p>
      <w:pPr>
        <w:pStyle w:val="Heading1"/>
      </w:pPr>
      <w:bookmarkStart w:id="64" w:name="dependencies"/>
      <w:r>
        <w:t xml:space="preserve">15. Dependencies</w:t>
      </w:r>
      <w:bookmarkEnd w:id="64"/>
    </w:p>
    <w:p>
      <w:pPr>
        <w:numPr>
          <w:ilvl w:val="0"/>
          <w:numId w:val="1026"/>
        </w:numPr>
      </w:pPr>
      <w:r>
        <w:rPr>
          <w:b/>
        </w:rPr>
        <w:t xml:space="preserve">M6 Payroll &amp; Compensation</w:t>
      </w:r>
      <w:r>
        <w:t xml:space="preserve"> </w:t>
      </w:r>
      <w:r>
        <w:t xml:space="preserve">— must emit the Payroll-Released</w:t>
      </w:r>
      <w:r>
        <w:t xml:space="preserve"> </w:t>
      </w:r>
      <w:r>
        <w:t xml:space="preserve">event per §12.1 payload.</w:t>
      </w:r>
    </w:p>
    <w:p>
      <w:pPr>
        <w:numPr>
          <w:ilvl w:val="0"/>
          <w:numId w:val="1026"/>
        </w:numPr>
      </w:pPr>
      <w:r>
        <w:rPr>
          <w:b/>
        </w:rPr>
        <w:t xml:space="preserve">M7 Benefits &amp; Expenses</w:t>
      </w:r>
      <w:r>
        <w:t xml:space="preserve"> </w:t>
      </w:r>
      <w:r>
        <w:t xml:space="preserve">— provides client-billable expense</w:t>
      </w:r>
      <w:r>
        <w:t xml:space="preserve"> </w:t>
      </w:r>
      <w:r>
        <w:t xml:space="preserve">lines.</w:t>
      </w:r>
    </w:p>
    <w:p>
      <w:pPr>
        <w:numPr>
          <w:ilvl w:val="0"/>
          <w:numId w:val="1026"/>
        </w:numPr>
      </w:pPr>
      <w:r>
        <w:rPr>
          <w:b/>
        </w:rPr>
        <w:t xml:space="preserve">M8 Contractor Management</w:t>
      </w:r>
      <w:r>
        <w:t xml:space="preserve"> </w:t>
      </w:r>
      <w:r>
        <w:t xml:space="preserve">— provides contractor fee lines.</w:t>
      </w:r>
    </w:p>
    <w:p>
      <w:pPr>
        <w:numPr>
          <w:ilvl w:val="0"/>
          <w:numId w:val="1026"/>
        </w:numPr>
      </w:pPr>
      <w:r>
        <w:rPr>
          <w:b/>
        </w:rPr>
        <w:t xml:space="preserve">M9 Analytics</w:t>
      </w:r>
      <w:r>
        <w:t xml:space="preserve"> </w:t>
      </w:r>
      <w:r>
        <w:t xml:space="preserve">— consumes the read-side projections.</w:t>
      </w:r>
    </w:p>
    <w:p>
      <w:pPr>
        <w:numPr>
          <w:ilvl w:val="0"/>
          <w:numId w:val="1026"/>
        </w:numPr>
      </w:pPr>
      <w:r>
        <w:rPr>
          <w:b/>
        </w:rPr>
        <w:t xml:space="preserve">M10 System Administration</w:t>
      </w:r>
      <w:r>
        <w:t xml:space="preserve"> </w:t>
      </w:r>
      <w:r>
        <w:t xml:space="preserve">— role model, legal-entity series</w:t>
      </w:r>
      <w:r>
        <w:t xml:space="preserve"> </w:t>
      </w:r>
      <w:r>
        <w:t xml:space="preserve">configuration.</w:t>
      </w:r>
    </w:p>
    <w:p>
      <w:pPr>
        <w:numPr>
          <w:ilvl w:val="0"/>
          <w:numId w:val="1026"/>
        </w:numPr>
      </w:pPr>
      <w:r>
        <w:rPr>
          <w:b/>
        </w:rPr>
        <w:t xml:space="preserve">M12 Client Portal</w:t>
      </w:r>
      <w:r>
        <w:t xml:space="preserve"> </w:t>
      </w:r>
      <w:r>
        <w:t xml:space="preserve">— client-side invoice view and dispute</w:t>
      </w:r>
      <w:r>
        <w:t xml:space="preserve"> </w:t>
      </w:r>
      <w:r>
        <w:t xml:space="preserve">submission.</w:t>
      </w:r>
    </w:p>
    <w:p>
      <w:pPr>
        <w:pStyle w:val="Heading1"/>
      </w:pPr>
      <w:bookmarkStart w:id="65" w:name="risks-and-mitigations"/>
      <w:r>
        <w:t xml:space="preserve">16. Risks and Mitigations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Payroll-Released event is lost or delayed</w:t>
            </w:r>
          </w:p>
        </w:tc>
        <w:tc>
          <w:p>
            <w:pPr>
              <w:pStyle w:val="Compact"/>
              <w:jc w:val="left"/>
            </w:pPr>
            <w:r>
              <w:t xml:space="preserve">Retry queue with alerting; daily reconciliation of payroll runs vs. invoice drafts (invoice completeness report, FR-M13-503).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 numbering gap under concurrent release</w:t>
            </w:r>
          </w:p>
        </w:tc>
        <w:tc>
          <w:p>
            <w:pPr>
              <w:pStyle w:val="Compact"/>
              <w:jc w:val="left"/>
            </w:pPr>
            <w:r>
              <w:t xml:space="preserve">Serialisable numbering transaction per NFR-M13-003; integration test harness.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Markup-rate changes applied to in-flight invoices</w:t>
            </w:r>
          </w:p>
        </w:tc>
        <w:tc>
          <w:p>
            <w:pPr>
              <w:pStyle w:val="Compact"/>
              <w:jc w:val="left"/>
            </w:pPr>
            <w:r>
              <w:t xml:space="preserve">Effective-dating on billing configuration (FR-M13-102); the markup applied is frozen into the invoice line at Issued.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dispute volume exceeds SLA capacity</w:t>
            </w:r>
          </w:p>
        </w:tc>
        <w:tc>
          <w:p>
            <w:pPr>
              <w:pStyle w:val="Compact"/>
              <w:jc w:val="left"/>
            </w:pPr>
            <w:r>
              <w:t xml:space="preserve">Dispute-reason analytics (FR-M13-504) to identify systemic causes; escalation workflow.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Currency fluctuation between payroll release and invoice payment</w:t>
            </w:r>
          </w:p>
        </w:tc>
        <w:tc>
          <w:p>
            <w:pPr>
              <w:pStyle w:val="Compact"/>
              <w:jc w:val="left"/>
            </w:pPr>
            <w:r>
              <w:t xml:space="preserve">FX-date policy documented per client; secondary-currency payout footnoted on invoice for transparency.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Legal-entity mis-assignment produces invoice in the wrong series</w:t>
            </w:r>
          </w:p>
        </w:tc>
        <w:tc>
          <w:p>
            <w:pPr>
              <w:pStyle w:val="Compact"/>
              <w:jc w:val="left"/>
            </w:pPr>
            <w:r>
              <w:t xml:space="preserve">Legal-entity is resolved from client-billing-configuration, not entered manually at invoice creation.</w:t>
            </w:r>
          </w:p>
        </w:tc>
      </w:tr>
    </w:tbl>
    <w:p>
      <w:pPr>
        <w:pStyle w:val="Heading1"/>
      </w:pPr>
      <w:bookmarkStart w:id="66" w:name="appendix"/>
      <w:r>
        <w:t xml:space="preserve">17. Appendix</w:t>
      </w:r>
      <w:bookmarkEnd w:id="66"/>
    </w:p>
    <w:p>
      <w:pPr>
        <w:pStyle w:val="Heading2"/>
      </w:pPr>
      <w:bookmarkStart w:id="67" w:name="glossary"/>
      <w:r>
        <w:t xml:space="preserve">17.1 Glossary</w:t>
      </w:r>
      <w:bookmarkEnd w:id="67"/>
    </w:p>
    <w:p>
      <w:pPr>
        <w:numPr>
          <w:ilvl w:val="0"/>
          <w:numId w:val="1027"/>
        </w:numPr>
      </w:pPr>
      <w:r>
        <w:rPr>
          <w:b/>
        </w:rPr>
        <w:t xml:space="preserve">Markup rate</w:t>
      </w:r>
      <w:r>
        <w:t xml:space="preserve"> </w:t>
      </w:r>
      <w:r>
        <w:t xml:space="preserve">— the per-client percentage applied on top of the</w:t>
      </w:r>
      <w:r>
        <w:t xml:space="preserve"> </w:t>
      </w:r>
      <w:r>
        <w:t xml:space="preserve">cost basis (payroll disbursed, contractor paid, etc.) to arrive at</w:t>
      </w:r>
      <w:r>
        <w:t xml:space="preserve"> </w:t>
      </w:r>
      <w:r>
        <w:t xml:space="preserve">the invoiced service fee.</w:t>
      </w:r>
    </w:p>
    <w:p>
      <w:pPr>
        <w:numPr>
          <w:ilvl w:val="0"/>
          <w:numId w:val="1027"/>
        </w:numPr>
      </w:pPr>
      <w:r>
        <w:rPr>
          <w:b/>
        </w:rPr>
        <w:t xml:space="preserve">Tax pool</w:t>
      </w:r>
      <w:r>
        <w:t xml:space="preserve"> </w:t>
      </w:r>
      <w:r>
        <w:t xml:space="preserve">— the portion of gross pay that is subject to tax</w:t>
      </w:r>
      <w:r>
        <w:t xml:space="preserve"> </w:t>
      </w:r>
      <w:r>
        <w:t xml:space="preserve">(see M6 §11 and M7 BR-M7-006).</w:t>
      </w:r>
    </w:p>
    <w:p>
      <w:pPr>
        <w:numPr>
          <w:ilvl w:val="0"/>
          <w:numId w:val="1027"/>
        </w:numPr>
      </w:pPr>
      <w:r>
        <w:rPr>
          <w:b/>
        </w:rPr>
        <w:t xml:space="preserve">Payroll-Released event</w:t>
      </w:r>
      <w:r>
        <w:t xml:space="preserve"> </w:t>
      </w:r>
      <w:r>
        <w:t xml:space="preserve">— the canonical event emitted by M6 at</w:t>
      </w:r>
      <w:r>
        <w:t xml:space="preserve"> </w:t>
      </w:r>
      <w:r>
        <w:t xml:space="preserve">Step 7 of its process, signalling that a payroll run is finalised</w:t>
      </w:r>
      <w:r>
        <w:t xml:space="preserve"> </w:t>
      </w:r>
      <w:r>
        <w:t xml:space="preserve">and ready to be billed.</w:t>
      </w:r>
    </w:p>
    <w:p>
      <w:pPr>
        <w:numPr>
          <w:ilvl w:val="0"/>
          <w:numId w:val="1027"/>
        </w:numPr>
      </w:pPr>
      <w:r>
        <w:rPr>
          <w:b/>
        </w:rPr>
        <w:t xml:space="preserve">Sequential invoice number</w:t>
      </w:r>
      <w:r>
        <w:t xml:space="preserve"> </w:t>
      </w:r>
      <w:r>
        <w:t xml:space="preserve">— gap-free per-legal-entity</w:t>
      </w:r>
      <w:r>
        <w:t xml:space="preserve"> </w:t>
      </w:r>
      <w:r>
        <w:t xml:space="preserve">numbering required by the Egyptian Tax Authority.</w:t>
      </w:r>
    </w:p>
    <w:p>
      <w:pPr>
        <w:numPr>
          <w:ilvl w:val="0"/>
          <w:numId w:val="1027"/>
        </w:numPr>
      </w:pPr>
      <w:r>
        <w:rPr>
          <w:b/>
        </w:rPr>
        <w:t xml:space="preserve">Pro-forma invoice</w:t>
      </w:r>
      <w:r>
        <w:t xml:space="preserve"> </w:t>
      </w:r>
      <w:r>
        <w:t xml:space="preserve">— a non-sequential, watermarked quotation</w:t>
      </w:r>
      <w:r>
        <w:t xml:space="preserve"> </w:t>
      </w:r>
      <w:r>
        <w:t xml:space="preserve">document; not a tax invoice.</w:t>
      </w:r>
    </w:p>
    <w:p>
      <w:pPr>
        <w:pStyle w:val="Heading2"/>
      </w:pPr>
      <w:bookmarkStart w:id="68" w:name="references"/>
      <w:r>
        <w:t xml:space="preserve">17.2 References</w:t>
      </w:r>
      <w:bookmarkEnd w:id="68"/>
    </w:p>
    <w:p>
      <w:pPr>
        <w:numPr>
          <w:ilvl w:val="0"/>
          <w:numId w:val="1028"/>
        </w:numPr>
      </w:pPr>
      <w:r>
        <w:t xml:space="preserve">Egybell Legacy Payroll System Walkthrough (PDF, 19 Apr 2026) —</w:t>
      </w:r>
      <w:r>
        <w:t xml:space="preserve"> </w:t>
      </w:r>
      <w:r>
        <w:t xml:space="preserve">archived at /Modules/M6-Payroll-Compensation/Business Docs/.</w:t>
      </w:r>
    </w:p>
    <w:p>
      <w:pPr>
        <w:numPr>
          <w:ilvl w:val="0"/>
          <w:numId w:val="1028"/>
        </w:numPr>
      </w:pPr>
      <w:r>
        <w:t xml:space="preserve">M6 BRD v3 — Payroll &amp; Compensation.</w:t>
      </w:r>
    </w:p>
    <w:p>
      <w:pPr>
        <w:numPr>
          <w:ilvl w:val="0"/>
          <w:numId w:val="1028"/>
        </w:numPr>
      </w:pPr>
      <w:r>
        <w:t xml:space="preserve">M7 BRD v2 — Benefits &amp; Expenses.</w:t>
      </w:r>
    </w:p>
    <w:p>
      <w:pPr>
        <w:numPr>
          <w:ilvl w:val="0"/>
          <w:numId w:val="1028"/>
        </w:numPr>
      </w:pPr>
      <w:r>
        <w:t xml:space="preserve">Egyptian Tax Authority VAT Regulation.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document. Module M13 — Billing and Invoicing — Version 2.0</w:t>
      </w:r>
      <w:r>
        <w:rPr>
          <w:i/>
        </w:rPr>
        <w:t xml:space="preserve"> </w:t>
      </w:r>
      <w:r>
        <w:rPr>
          <w:i/>
        </w:rPr>
        <w:t xml:space="preserve">— Issued 19 April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 w:eastAsia="Inter" w:cs="Inter"/>
        <w:b w:val="0"/>
        <w:i w:val="0"/>
        <w:color w:val="8892B0"/>
        <w:sz w:val="16"/>
      </w:rPr>
      <w:t>Confidential · © 2026 Egybell · Praxion HR Operating System</w:t>
    </w:r>
    <w:r>
      <w:tab/>
      <w:tab/>
    </w:r>
    <w:r>
      <w:rPr>
        <w:rFonts w:ascii="Inter" w:hAnsi="Inter" w:eastAsia="Inter" w:cs="Inter"/>
        <w:b/>
        <w:i w:val="0"/>
        <w:color w:val="0B143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0" w:space="1" w:color="2F6BFF"/>
      </w:pBdr>
    </w:pPr>
    <w:r>
      <w:rPr>
        <w:rFonts w:ascii="Inter" w:hAnsi="Inter" w:eastAsia="Inter" w:cs="Inter"/>
        <w:b/>
        <w:i w:val="0"/>
        <w:color w:val="0B1437"/>
        <w:sz w:val="17"/>
      </w:rPr>
      <w:t>PRAXION  ·  M7  ·  BENEFITS AND EXPENSES</w:t>
    </w:r>
    <w:r>
      <w:tab/>
      <w:tab/>
    </w:r>
    <w:r>
      <w:rPr>
        <w:rFonts w:ascii="Inter" w:hAnsi="Inter" w:eastAsia="Inter" w:cs="Inter"/>
        <w:b w:val="0"/>
        <w:i w:val="0"/>
        <w:color w:val="2F6BFF"/>
        <w:sz w:val="17"/>
      </w:rPr>
      <w:t>BUSINESS REQUIREMENTS DOCUMENT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2026-04-19T08:26:12Z</dcterms:created>
  <dcterms:modified xsi:type="dcterms:W3CDTF">2026-04-19T08:26:12Z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